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b w:val="0"/>
          <w:bCs w:val="0"/>
          <w:color w:val="auto"/>
          <w:sz w:val="32"/>
          <w:szCs w:val="32"/>
          <w:highlight w:val="none"/>
          <w:u w:val="none"/>
          <w:lang w:val="en-US" w:eastAsia="zh-CN"/>
        </w:rPr>
      </w:pPr>
    </w:p>
    <w:p>
      <w:pPr>
        <w:rPr>
          <w:rFonts w:hint="eastAsia" w:ascii="宋体" w:hAnsi="宋体" w:eastAsia="宋体" w:cs="宋体"/>
          <w:b w:val="0"/>
          <w:bCs w:val="0"/>
          <w:color w:val="auto"/>
          <w:sz w:val="32"/>
          <w:szCs w:val="32"/>
          <w:highlight w:val="none"/>
          <w:u w:val="none"/>
          <w:lang w:val="en-US" w:eastAsia="zh-CN"/>
        </w:rPr>
      </w:pPr>
    </w:p>
    <w:p>
      <w:pPr>
        <w:jc w:val="center"/>
        <w:rPr>
          <w:rFonts w:hint="eastAsia" w:ascii="宋体" w:hAnsi="宋体" w:eastAsia="宋体" w:cs="宋体"/>
          <w:b w:val="0"/>
          <w:bCs w:val="0"/>
          <w:color w:val="auto"/>
          <w:sz w:val="32"/>
          <w:szCs w:val="32"/>
          <w:highlight w:val="none"/>
          <w:u w:val="none"/>
          <w:lang w:val="en-US" w:eastAsia="zh-CN"/>
        </w:rPr>
      </w:pPr>
      <w:r>
        <w:rPr>
          <w:rFonts w:hint="eastAsia" w:ascii="宋体" w:hAnsi="宋体" w:eastAsia="宋体" w:cs="宋体"/>
          <w:b w:val="0"/>
          <w:bCs w:val="0"/>
          <w:color w:val="auto"/>
          <w:sz w:val="44"/>
          <w:szCs w:val="44"/>
          <w:highlight w:val="none"/>
          <w:u w:val="none"/>
          <w:lang w:val="en-US" w:eastAsia="zh-CN"/>
        </w:rPr>
        <w:t>营口市饮用水水源保护区污染防治条例</w:t>
      </w:r>
    </w:p>
    <w:p>
      <w:pPr>
        <w:ind w:firstLine="640"/>
        <w:rPr>
          <w:rFonts w:hint="eastAsia" w:ascii="楷体_GB2312" w:hAnsi="楷体_GB2312" w:eastAsia="楷体_GB2312" w:cs="楷体_GB2312"/>
          <w:b w:val="0"/>
          <w:bCs w:val="0"/>
          <w:color w:val="auto"/>
          <w:sz w:val="32"/>
          <w:szCs w:val="32"/>
          <w:highlight w:val="none"/>
          <w:u w:val="none"/>
          <w:lang w:val="en-US" w:eastAsia="zh-CN"/>
        </w:rPr>
      </w:pPr>
    </w:p>
    <w:p>
      <w:pPr>
        <w:keepNext w:val="0"/>
        <w:keepLines w:val="0"/>
        <w:pageBreakBefore w:val="0"/>
        <w:widowControl w:val="0"/>
        <w:kinsoku/>
        <w:wordWrap/>
        <w:overflowPunct/>
        <w:topLinePunct w:val="0"/>
        <w:autoSpaceDE/>
        <w:autoSpaceDN/>
        <w:bidi w:val="0"/>
        <w:spacing w:line="560" w:lineRule="exact"/>
        <w:ind w:right="0" w:rightChars="0" w:firstLine="640"/>
        <w:textAlignment w:val="auto"/>
        <w:outlineLvl w:val="9"/>
        <w:rPr>
          <w:rFonts w:hint="eastAsia" w:ascii="楷体_GB2312" w:hAnsi="楷体_GB2312" w:eastAsia="楷体_GB2312" w:cs="楷体_GB2312"/>
          <w:b w:val="0"/>
          <w:bCs w:val="0"/>
          <w:color w:val="auto"/>
          <w:sz w:val="32"/>
          <w:szCs w:val="32"/>
          <w:highlight w:val="none"/>
          <w:u w:val="none"/>
          <w:lang w:val="en-US" w:eastAsia="zh-CN"/>
        </w:rPr>
      </w:pPr>
      <w:r>
        <w:rPr>
          <w:rFonts w:hint="eastAsia" w:ascii="楷体_GB2312" w:hAnsi="楷体_GB2312" w:eastAsia="楷体_GB2312" w:cs="楷体_GB2312"/>
          <w:b w:val="0"/>
          <w:bCs w:val="0"/>
          <w:color w:val="auto"/>
          <w:sz w:val="32"/>
          <w:szCs w:val="32"/>
          <w:highlight w:val="none"/>
          <w:u w:val="none"/>
          <w:lang w:val="en-US" w:eastAsia="zh-CN"/>
        </w:rPr>
        <w:t>（2016年9月7日营口市第十五届人民代表大会常务委员会第二十七次会议通过  2016年1</w:t>
      </w:r>
      <w:bookmarkStart w:id="0" w:name="_GoBack"/>
      <w:bookmarkEnd w:id="0"/>
      <w:r>
        <w:rPr>
          <w:rFonts w:hint="eastAsia" w:ascii="楷体_GB2312" w:hAnsi="楷体_GB2312" w:eastAsia="楷体_GB2312" w:cs="楷体_GB2312"/>
          <w:b w:val="0"/>
          <w:bCs w:val="0"/>
          <w:color w:val="auto"/>
          <w:sz w:val="32"/>
          <w:szCs w:val="32"/>
          <w:highlight w:val="none"/>
          <w:u w:val="none"/>
          <w:lang w:val="en-US" w:eastAsia="zh-CN"/>
        </w:rPr>
        <w:t>1月11日辽宁省第十二届人民代表大会常务委员会第二十九次会议批准）</w:t>
      </w:r>
    </w:p>
    <w:p>
      <w:pPr>
        <w:keepNext w:val="0"/>
        <w:keepLines w:val="0"/>
        <w:pageBreakBefore w:val="0"/>
        <w:widowControl w:val="0"/>
        <w:kinsoku/>
        <w:wordWrap/>
        <w:overflowPunct/>
        <w:topLinePunct w:val="0"/>
        <w:autoSpaceDE/>
        <w:autoSpaceDN/>
        <w:bidi w:val="0"/>
        <w:spacing w:line="560" w:lineRule="exact"/>
        <w:ind w:right="0" w:rightChars="0" w:firstLine="640"/>
        <w:textAlignment w:val="auto"/>
        <w:outlineLvl w:val="9"/>
        <w:rPr>
          <w:rFonts w:hint="eastAsia" w:ascii="楷体_GB2312" w:hAnsi="楷体_GB2312" w:eastAsia="楷体_GB2312" w:cs="楷体_GB2312"/>
          <w:b w:val="0"/>
          <w:bCs w:val="0"/>
          <w:color w:val="auto"/>
          <w:sz w:val="32"/>
          <w:szCs w:val="32"/>
          <w:highlight w:val="none"/>
          <w:u w:val="none"/>
          <w:lang w:val="en-US" w:eastAsia="zh-CN"/>
        </w:rPr>
      </w:pPr>
    </w:p>
    <w:p>
      <w:pPr>
        <w:keepNext w:val="0"/>
        <w:keepLines w:val="0"/>
        <w:pageBreakBefore w:val="0"/>
        <w:widowControl w:val="0"/>
        <w:kinsoku/>
        <w:wordWrap/>
        <w:overflowPunct/>
        <w:topLinePunct w:val="0"/>
        <w:autoSpaceDE/>
        <w:autoSpaceDN/>
        <w:bidi w:val="0"/>
        <w:spacing w:line="560" w:lineRule="exact"/>
        <w:ind w:right="0" w:rightChars="0"/>
        <w:jc w:val="center"/>
        <w:textAlignment w:val="auto"/>
        <w:outlineLvl w:val="9"/>
        <w:rPr>
          <w:rFonts w:hint="eastAsia" w:ascii="楷体_GB2312" w:hAnsi="楷体_GB2312" w:eastAsia="楷体_GB2312" w:cs="楷体_GB2312"/>
          <w:b w:val="0"/>
          <w:bCs w:val="0"/>
          <w:color w:val="auto"/>
          <w:sz w:val="32"/>
          <w:szCs w:val="32"/>
          <w:highlight w:val="none"/>
          <w:u w:val="none"/>
          <w:lang w:val="en-US" w:eastAsia="zh-CN"/>
        </w:rPr>
      </w:pPr>
      <w:r>
        <w:rPr>
          <w:rFonts w:hint="eastAsia" w:ascii="楷体_GB2312" w:hAnsi="楷体_GB2312" w:eastAsia="楷体_GB2312" w:cs="楷体_GB2312"/>
          <w:b w:val="0"/>
          <w:bCs w:val="0"/>
          <w:color w:val="auto"/>
          <w:sz w:val="32"/>
          <w:szCs w:val="32"/>
          <w:highlight w:val="none"/>
          <w:u w:val="none"/>
          <w:lang w:val="en-US" w:eastAsia="zh-CN"/>
        </w:rPr>
        <w:t>目   录</w:t>
      </w:r>
    </w:p>
    <w:p>
      <w:pPr>
        <w:keepNext w:val="0"/>
        <w:keepLines w:val="0"/>
        <w:pageBreakBefore w:val="0"/>
        <w:widowControl w:val="0"/>
        <w:kinsoku/>
        <w:wordWrap/>
        <w:overflowPunct/>
        <w:topLinePunct w:val="0"/>
        <w:autoSpaceDE/>
        <w:autoSpaceDN/>
        <w:bidi w:val="0"/>
        <w:spacing w:line="560" w:lineRule="exact"/>
        <w:ind w:right="0" w:rightChars="0" w:firstLine="640"/>
        <w:textAlignment w:val="auto"/>
        <w:outlineLvl w:val="9"/>
        <w:rPr>
          <w:rFonts w:hint="eastAsia" w:ascii="楷体_GB2312" w:hAnsi="楷体_GB2312" w:eastAsia="楷体_GB2312" w:cs="楷体_GB2312"/>
          <w:b w:val="0"/>
          <w:bCs w:val="0"/>
          <w:color w:val="auto"/>
          <w:sz w:val="32"/>
          <w:szCs w:val="32"/>
          <w:highlight w:val="none"/>
          <w:u w:val="none"/>
          <w:lang w:val="en-US" w:eastAsia="zh-CN"/>
        </w:rPr>
      </w:pPr>
      <w:r>
        <w:rPr>
          <w:rFonts w:hint="eastAsia" w:ascii="楷体_GB2312" w:hAnsi="楷体_GB2312" w:eastAsia="楷体_GB2312" w:cs="楷体_GB2312"/>
          <w:b w:val="0"/>
          <w:bCs w:val="0"/>
          <w:color w:val="auto"/>
          <w:sz w:val="32"/>
          <w:szCs w:val="32"/>
          <w:highlight w:val="none"/>
          <w:u w:val="none"/>
          <w:lang w:val="en-US" w:eastAsia="zh-CN"/>
        </w:rPr>
        <w:t xml:space="preserve">第一章  总则 </w:t>
      </w:r>
    </w:p>
    <w:p>
      <w:pPr>
        <w:keepNext w:val="0"/>
        <w:keepLines w:val="0"/>
        <w:pageBreakBefore w:val="0"/>
        <w:widowControl w:val="0"/>
        <w:kinsoku/>
        <w:wordWrap/>
        <w:overflowPunct/>
        <w:topLinePunct w:val="0"/>
        <w:autoSpaceDE/>
        <w:autoSpaceDN/>
        <w:bidi w:val="0"/>
        <w:spacing w:line="560" w:lineRule="exact"/>
        <w:ind w:right="0" w:rightChars="0" w:firstLine="640"/>
        <w:textAlignment w:val="auto"/>
        <w:outlineLvl w:val="9"/>
        <w:rPr>
          <w:rFonts w:hint="eastAsia" w:ascii="楷体_GB2312" w:hAnsi="楷体_GB2312" w:eastAsia="楷体_GB2312" w:cs="楷体_GB2312"/>
          <w:b w:val="0"/>
          <w:bCs w:val="0"/>
          <w:color w:val="auto"/>
          <w:sz w:val="32"/>
          <w:szCs w:val="32"/>
          <w:highlight w:val="none"/>
          <w:u w:val="none"/>
          <w:lang w:val="en-US" w:eastAsia="zh-CN"/>
        </w:rPr>
      </w:pPr>
      <w:r>
        <w:rPr>
          <w:rFonts w:hint="eastAsia" w:ascii="楷体_GB2312" w:hAnsi="楷体_GB2312" w:eastAsia="楷体_GB2312" w:cs="楷体_GB2312"/>
          <w:b w:val="0"/>
          <w:bCs w:val="0"/>
          <w:color w:val="auto"/>
          <w:sz w:val="32"/>
          <w:szCs w:val="32"/>
          <w:highlight w:val="none"/>
          <w:u w:val="none"/>
          <w:lang w:val="en-US" w:eastAsia="zh-CN"/>
        </w:rPr>
        <w:t>第二章  水源保护</w:t>
      </w:r>
    </w:p>
    <w:p>
      <w:pPr>
        <w:keepNext w:val="0"/>
        <w:keepLines w:val="0"/>
        <w:pageBreakBefore w:val="0"/>
        <w:widowControl w:val="0"/>
        <w:kinsoku/>
        <w:wordWrap/>
        <w:overflowPunct/>
        <w:topLinePunct w:val="0"/>
        <w:autoSpaceDE/>
        <w:autoSpaceDN/>
        <w:bidi w:val="0"/>
        <w:spacing w:line="560" w:lineRule="exact"/>
        <w:ind w:right="0" w:rightChars="0" w:firstLine="640"/>
        <w:textAlignment w:val="auto"/>
        <w:outlineLvl w:val="9"/>
        <w:rPr>
          <w:rFonts w:hint="eastAsia" w:ascii="楷体_GB2312" w:hAnsi="楷体_GB2312" w:eastAsia="楷体_GB2312" w:cs="楷体_GB2312"/>
          <w:b w:val="0"/>
          <w:bCs w:val="0"/>
          <w:color w:val="auto"/>
          <w:sz w:val="32"/>
          <w:szCs w:val="32"/>
          <w:highlight w:val="none"/>
          <w:u w:val="none"/>
          <w:lang w:val="en-US" w:eastAsia="zh-CN"/>
        </w:rPr>
      </w:pPr>
      <w:r>
        <w:rPr>
          <w:rFonts w:hint="eastAsia" w:ascii="楷体_GB2312" w:hAnsi="楷体_GB2312" w:eastAsia="楷体_GB2312" w:cs="楷体_GB2312"/>
          <w:b w:val="0"/>
          <w:bCs w:val="0"/>
          <w:color w:val="auto"/>
          <w:sz w:val="32"/>
          <w:szCs w:val="32"/>
          <w:highlight w:val="none"/>
          <w:u w:val="none"/>
          <w:lang w:val="en-US" w:eastAsia="zh-CN"/>
        </w:rPr>
        <w:t>第三章　监督管理</w:t>
      </w:r>
    </w:p>
    <w:p>
      <w:pPr>
        <w:keepNext w:val="0"/>
        <w:keepLines w:val="0"/>
        <w:pageBreakBefore w:val="0"/>
        <w:widowControl w:val="0"/>
        <w:kinsoku/>
        <w:wordWrap/>
        <w:overflowPunct/>
        <w:topLinePunct w:val="0"/>
        <w:autoSpaceDE/>
        <w:autoSpaceDN/>
        <w:bidi w:val="0"/>
        <w:spacing w:line="560" w:lineRule="exact"/>
        <w:ind w:right="0" w:rightChars="0" w:firstLine="640"/>
        <w:textAlignment w:val="auto"/>
        <w:outlineLvl w:val="9"/>
        <w:rPr>
          <w:rFonts w:hint="eastAsia" w:ascii="楷体_GB2312" w:hAnsi="楷体_GB2312" w:eastAsia="楷体_GB2312" w:cs="楷体_GB2312"/>
          <w:b w:val="0"/>
          <w:bCs w:val="0"/>
          <w:color w:val="auto"/>
          <w:sz w:val="32"/>
          <w:szCs w:val="32"/>
          <w:highlight w:val="none"/>
          <w:u w:val="none"/>
          <w:lang w:val="en-US" w:eastAsia="zh-CN"/>
        </w:rPr>
      </w:pPr>
      <w:r>
        <w:rPr>
          <w:rFonts w:hint="eastAsia" w:ascii="楷体_GB2312" w:hAnsi="楷体_GB2312" w:eastAsia="楷体_GB2312" w:cs="楷体_GB2312"/>
          <w:b w:val="0"/>
          <w:bCs w:val="0"/>
          <w:color w:val="auto"/>
          <w:sz w:val="32"/>
          <w:szCs w:val="32"/>
          <w:highlight w:val="none"/>
          <w:u w:val="none"/>
          <w:lang w:val="en-US" w:eastAsia="zh-CN"/>
        </w:rPr>
        <w:t>第四章  法律责任</w:t>
      </w:r>
    </w:p>
    <w:p>
      <w:pPr>
        <w:keepNext w:val="0"/>
        <w:keepLines w:val="0"/>
        <w:pageBreakBefore w:val="0"/>
        <w:widowControl w:val="0"/>
        <w:kinsoku/>
        <w:wordWrap/>
        <w:overflowPunct/>
        <w:topLinePunct w:val="0"/>
        <w:autoSpaceDE/>
        <w:autoSpaceDN/>
        <w:bidi w:val="0"/>
        <w:spacing w:line="560" w:lineRule="exact"/>
        <w:ind w:right="0" w:rightChars="0" w:firstLine="640"/>
        <w:textAlignment w:val="auto"/>
        <w:outlineLvl w:val="9"/>
        <w:rPr>
          <w:rFonts w:hint="eastAsia" w:ascii="楷体_GB2312" w:hAnsi="楷体_GB2312" w:eastAsia="楷体_GB2312" w:cs="楷体_GB2312"/>
          <w:b w:val="0"/>
          <w:bCs w:val="0"/>
          <w:color w:val="auto"/>
          <w:sz w:val="32"/>
          <w:szCs w:val="32"/>
          <w:highlight w:val="none"/>
          <w:u w:val="none"/>
          <w:lang w:val="en-US" w:eastAsia="zh-CN"/>
        </w:rPr>
      </w:pPr>
      <w:r>
        <w:rPr>
          <w:rFonts w:hint="eastAsia" w:ascii="楷体_GB2312" w:hAnsi="楷体_GB2312" w:eastAsia="楷体_GB2312" w:cs="楷体_GB2312"/>
          <w:b w:val="0"/>
          <w:bCs w:val="0"/>
          <w:color w:val="auto"/>
          <w:sz w:val="32"/>
          <w:szCs w:val="32"/>
          <w:highlight w:val="none"/>
          <w:u w:val="none"/>
          <w:lang w:val="en-US" w:eastAsia="zh-CN"/>
        </w:rPr>
        <w:t>第五章  附则</w:t>
      </w:r>
    </w:p>
    <w:p>
      <w:pPr>
        <w:keepNext w:val="0"/>
        <w:keepLines w:val="0"/>
        <w:pageBreakBefore w:val="0"/>
        <w:widowControl w:val="0"/>
        <w:kinsoku/>
        <w:wordWrap/>
        <w:overflowPunct/>
        <w:topLinePunct w:val="0"/>
        <w:autoSpaceDE/>
        <w:autoSpaceDN/>
        <w:bidi w:val="0"/>
        <w:spacing w:line="560" w:lineRule="exact"/>
        <w:ind w:right="0" w:rightChars="0" w:firstLine="640"/>
        <w:textAlignment w:val="auto"/>
        <w:outlineLvl w:val="9"/>
        <w:rPr>
          <w:rFonts w:hint="eastAsia" w:ascii="楷体_GB2312" w:hAnsi="楷体_GB2312" w:eastAsia="楷体_GB2312" w:cs="楷体_GB2312"/>
          <w:b w:val="0"/>
          <w:bCs w:val="0"/>
          <w:color w:val="auto"/>
          <w:sz w:val="32"/>
          <w:szCs w:val="32"/>
          <w:highlight w:val="none"/>
          <w:u w:val="none"/>
          <w:lang w:val="en-US" w:eastAsia="zh-CN"/>
        </w:rPr>
      </w:pPr>
    </w:p>
    <w:p>
      <w:pPr>
        <w:keepNext w:val="0"/>
        <w:keepLines w:val="0"/>
        <w:widowControl w:val="0"/>
        <w:suppressLineNumbers w:val="0"/>
        <w:adjustRightInd w:val="0"/>
        <w:snapToGrid w:val="0"/>
        <w:spacing w:before="0" w:beforeAutospacing="0" w:after="0" w:afterAutospacing="0" w:line="560" w:lineRule="exact"/>
        <w:ind w:left="0" w:right="0"/>
        <w:jc w:val="center"/>
        <w:rPr>
          <w:rFonts w:eastAsia="黑体"/>
          <w:color w:val="000000"/>
          <w:sz w:val="32"/>
          <w:szCs w:val="32"/>
          <w:lang w:val="en-US"/>
        </w:rPr>
      </w:pPr>
      <w:r>
        <w:rPr>
          <w:rFonts w:hint="eastAsia" w:ascii="Tahoma" w:hAnsi="Tahoma" w:eastAsia="黑体" w:cs="黑体"/>
          <w:snapToGrid/>
          <w:color w:val="000000"/>
          <w:kern w:val="0"/>
          <w:sz w:val="32"/>
          <w:szCs w:val="32"/>
          <w:lang w:val="en-US" w:eastAsia="zh-CN" w:bidi="ar"/>
        </w:rPr>
        <w:t>第一章</w:t>
      </w:r>
      <w:r>
        <w:rPr>
          <w:rFonts w:hint="default" w:ascii="Tahoma" w:hAnsi="Tahoma" w:eastAsia="黑体" w:cs="Times New Roman"/>
          <w:snapToGrid/>
          <w:color w:val="000000"/>
          <w:kern w:val="0"/>
          <w:sz w:val="32"/>
          <w:szCs w:val="32"/>
          <w:lang w:val="en-US" w:eastAsia="zh-CN" w:bidi="ar"/>
        </w:rPr>
        <w:t xml:space="preserve">  </w:t>
      </w:r>
      <w:r>
        <w:rPr>
          <w:rFonts w:hint="eastAsia" w:ascii="Tahoma" w:hAnsi="Tahoma" w:eastAsia="黑体" w:cs="黑体"/>
          <w:snapToGrid/>
          <w:color w:val="000000"/>
          <w:kern w:val="0"/>
          <w:sz w:val="32"/>
          <w:szCs w:val="32"/>
          <w:lang w:val="en-US" w:eastAsia="zh-CN" w:bidi="ar"/>
        </w:rPr>
        <w:t>总则</w:t>
      </w:r>
    </w:p>
    <w:p>
      <w:pPr>
        <w:keepNext w:val="0"/>
        <w:keepLines w:val="0"/>
        <w:widowControl w:val="0"/>
        <w:suppressLineNumbers w:val="0"/>
        <w:adjustRightInd w:val="0"/>
        <w:snapToGrid w:val="0"/>
        <w:spacing w:before="0" w:beforeAutospacing="0" w:after="0" w:afterAutospacing="0" w:line="560" w:lineRule="exact"/>
        <w:ind w:left="0" w:right="0"/>
        <w:jc w:val="center"/>
        <w:rPr>
          <w:rFonts w:eastAsia="黑体"/>
          <w:color w:val="000000"/>
          <w:sz w:val="32"/>
          <w:szCs w:val="32"/>
          <w:lang w:val="en-US"/>
        </w:rPr>
      </w:pP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黑体" w:hAnsi="宋体" w:eastAsia="黑体" w:cs="黑体"/>
          <w:snapToGrid/>
          <w:color w:val="000000"/>
          <w:kern w:val="0"/>
          <w:sz w:val="32"/>
          <w:szCs w:val="32"/>
          <w:lang w:val="en-US" w:eastAsia="zh-CN" w:bidi="ar"/>
        </w:rPr>
        <w:t>第一条</w:t>
      </w:r>
      <w:r>
        <w:rPr>
          <w:rFonts w:hint="eastAsia" w:ascii="仿宋_GB2312" w:hAnsi="Tahoma" w:eastAsia="仿宋_GB2312" w:cs="仿宋_GB2312"/>
          <w:snapToGrid/>
          <w:kern w:val="0"/>
          <w:sz w:val="32"/>
          <w:szCs w:val="32"/>
          <w:lang w:val="en-US" w:eastAsia="zh-CN" w:bidi="ar"/>
        </w:rPr>
        <w:t xml:space="preserve">  为了加强饮用水水源保护区污染防治，保障饮用水安全，促进经济建设与饮用水水源保护协调发展，根据《中华人民共和国水污染防治法》、《中华人民共和国水法》等法律、法规，结合本市实际，制定本条例。</w:t>
      </w:r>
      <w:r>
        <w:rPr>
          <w:rFonts w:hint="default" w:ascii="Tahoma" w:hAnsi="Tahoma" w:eastAsia="仿宋_GB2312" w:cs="Times New Roman"/>
          <w:snapToGrid/>
          <w:kern w:val="0"/>
          <w:sz w:val="32"/>
          <w:szCs w:val="32"/>
          <w:lang w:val="en-US" w:eastAsia="zh-CN" w:bidi="ar"/>
        </w:rPr>
        <w:t> </w:t>
      </w:r>
      <w:r>
        <w:rPr>
          <w:rFonts w:hint="eastAsia" w:ascii="仿宋_GB2312" w:hAnsi="Tahoma" w:eastAsia="仿宋_GB2312" w:cs="仿宋_GB2312"/>
          <w:snapToGrid/>
          <w:kern w:val="0"/>
          <w:sz w:val="32"/>
          <w:szCs w:val="32"/>
          <w:lang w:val="en-US" w:eastAsia="zh-CN" w:bidi="ar"/>
        </w:rPr>
        <w:t xml:space="preserve"> </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黑体" w:hAnsi="宋体" w:eastAsia="黑体" w:cs="黑体"/>
          <w:snapToGrid/>
          <w:color w:val="000000"/>
          <w:kern w:val="0"/>
          <w:sz w:val="32"/>
          <w:szCs w:val="32"/>
          <w:lang w:val="en-US" w:eastAsia="zh-CN" w:bidi="ar"/>
        </w:rPr>
        <w:t>第二条</w:t>
      </w:r>
      <w:r>
        <w:rPr>
          <w:rFonts w:hint="eastAsia" w:ascii="仿宋_GB2312" w:hAnsi="Tahoma" w:eastAsia="仿宋_GB2312" w:cs="仿宋_GB2312"/>
          <w:snapToGrid/>
          <w:color w:val="000000"/>
          <w:kern w:val="0"/>
          <w:sz w:val="32"/>
          <w:szCs w:val="32"/>
          <w:lang w:val="en-US" w:eastAsia="zh-CN" w:bidi="ar"/>
        </w:rPr>
        <w:t xml:space="preserve"> </w:t>
      </w:r>
      <w:r>
        <w:rPr>
          <w:rFonts w:hint="eastAsia" w:ascii="仿宋_GB2312" w:hAnsi="Tahoma" w:eastAsia="仿宋_GB2312" w:cs="仿宋_GB2312"/>
          <w:snapToGrid/>
          <w:kern w:val="0"/>
          <w:sz w:val="32"/>
          <w:szCs w:val="32"/>
          <w:lang w:val="en-US" w:eastAsia="zh-CN" w:bidi="ar"/>
        </w:rPr>
        <w:t xml:space="preserve"> 本条例适用于本市行政区域内饮用水水源保护区的污染防治工作。</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黑体" w:hAnsi="宋体" w:eastAsia="黑体" w:cs="黑体"/>
          <w:snapToGrid/>
          <w:color w:val="000000"/>
          <w:kern w:val="0"/>
          <w:sz w:val="32"/>
          <w:szCs w:val="32"/>
          <w:lang w:val="en-US" w:eastAsia="zh-CN" w:bidi="ar"/>
        </w:rPr>
        <w:t>第三条</w:t>
      </w:r>
      <w:r>
        <w:rPr>
          <w:rFonts w:hint="eastAsia" w:ascii="仿宋_GB2312" w:hAnsi="Tahoma" w:eastAsia="仿宋_GB2312" w:cs="仿宋_GB2312"/>
          <w:snapToGrid/>
          <w:kern w:val="0"/>
          <w:sz w:val="32"/>
          <w:szCs w:val="32"/>
          <w:lang w:val="en-US" w:eastAsia="zh-CN" w:bidi="ar"/>
        </w:rPr>
        <w:t xml:space="preserve">  本条例所称饮用水水源保护区，是指市和县（市）区人民政府为了保护饮用水水源，保证水源地环境质量，根据法律、法规和国家有关规定，经批准划定并加以特殊保护的一定面积的水域和陆域。</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黑体" w:hAnsi="宋体" w:eastAsia="黑体" w:cs="黑体"/>
          <w:snapToGrid/>
          <w:color w:val="000000"/>
          <w:kern w:val="0"/>
          <w:sz w:val="32"/>
          <w:szCs w:val="32"/>
          <w:lang w:val="en-US" w:eastAsia="zh-CN" w:bidi="ar"/>
        </w:rPr>
        <w:t>第四条</w:t>
      </w:r>
      <w:r>
        <w:rPr>
          <w:rFonts w:hint="eastAsia" w:ascii="仿宋_GB2312" w:hAnsi="Tahoma" w:eastAsia="仿宋_GB2312" w:cs="仿宋_GB2312"/>
          <w:snapToGrid/>
          <w:color w:val="000000"/>
          <w:kern w:val="0"/>
          <w:sz w:val="32"/>
          <w:szCs w:val="32"/>
          <w:lang w:val="en-US" w:eastAsia="zh-CN" w:bidi="ar"/>
        </w:rPr>
        <w:t xml:space="preserve"> </w:t>
      </w:r>
      <w:r>
        <w:rPr>
          <w:rFonts w:hint="eastAsia" w:ascii="仿宋_GB2312" w:hAnsi="Tahoma" w:eastAsia="仿宋_GB2312" w:cs="仿宋_GB2312"/>
          <w:snapToGrid/>
          <w:kern w:val="0"/>
          <w:sz w:val="32"/>
          <w:szCs w:val="32"/>
          <w:lang w:val="en-US" w:eastAsia="zh-CN" w:bidi="ar"/>
        </w:rPr>
        <w:t xml:space="preserve"> 市和县（市）区人民政府应当将饮用水水源保护工作纳入国民经济和社会发展规划，采取防治饮用水水源污染的措施，建设饮用水保护工程和备用水源，合理布局和调整饮用水水源保护区及上下游地区的产业结构。</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黑体" w:hAnsi="宋体" w:eastAsia="黑体" w:cs="黑体"/>
          <w:snapToGrid/>
          <w:color w:val="000000"/>
          <w:kern w:val="0"/>
          <w:sz w:val="32"/>
          <w:szCs w:val="32"/>
          <w:lang w:val="en-US" w:eastAsia="zh-CN" w:bidi="ar"/>
        </w:rPr>
        <w:t>第五条</w:t>
      </w:r>
      <w:r>
        <w:rPr>
          <w:rFonts w:hint="eastAsia" w:ascii="黑体" w:hAnsi="宋体" w:eastAsia="黑体" w:cs="黑体"/>
          <w:snapToGrid/>
          <w:kern w:val="0"/>
          <w:sz w:val="32"/>
          <w:szCs w:val="32"/>
          <w:lang w:val="en-US" w:eastAsia="zh-CN" w:bidi="ar"/>
        </w:rPr>
        <w:t xml:space="preserve">  </w:t>
      </w:r>
      <w:r>
        <w:rPr>
          <w:rFonts w:hint="eastAsia" w:ascii="仿宋_GB2312" w:hAnsi="Tahoma" w:eastAsia="仿宋_GB2312" w:cs="仿宋_GB2312"/>
          <w:snapToGrid/>
          <w:kern w:val="0"/>
          <w:sz w:val="32"/>
          <w:szCs w:val="32"/>
          <w:lang w:val="en-US" w:eastAsia="zh-CN" w:bidi="ar"/>
        </w:rPr>
        <w:t>市和县（市）区环境保护行政主管部门负责本行政区域内饮用水水源保护区污染防治工作，对饮用水水源污染防治实施监督管理。</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规划建设、国土资源、水利、卫生计生、公安、安监、林业、农业（畜牧）、海洋与渔业、公用事业、工商、食品药品监管、质量技术监督、城管综合执法等部门按照各自职责，做好饮用水水源保护区污染防治相关工作。</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饮用水水源保护区所在地的乡（镇）人民政府、街道办事处应当配合有关行政主管部门做好饮用水水源保护工作。</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村（居）民委员会应当依法做好本区域内的饮用水水源保护工作。</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黑体" w:hAnsi="宋体" w:eastAsia="黑体" w:cs="黑体"/>
          <w:snapToGrid/>
          <w:color w:val="000000"/>
          <w:kern w:val="0"/>
          <w:sz w:val="32"/>
          <w:szCs w:val="32"/>
          <w:lang w:val="en-US" w:eastAsia="zh-CN" w:bidi="ar"/>
        </w:rPr>
        <w:t>第六条</w:t>
      </w:r>
      <w:r>
        <w:rPr>
          <w:rFonts w:hint="eastAsia" w:ascii="仿宋_GB2312" w:hAnsi="Tahoma" w:eastAsia="仿宋_GB2312" w:cs="仿宋_GB2312"/>
          <w:snapToGrid/>
          <w:color w:val="000000"/>
          <w:kern w:val="0"/>
          <w:sz w:val="32"/>
          <w:szCs w:val="32"/>
          <w:lang w:val="en-US" w:eastAsia="zh-CN" w:bidi="ar"/>
        </w:rPr>
        <w:t xml:space="preserve">  </w:t>
      </w:r>
      <w:r>
        <w:rPr>
          <w:rFonts w:hint="eastAsia" w:ascii="仿宋_GB2312" w:hAnsi="Tahoma" w:eastAsia="仿宋_GB2312" w:cs="仿宋_GB2312"/>
          <w:snapToGrid/>
          <w:kern w:val="0"/>
          <w:sz w:val="32"/>
          <w:szCs w:val="32"/>
          <w:lang w:val="en-US" w:eastAsia="zh-CN" w:bidi="ar"/>
        </w:rPr>
        <w:t>市和县（市）区人民政府应当将饮用水水源保护区污染防治经费纳入本级财政预算，加大对饮用水水源保护的投入，保障饮用水水源安全。</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黑体" w:hAnsi="宋体" w:eastAsia="黑体" w:cs="黑体"/>
          <w:snapToGrid/>
          <w:kern w:val="0"/>
          <w:sz w:val="32"/>
          <w:szCs w:val="32"/>
          <w:lang w:val="en-US" w:eastAsia="zh-CN" w:bidi="ar"/>
        </w:rPr>
        <w:t>第七条</w:t>
      </w:r>
      <w:r>
        <w:rPr>
          <w:rFonts w:hint="eastAsia" w:ascii="仿宋_GB2312" w:hAnsi="宋体" w:eastAsia="仿宋_GB2312" w:cs="仿宋_GB2312"/>
          <w:snapToGrid/>
          <w:kern w:val="0"/>
          <w:sz w:val="32"/>
          <w:szCs w:val="32"/>
          <w:lang w:val="en-US" w:eastAsia="zh-CN" w:bidi="ar"/>
        </w:rPr>
        <w:t xml:space="preserve">  </w:t>
      </w:r>
      <w:r>
        <w:rPr>
          <w:rFonts w:hint="eastAsia" w:ascii="仿宋_GB2312" w:hAnsi="Tahoma" w:eastAsia="仿宋_GB2312" w:cs="仿宋_GB2312"/>
          <w:snapToGrid/>
          <w:kern w:val="0"/>
          <w:sz w:val="32"/>
          <w:szCs w:val="32"/>
          <w:lang w:val="en-US" w:eastAsia="zh-CN" w:bidi="ar"/>
        </w:rPr>
        <w:t>市和县（市）区人民政府应当加强保护饮用水水源的宣传教育，鼓励清洁生产，提高水资源循环利用率。</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黑体" w:hAnsi="宋体" w:eastAsia="黑体" w:cs="黑体"/>
          <w:snapToGrid/>
          <w:color w:val="000000"/>
          <w:kern w:val="0"/>
          <w:sz w:val="32"/>
          <w:szCs w:val="32"/>
          <w:lang w:val="en-US" w:eastAsia="zh-CN" w:bidi="ar"/>
        </w:rPr>
        <w:t>第八条</w:t>
      </w:r>
      <w:r>
        <w:rPr>
          <w:rFonts w:hint="eastAsia" w:ascii="仿宋_GB2312" w:hAnsi="Tahoma" w:eastAsia="仿宋_GB2312" w:cs="仿宋_GB2312"/>
          <w:snapToGrid/>
          <w:color w:val="000000"/>
          <w:kern w:val="0"/>
          <w:sz w:val="32"/>
          <w:szCs w:val="32"/>
          <w:lang w:val="en-US" w:eastAsia="zh-CN" w:bidi="ar"/>
        </w:rPr>
        <w:t xml:space="preserve">  </w:t>
      </w:r>
      <w:r>
        <w:rPr>
          <w:rFonts w:hint="eastAsia" w:ascii="仿宋_GB2312" w:hAnsi="Tahoma" w:eastAsia="仿宋_GB2312" w:cs="仿宋_GB2312"/>
          <w:snapToGrid/>
          <w:kern w:val="0"/>
          <w:sz w:val="32"/>
          <w:szCs w:val="32"/>
          <w:lang w:val="en-US" w:eastAsia="zh-CN" w:bidi="ar"/>
        </w:rPr>
        <w:t>任何单位和个人都有保护饮用水水源的义务，有权对污染饮用水水源，破坏饮用水水源保护设施的行为进行劝阻和举报。</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黑体" w:hAnsi="宋体" w:eastAsia="黑体" w:cs="黑体"/>
          <w:snapToGrid/>
          <w:color w:val="000000"/>
          <w:kern w:val="0"/>
          <w:sz w:val="32"/>
          <w:szCs w:val="32"/>
          <w:lang w:val="en-US" w:eastAsia="zh-CN" w:bidi="ar"/>
        </w:rPr>
        <w:t>第九条</w:t>
      </w:r>
      <w:r>
        <w:rPr>
          <w:rFonts w:hint="eastAsia" w:ascii="仿宋_GB2312" w:hAnsi="Tahoma" w:eastAsia="仿宋_GB2312" w:cs="仿宋_GB2312"/>
          <w:snapToGrid/>
          <w:color w:val="000000"/>
          <w:kern w:val="0"/>
          <w:sz w:val="32"/>
          <w:szCs w:val="32"/>
          <w:lang w:val="en-US" w:eastAsia="zh-CN" w:bidi="ar"/>
        </w:rPr>
        <w:t xml:space="preserve">  </w:t>
      </w:r>
      <w:r>
        <w:rPr>
          <w:rFonts w:hint="eastAsia" w:ascii="仿宋_GB2312" w:hAnsi="Tahoma" w:eastAsia="仿宋_GB2312" w:cs="仿宋_GB2312"/>
          <w:snapToGrid/>
          <w:kern w:val="0"/>
          <w:sz w:val="32"/>
          <w:szCs w:val="32"/>
          <w:lang w:val="en-US" w:eastAsia="zh-CN" w:bidi="ar"/>
        </w:rPr>
        <w:t>对防治饮用水水源污染作出突出成绩的单位和个人，由市和县（市）区人民政府或者相关行政主管部门给予奖励。</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p>
    <w:p>
      <w:pPr>
        <w:keepNext w:val="0"/>
        <w:keepLines w:val="0"/>
        <w:widowControl w:val="0"/>
        <w:suppressLineNumbers w:val="0"/>
        <w:adjustRightInd w:val="0"/>
        <w:snapToGrid w:val="0"/>
        <w:spacing w:before="0" w:beforeAutospacing="0" w:after="0" w:afterAutospacing="0" w:line="560" w:lineRule="exact"/>
        <w:ind w:left="0" w:right="0"/>
        <w:jc w:val="center"/>
        <w:rPr>
          <w:rFonts w:hint="eastAsia" w:ascii="黑体" w:hAnsi="宋体" w:eastAsia="黑体" w:cs="黑体"/>
          <w:color w:val="000000"/>
          <w:sz w:val="32"/>
          <w:szCs w:val="32"/>
          <w:lang w:val="en-US"/>
        </w:rPr>
      </w:pPr>
      <w:r>
        <w:rPr>
          <w:rFonts w:hint="eastAsia" w:ascii="黑体" w:hAnsi="宋体" w:eastAsia="黑体" w:cs="黑体"/>
          <w:snapToGrid/>
          <w:color w:val="000000"/>
          <w:kern w:val="0"/>
          <w:sz w:val="32"/>
          <w:szCs w:val="32"/>
          <w:lang w:val="en-US" w:eastAsia="zh-CN" w:bidi="ar"/>
        </w:rPr>
        <w:t>第二章 水源保护</w:t>
      </w:r>
    </w:p>
    <w:p>
      <w:pPr>
        <w:keepNext w:val="0"/>
        <w:keepLines w:val="0"/>
        <w:widowControl w:val="0"/>
        <w:suppressLineNumbers w:val="0"/>
        <w:adjustRightInd w:val="0"/>
        <w:snapToGrid w:val="0"/>
        <w:spacing w:before="0" w:beforeAutospacing="0" w:after="0" w:afterAutospacing="0" w:line="560" w:lineRule="exact"/>
        <w:ind w:left="0" w:right="0"/>
        <w:jc w:val="left"/>
        <w:rPr>
          <w:rFonts w:hint="eastAsia" w:ascii="仿宋_GB2312" w:eastAsia="仿宋_GB2312" w:cs="仿宋_GB2312"/>
          <w:sz w:val="32"/>
          <w:szCs w:val="32"/>
          <w:lang w:val="en-US"/>
        </w:rPr>
      </w:pP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黑体" w:hAnsi="宋体" w:eastAsia="黑体" w:cs="黑体"/>
          <w:snapToGrid/>
          <w:color w:val="000000"/>
          <w:kern w:val="0"/>
          <w:sz w:val="32"/>
          <w:szCs w:val="32"/>
          <w:lang w:val="en-US" w:eastAsia="zh-CN" w:bidi="ar"/>
        </w:rPr>
        <w:t>第十条</w:t>
      </w:r>
      <w:r>
        <w:rPr>
          <w:rFonts w:hint="eastAsia" w:ascii="仿宋_GB2312" w:hAnsi="Tahoma" w:eastAsia="仿宋_GB2312" w:cs="仿宋_GB2312"/>
          <w:snapToGrid/>
          <w:kern w:val="0"/>
          <w:sz w:val="32"/>
          <w:szCs w:val="32"/>
          <w:lang w:val="en-US" w:eastAsia="zh-CN" w:bidi="ar"/>
        </w:rPr>
        <w:t xml:space="preserve">  饮用水水源保护区分为一级保护区和二级保护区；根据保护饮用水水源的需要，可以在饮用水水源保护区外围设准保护区。</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黑体" w:hAnsi="宋体" w:eastAsia="黑体" w:cs="黑体"/>
          <w:snapToGrid/>
          <w:color w:val="000000"/>
          <w:kern w:val="0"/>
          <w:sz w:val="32"/>
          <w:szCs w:val="32"/>
          <w:lang w:val="en-US" w:eastAsia="zh-CN" w:bidi="ar"/>
        </w:rPr>
        <w:t>第十一条</w:t>
      </w:r>
      <w:r>
        <w:rPr>
          <w:rFonts w:hint="eastAsia" w:ascii="仿宋_GB2312" w:hAnsi="Tahoma" w:eastAsia="仿宋_GB2312" w:cs="仿宋_GB2312"/>
          <w:snapToGrid/>
          <w:kern w:val="0"/>
          <w:sz w:val="32"/>
          <w:szCs w:val="32"/>
          <w:lang w:val="en-US" w:eastAsia="zh-CN" w:bidi="ar"/>
        </w:rPr>
        <w:t xml:space="preserve">  饮用水水源保护区的划定、调整和撤销按照有关法律、法规规定进行。</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黑体" w:hAnsi="宋体" w:eastAsia="黑体" w:cs="黑体"/>
          <w:snapToGrid/>
          <w:color w:val="000000"/>
          <w:kern w:val="0"/>
          <w:sz w:val="32"/>
          <w:szCs w:val="32"/>
          <w:lang w:val="en-US" w:eastAsia="zh-CN" w:bidi="ar"/>
        </w:rPr>
        <w:t>第十二条</w:t>
      </w:r>
      <w:r>
        <w:rPr>
          <w:rFonts w:hint="eastAsia" w:ascii="仿宋_GB2312" w:hAnsi="Tahoma" w:eastAsia="仿宋_GB2312" w:cs="仿宋_GB2312"/>
          <w:snapToGrid/>
          <w:color w:val="000000"/>
          <w:kern w:val="0"/>
          <w:sz w:val="32"/>
          <w:szCs w:val="32"/>
          <w:lang w:val="en-US" w:eastAsia="zh-CN" w:bidi="ar"/>
        </w:rPr>
        <w:t xml:space="preserve">  </w:t>
      </w:r>
      <w:r>
        <w:rPr>
          <w:rFonts w:hint="eastAsia" w:ascii="仿宋_GB2312" w:hAnsi="Tahoma" w:eastAsia="仿宋_GB2312" w:cs="仿宋_GB2312"/>
          <w:snapToGrid/>
          <w:kern w:val="0"/>
          <w:sz w:val="32"/>
          <w:szCs w:val="32"/>
          <w:lang w:val="en-US" w:eastAsia="zh-CN" w:bidi="ar"/>
        </w:rPr>
        <w:t>市人民政府应当在划定的饮用水水源保护区地理边界，设立明确的地理界标和明显的警示标志，对重点区域应当依法设置围网、视频监控等设施、设备。</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任何单位和个人不得涂改、损毁或者擅自移动饮用水水源保护区地理界标、警示标志、隔离设施。</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黑体" w:hAnsi="宋体" w:eastAsia="黑体" w:cs="黑体"/>
          <w:snapToGrid/>
          <w:color w:val="000000"/>
          <w:kern w:val="0"/>
          <w:sz w:val="32"/>
          <w:szCs w:val="32"/>
          <w:lang w:val="en-US" w:eastAsia="zh-CN" w:bidi="ar"/>
        </w:rPr>
        <w:t>第十三条</w:t>
      </w:r>
      <w:r>
        <w:rPr>
          <w:rFonts w:hint="eastAsia" w:ascii="仿宋_GB2312" w:hAnsi="Tahoma" w:eastAsia="仿宋_GB2312" w:cs="仿宋_GB2312"/>
          <w:snapToGrid/>
          <w:color w:val="000000"/>
          <w:kern w:val="0"/>
          <w:sz w:val="32"/>
          <w:szCs w:val="32"/>
          <w:lang w:val="en-US" w:eastAsia="zh-CN" w:bidi="ar"/>
        </w:rPr>
        <w:t xml:space="preserve">  </w:t>
      </w:r>
      <w:r>
        <w:rPr>
          <w:rFonts w:hint="eastAsia" w:ascii="仿宋_GB2312" w:hAnsi="Tahoma" w:eastAsia="仿宋_GB2312" w:cs="仿宋_GB2312"/>
          <w:snapToGrid/>
          <w:kern w:val="0"/>
          <w:sz w:val="32"/>
          <w:szCs w:val="32"/>
          <w:lang w:val="en-US" w:eastAsia="zh-CN" w:bidi="ar"/>
        </w:rPr>
        <w:t>饮用水水源保护区内禁止设置排污口，已建成的排污口，由市、县（市）区人民政府责令限期拆除。</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黑体" w:hAnsi="宋体" w:eastAsia="黑体" w:cs="黑体"/>
          <w:snapToGrid/>
          <w:color w:val="000000"/>
          <w:kern w:val="0"/>
          <w:sz w:val="32"/>
          <w:szCs w:val="32"/>
          <w:lang w:val="en-US" w:eastAsia="zh-CN" w:bidi="ar"/>
        </w:rPr>
        <w:t>第十四条</w:t>
      </w:r>
      <w:r>
        <w:rPr>
          <w:rFonts w:hint="eastAsia" w:ascii="仿宋_GB2312" w:hAnsi="Tahoma" w:eastAsia="仿宋_GB2312" w:cs="仿宋_GB2312"/>
          <w:snapToGrid/>
          <w:color w:val="000000"/>
          <w:kern w:val="0"/>
          <w:sz w:val="32"/>
          <w:szCs w:val="32"/>
          <w:lang w:val="en-US" w:eastAsia="zh-CN" w:bidi="ar"/>
        </w:rPr>
        <w:t xml:space="preserve">  </w:t>
      </w:r>
      <w:r>
        <w:rPr>
          <w:rFonts w:hint="eastAsia" w:ascii="仿宋_GB2312" w:hAnsi="Tahoma" w:eastAsia="仿宋_GB2312" w:cs="仿宋_GB2312"/>
          <w:snapToGrid/>
          <w:kern w:val="0"/>
          <w:sz w:val="32"/>
          <w:szCs w:val="32"/>
          <w:lang w:val="en-US" w:eastAsia="zh-CN" w:bidi="ar"/>
        </w:rPr>
        <w:t>饮用水水源一级保护区实行封闭管理。已建成的与供水设施和保护水源无关的建设项目，由市、县（市）区人民政府责令拆除或者关闭。</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黑体" w:hAnsi="宋体" w:eastAsia="黑体" w:cs="黑体"/>
          <w:snapToGrid/>
          <w:color w:val="000000"/>
          <w:kern w:val="0"/>
          <w:sz w:val="32"/>
          <w:szCs w:val="32"/>
          <w:lang w:val="en-US" w:eastAsia="zh-CN" w:bidi="ar"/>
        </w:rPr>
        <w:t>第十五条</w:t>
      </w:r>
      <w:r>
        <w:rPr>
          <w:rFonts w:hint="eastAsia" w:ascii="仿宋_GB2312" w:hAnsi="Tahoma" w:eastAsia="仿宋_GB2312" w:cs="仿宋_GB2312"/>
          <w:snapToGrid/>
          <w:color w:val="000000"/>
          <w:kern w:val="0"/>
          <w:sz w:val="32"/>
          <w:szCs w:val="32"/>
          <w:lang w:val="en-US" w:eastAsia="zh-CN" w:bidi="ar"/>
        </w:rPr>
        <w:t xml:space="preserve">  </w:t>
      </w:r>
      <w:r>
        <w:rPr>
          <w:rFonts w:hint="eastAsia" w:ascii="仿宋_GB2312" w:hAnsi="Tahoma" w:eastAsia="仿宋_GB2312" w:cs="仿宋_GB2312"/>
          <w:snapToGrid/>
          <w:kern w:val="0"/>
          <w:sz w:val="32"/>
          <w:szCs w:val="32"/>
          <w:lang w:val="en-US" w:eastAsia="zh-CN" w:bidi="ar"/>
        </w:rPr>
        <w:t>在饮用水地表水源准保护区内，禁止下列活动：</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（一）新建、扩建对水体污染严重的建设项目，改建增加排污量的建设项目；</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（二）破坏水环境生态平衡的活动以及破坏水源林、护岸林、与水源保护相关植被的活动；</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（三）向水体排放、倾倒工业废渣、垃圾、粪便、放射性物质及其他废弃物；</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（四）向水体排放、倾倒含重金属、病原体、油类、酸液、碱液、放射性物质的废水；</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（五）建设工业固体废物集中贮存、处置的设施、场所和生活垃圾填埋场；</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（六）使用剧毒、高残留农药；</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（七）使用炸鱼、毒鱼方法捕捞鱼类；</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（八）法律、法规禁止的其他可能污染饮用水水源的活动。</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黑体" w:hAnsi="宋体" w:eastAsia="黑体" w:cs="黑体"/>
          <w:snapToGrid/>
          <w:color w:val="000000"/>
          <w:kern w:val="0"/>
          <w:sz w:val="32"/>
          <w:szCs w:val="32"/>
          <w:lang w:val="en-US" w:eastAsia="zh-CN" w:bidi="ar"/>
        </w:rPr>
        <w:t>第十六条</w:t>
      </w:r>
      <w:r>
        <w:rPr>
          <w:rFonts w:hint="eastAsia" w:ascii="仿宋_GB2312" w:hAnsi="Tahoma" w:eastAsia="仿宋_GB2312" w:cs="仿宋_GB2312"/>
          <w:snapToGrid/>
          <w:color w:val="000000"/>
          <w:kern w:val="0"/>
          <w:sz w:val="32"/>
          <w:szCs w:val="32"/>
          <w:lang w:val="en-US" w:eastAsia="zh-CN" w:bidi="ar"/>
        </w:rPr>
        <w:t xml:space="preserve">  在</w:t>
      </w:r>
      <w:r>
        <w:rPr>
          <w:rFonts w:hint="eastAsia" w:ascii="仿宋_GB2312" w:hAnsi="Tahoma" w:eastAsia="仿宋_GB2312" w:cs="仿宋_GB2312"/>
          <w:snapToGrid/>
          <w:kern w:val="0"/>
          <w:sz w:val="32"/>
          <w:szCs w:val="32"/>
          <w:lang w:val="en-US" w:eastAsia="zh-CN" w:bidi="ar"/>
        </w:rPr>
        <w:t>饮用水地表水源二级保护区内，除准保护区内禁止的活动外，禁止下列活动：</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（一）新建、改建、扩建排放污染物的建设项目；</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（二）设立装卸垃圾、粪便、油类及其他有毒有害物品的码头；</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（三）新设探矿、采矿项目；</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（四）建设畜禽养殖场、养殖小区、畜禽屠宰场；</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（五）法律、法规禁止的其他可能污染饮用水地表水源二级保护区的活动。</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黑体" w:hAnsi="宋体" w:eastAsia="黑体" w:cs="黑体"/>
          <w:snapToGrid/>
          <w:color w:val="000000"/>
          <w:kern w:val="0"/>
          <w:sz w:val="32"/>
          <w:szCs w:val="32"/>
          <w:lang w:val="en-US" w:eastAsia="zh-CN" w:bidi="ar"/>
        </w:rPr>
        <w:t>第十七条</w:t>
      </w:r>
      <w:r>
        <w:rPr>
          <w:rFonts w:hint="eastAsia" w:ascii="仿宋_GB2312" w:hAnsi="Tahoma" w:eastAsia="仿宋_GB2312" w:cs="仿宋_GB2312"/>
          <w:snapToGrid/>
          <w:color w:val="000000"/>
          <w:kern w:val="0"/>
          <w:sz w:val="32"/>
          <w:szCs w:val="32"/>
          <w:lang w:val="en-US" w:eastAsia="zh-CN" w:bidi="ar"/>
        </w:rPr>
        <w:t xml:space="preserve">  在</w:t>
      </w:r>
      <w:r>
        <w:rPr>
          <w:rFonts w:hint="eastAsia" w:ascii="仿宋_GB2312" w:hAnsi="Tahoma" w:eastAsia="仿宋_GB2312" w:cs="仿宋_GB2312"/>
          <w:snapToGrid/>
          <w:kern w:val="0"/>
          <w:sz w:val="32"/>
          <w:szCs w:val="32"/>
          <w:lang w:val="en-US" w:eastAsia="zh-CN" w:bidi="ar"/>
        </w:rPr>
        <w:t>饮用水地表水源一级保护区内，除准保护区、二级保护区内禁止的活动外，禁止下列活动：</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（一）新建、改建、扩建与供水设施和保护水源无关的建设项目；</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（二）倾倒、堆放、贮存工业废渣和垃圾、粪便及其他废弃物；</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（三）从事网箱养殖、种植农作物、饲养畜禽；</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（四）修建墓地，丢弃、掩埋动物尸体；</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（五）采石、挖砂、取土；</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（六）清洗车辆或者容器；</w:t>
      </w:r>
      <w:r>
        <w:rPr>
          <w:rFonts w:hint="eastAsia" w:ascii="仿宋_GB2312" w:hAnsi="Tahoma" w:eastAsia="仿宋_GB2312" w:cs="仿宋_GB2312"/>
          <w:snapToGrid/>
          <w:kern w:val="0"/>
          <w:sz w:val="32"/>
          <w:szCs w:val="32"/>
          <w:lang w:val="en-US" w:eastAsia="zh-CN" w:bidi="ar"/>
        </w:rPr>
        <w:tab/>
      </w:r>
    </w:p>
    <w:p>
      <w:pPr>
        <w:keepNext w:val="0"/>
        <w:keepLines w:val="0"/>
        <w:widowControl w:val="0"/>
        <w:suppressLineNumbers w:val="0"/>
        <w:tabs>
          <w:tab w:val="left" w:pos="4946"/>
        </w:tabs>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（七）设置油库、化学品仓库；</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（八）从事旅游、游泳、垂钓、水上训练等可能污染饮用水水体的活动；</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（九）通行可能造成水体污染的船舶；</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（十）设置与污染防治、供水需要无关的码头；</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（十一）直接或者间接向水体排放污染物；</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（十二）法律、法规禁止的其他可能污染饮用水地表水源一级保护区的活动。</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黑体" w:hAnsi="宋体" w:eastAsia="黑体" w:cs="黑体"/>
          <w:snapToGrid/>
          <w:color w:val="000000"/>
          <w:kern w:val="0"/>
          <w:sz w:val="32"/>
          <w:szCs w:val="32"/>
          <w:lang w:val="en-US" w:eastAsia="zh-CN" w:bidi="ar"/>
        </w:rPr>
        <w:t>第十八条</w:t>
      </w:r>
      <w:r>
        <w:rPr>
          <w:rFonts w:hint="eastAsia" w:ascii="仿宋_GB2312" w:hAnsi="Tahoma" w:eastAsia="仿宋_GB2312" w:cs="仿宋_GB2312"/>
          <w:snapToGrid/>
          <w:color w:val="000000"/>
          <w:kern w:val="0"/>
          <w:sz w:val="32"/>
          <w:szCs w:val="32"/>
          <w:lang w:val="en-US" w:eastAsia="zh-CN" w:bidi="ar"/>
        </w:rPr>
        <w:t xml:space="preserve">  在</w:t>
      </w:r>
      <w:r>
        <w:rPr>
          <w:rFonts w:hint="eastAsia" w:ascii="仿宋_GB2312" w:hAnsi="Tahoma" w:eastAsia="仿宋_GB2312" w:cs="仿宋_GB2312"/>
          <w:snapToGrid/>
          <w:kern w:val="0"/>
          <w:sz w:val="32"/>
          <w:szCs w:val="32"/>
          <w:lang w:val="en-US" w:eastAsia="zh-CN" w:bidi="ar"/>
        </w:rPr>
        <w:t>饮用水地下水源准保护区内，禁止下列活动：</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（一）利用渗坑、渗井、矿井、裂隙、溶洞排放、倾倒含有毒污染物的废水、含病原体污水及其他废弃物；</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（二）利用储水层孔隙、裂隙、溶洞及废弃矿坑储存油类、放射性物质、有毒化学品、农药等；</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（三）使用剧毒、高残留农药；</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（四）利用有毒污泥作肥料，使用不符合国家农田灌溉水质标准的水进行灌溉；</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（五）法律、法规禁止的其他可能污染饮用水地下水源准保护区的活动。　</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黑体" w:hAnsi="宋体" w:eastAsia="黑体" w:cs="黑体"/>
          <w:snapToGrid/>
          <w:color w:val="000000"/>
          <w:kern w:val="0"/>
          <w:sz w:val="32"/>
          <w:szCs w:val="32"/>
          <w:lang w:val="en-US" w:eastAsia="zh-CN" w:bidi="ar"/>
        </w:rPr>
        <w:t>第十九条</w:t>
      </w:r>
      <w:r>
        <w:rPr>
          <w:rFonts w:hint="eastAsia" w:ascii="仿宋_GB2312" w:hAnsi="Tahoma" w:eastAsia="仿宋_GB2312" w:cs="仿宋_GB2312"/>
          <w:snapToGrid/>
          <w:color w:val="000000"/>
          <w:kern w:val="0"/>
          <w:sz w:val="32"/>
          <w:szCs w:val="32"/>
          <w:lang w:val="en-US" w:eastAsia="zh-CN" w:bidi="ar"/>
        </w:rPr>
        <w:t xml:space="preserve">  在</w:t>
      </w:r>
      <w:r>
        <w:rPr>
          <w:rFonts w:hint="eastAsia" w:ascii="仿宋_GB2312" w:hAnsi="Tahoma" w:eastAsia="仿宋_GB2312" w:cs="仿宋_GB2312"/>
          <w:snapToGrid/>
          <w:kern w:val="0"/>
          <w:sz w:val="32"/>
          <w:szCs w:val="32"/>
          <w:lang w:val="en-US" w:eastAsia="zh-CN" w:bidi="ar"/>
        </w:rPr>
        <w:t>饮用水地下水源二级保护区内，除准保护区内禁止的活动外，禁止下列活动：</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（一）新建、改建、扩建排放污染物的建设项目；</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（二）建设工业固体废物集中贮存、处置的设施、场所，设置垃圾、粪便和易溶、有毒有害废弃物堆放场、填埋场和中转站；</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（三）建设畜禽养殖场、养殖小区、畜禽屠宰场；</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（四）法律、法规禁止的其他可能污染饮用水地下水源二级保护区的活动。</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黑体" w:hAnsi="宋体" w:eastAsia="黑体" w:cs="黑体"/>
          <w:snapToGrid/>
          <w:color w:val="000000"/>
          <w:kern w:val="0"/>
          <w:sz w:val="32"/>
          <w:szCs w:val="32"/>
          <w:lang w:val="en-US" w:eastAsia="zh-CN" w:bidi="ar"/>
        </w:rPr>
        <w:t>第二十条</w:t>
      </w:r>
      <w:r>
        <w:rPr>
          <w:rFonts w:hint="eastAsia" w:ascii="仿宋_GB2312" w:hAnsi="Tahoma" w:eastAsia="仿宋_GB2312" w:cs="仿宋_GB2312"/>
          <w:snapToGrid/>
          <w:kern w:val="0"/>
          <w:sz w:val="32"/>
          <w:szCs w:val="32"/>
          <w:lang w:val="en-US" w:eastAsia="zh-CN" w:bidi="ar"/>
        </w:rPr>
        <w:t xml:space="preserve">  </w:t>
      </w:r>
      <w:r>
        <w:rPr>
          <w:rFonts w:hint="eastAsia" w:ascii="仿宋_GB2312" w:hAnsi="Tahoma" w:eastAsia="仿宋_GB2312" w:cs="仿宋_GB2312"/>
          <w:snapToGrid/>
          <w:color w:val="000000"/>
          <w:kern w:val="0"/>
          <w:sz w:val="32"/>
          <w:szCs w:val="32"/>
          <w:lang w:val="en-US" w:eastAsia="zh-CN" w:bidi="ar"/>
        </w:rPr>
        <w:t>在</w:t>
      </w:r>
      <w:r>
        <w:rPr>
          <w:rFonts w:hint="eastAsia" w:ascii="仿宋_GB2312" w:hAnsi="Tahoma" w:eastAsia="仿宋_GB2312" w:cs="仿宋_GB2312"/>
          <w:snapToGrid/>
          <w:kern w:val="0"/>
          <w:sz w:val="32"/>
          <w:szCs w:val="32"/>
          <w:lang w:val="en-US" w:eastAsia="zh-CN" w:bidi="ar"/>
        </w:rPr>
        <w:t>饮用水地下水源一级保护区内，除准保护区、二级保护区内禁止的活动外，禁止下列活动：</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（一）新建、改建、扩建与取水设施和保护饮用水水源无关的建设项目；</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（二）铺设输送污水、油类或者其他有毒有害物品的管道；　</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（三）倾倒、堆放、贮存工业废渣和垃圾、粪便及其他废弃物；</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（四）使用化肥、农药；</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（五）修建墓地，丢弃、掩埋动物尸体；</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（六）采石、挖砂、取土；</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（七）设置油库、化学品仓库；</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（八）法律、法规禁止的其他可能污染饮用水地下水源一级保护区的活动。</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黑体" w:hAnsi="宋体" w:eastAsia="黑体" w:cs="黑体"/>
          <w:snapToGrid/>
          <w:color w:val="000000"/>
          <w:kern w:val="0"/>
          <w:sz w:val="32"/>
          <w:szCs w:val="32"/>
          <w:lang w:val="en-US" w:eastAsia="zh-CN" w:bidi="ar"/>
        </w:rPr>
        <w:t>第二十一条</w:t>
      </w:r>
      <w:r>
        <w:rPr>
          <w:rFonts w:hint="eastAsia" w:ascii="仿宋_GB2312" w:hAnsi="Tahoma" w:eastAsia="仿宋_GB2312" w:cs="仿宋_GB2312"/>
          <w:snapToGrid/>
          <w:color w:val="000000"/>
          <w:kern w:val="0"/>
          <w:sz w:val="32"/>
          <w:szCs w:val="32"/>
          <w:lang w:val="en-US" w:eastAsia="zh-CN" w:bidi="ar"/>
        </w:rPr>
        <w:t xml:space="preserve">  </w:t>
      </w:r>
      <w:r>
        <w:rPr>
          <w:rFonts w:hint="eastAsia" w:ascii="仿宋_GB2312" w:hAnsi="Tahoma" w:eastAsia="仿宋_GB2312" w:cs="仿宋_GB2312"/>
          <w:snapToGrid/>
          <w:kern w:val="0"/>
          <w:sz w:val="32"/>
          <w:szCs w:val="32"/>
          <w:lang w:val="en-US" w:eastAsia="zh-CN" w:bidi="ar"/>
        </w:rPr>
        <w:t>人工回灌补给地下水的，应当经市、县（市）区卫生计生行政主管部门批准。回灌水水质应当符合生活饮用水水源的水质标准，禁止将污水用于地下水回灌。</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黑体" w:hAnsi="宋体" w:eastAsia="黑体" w:cs="黑体"/>
          <w:snapToGrid/>
          <w:kern w:val="0"/>
          <w:sz w:val="32"/>
          <w:szCs w:val="32"/>
          <w:lang w:val="en-US" w:eastAsia="zh-CN" w:bidi="ar"/>
        </w:rPr>
        <w:t>第二十二条</w:t>
      </w:r>
      <w:r>
        <w:rPr>
          <w:rFonts w:hint="eastAsia" w:ascii="仿宋_GB2312" w:hAnsi="Tahoma" w:eastAsia="仿宋_GB2312" w:cs="仿宋_GB2312"/>
          <w:snapToGrid/>
          <w:kern w:val="0"/>
          <w:sz w:val="32"/>
          <w:szCs w:val="32"/>
          <w:lang w:val="en-US" w:eastAsia="zh-CN" w:bidi="ar"/>
        </w:rPr>
        <w:t xml:space="preserve">  公安机关交通管理部门应当在饮用水水源保护区内划定禁止运输危险化学品车辆通行的区域，设置禁行标志。</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运输危险化学品的机动车，确需驶入饮用水水源保护区的，应当经公安机关批准，按指定的时间、路线、速度行驶，悬挂警示标志并采取必要的安全措施。</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黑体" w:hAnsi="宋体" w:eastAsia="黑体" w:cs="黑体"/>
          <w:snapToGrid/>
          <w:color w:val="000000"/>
          <w:kern w:val="0"/>
          <w:sz w:val="32"/>
          <w:szCs w:val="32"/>
          <w:lang w:val="en-US" w:eastAsia="zh-CN" w:bidi="ar"/>
        </w:rPr>
        <w:t>第二十三条</w:t>
      </w:r>
      <w:r>
        <w:rPr>
          <w:rFonts w:hint="eastAsia" w:ascii="仿宋_GB2312" w:hAnsi="Tahoma" w:eastAsia="仿宋_GB2312" w:cs="仿宋_GB2312"/>
          <w:snapToGrid/>
          <w:color w:val="000000"/>
          <w:kern w:val="0"/>
          <w:sz w:val="32"/>
          <w:szCs w:val="32"/>
          <w:lang w:val="en-US" w:eastAsia="zh-CN" w:bidi="ar"/>
        </w:rPr>
        <w:t xml:space="preserve">  饮用水水源保护区所在地的县（市）区人民政府应当加强城乡环境综合整治，完善城乡生活污水、垃圾处理设施，防止生活污水、垃圾污染饮用水水源。推广测土配方施肥技术，引导和鼓励农民使用生物农药或者高效、低毒、低残留农药，防治农业面源污染。</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黑体" w:hAnsi="宋体" w:eastAsia="黑体" w:cs="黑体"/>
          <w:snapToGrid/>
          <w:color w:val="000000"/>
          <w:kern w:val="0"/>
          <w:sz w:val="32"/>
          <w:szCs w:val="32"/>
          <w:lang w:val="en-US" w:eastAsia="zh-CN" w:bidi="ar"/>
        </w:rPr>
        <w:t>第二十四条</w:t>
      </w:r>
      <w:r>
        <w:rPr>
          <w:rFonts w:hint="eastAsia" w:ascii="仿宋_GB2312" w:hAnsi="Tahoma" w:eastAsia="仿宋_GB2312" w:cs="仿宋_GB2312"/>
          <w:snapToGrid/>
          <w:color w:val="000000"/>
          <w:kern w:val="0"/>
          <w:sz w:val="32"/>
          <w:szCs w:val="32"/>
          <w:lang w:val="en-US" w:eastAsia="zh-CN" w:bidi="ar"/>
        </w:rPr>
        <w:t xml:space="preserve">  </w:t>
      </w:r>
      <w:r>
        <w:rPr>
          <w:rFonts w:hint="eastAsia" w:ascii="仿宋_GB2312" w:hAnsi="Tahoma" w:eastAsia="仿宋_GB2312" w:cs="仿宋_GB2312"/>
          <w:snapToGrid/>
          <w:kern w:val="0"/>
          <w:sz w:val="32"/>
          <w:szCs w:val="32"/>
          <w:lang w:val="en-US" w:eastAsia="zh-CN" w:bidi="ar"/>
        </w:rPr>
        <w:t>市和县（市）区人民政府应当根据保护饮用水水源的需要，在饮用水水源保护区内采取工程措施或者建造湿地、水源涵养林等生态保护措施，防止污染物直接排入饮用水水体，确保饮用水安全。</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color w:val="000000"/>
          <w:sz w:val="32"/>
          <w:szCs w:val="32"/>
          <w:lang w:val="en-US"/>
        </w:rPr>
      </w:pPr>
      <w:r>
        <w:rPr>
          <w:rFonts w:hint="eastAsia" w:ascii="黑体" w:hAnsi="宋体" w:eastAsia="黑体" w:cs="黑体"/>
          <w:snapToGrid/>
          <w:color w:val="000000"/>
          <w:kern w:val="0"/>
          <w:sz w:val="32"/>
          <w:szCs w:val="32"/>
          <w:lang w:val="en-US" w:eastAsia="zh-CN" w:bidi="ar"/>
        </w:rPr>
        <w:t>第二十五条</w:t>
      </w:r>
      <w:r>
        <w:rPr>
          <w:rFonts w:hint="eastAsia" w:ascii="仿宋_GB2312" w:hAnsi="Tahoma" w:eastAsia="仿宋_GB2312" w:cs="仿宋_GB2312"/>
          <w:snapToGrid/>
          <w:color w:val="000000"/>
          <w:kern w:val="0"/>
          <w:sz w:val="32"/>
          <w:szCs w:val="32"/>
          <w:lang w:val="en-US" w:eastAsia="zh-CN" w:bidi="ar"/>
        </w:rPr>
        <w:t xml:space="preserve">  市和县（市）区人民政府应当建立健全饮用水水源生态保护补偿机制，明确补偿主体和对象，合理确定补偿标准，将生态补偿资金列入年度财政预算，通过财政转移支付等方式，保护和改善水源保护区的生态环境，保障水源水质，促进水源保护地区和其他地区的协调发展。饮用水水源生态保护补偿的具体办法由市人民政府制定。</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p>
    <w:p>
      <w:pPr>
        <w:keepNext w:val="0"/>
        <w:keepLines w:val="0"/>
        <w:widowControl w:val="0"/>
        <w:suppressLineNumbers w:val="0"/>
        <w:adjustRightInd w:val="0"/>
        <w:snapToGrid w:val="0"/>
        <w:spacing w:before="0" w:beforeAutospacing="0" w:after="0" w:afterAutospacing="0" w:line="560" w:lineRule="exact"/>
        <w:ind w:left="0" w:right="0"/>
        <w:jc w:val="center"/>
        <w:rPr>
          <w:rFonts w:hint="eastAsia" w:ascii="黑体" w:hAnsi="宋体" w:eastAsia="黑体" w:cs="黑体"/>
          <w:color w:val="000000"/>
          <w:sz w:val="32"/>
          <w:szCs w:val="32"/>
          <w:lang w:val="en-US"/>
        </w:rPr>
      </w:pPr>
      <w:r>
        <w:rPr>
          <w:rFonts w:hint="eastAsia" w:ascii="黑体" w:hAnsi="宋体" w:eastAsia="黑体" w:cs="黑体"/>
          <w:snapToGrid/>
          <w:color w:val="000000"/>
          <w:kern w:val="0"/>
          <w:sz w:val="32"/>
          <w:szCs w:val="32"/>
          <w:lang w:val="en-US" w:eastAsia="zh-CN" w:bidi="ar"/>
        </w:rPr>
        <w:t>第三章　监督管理</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color w:val="000000"/>
          <w:sz w:val="32"/>
          <w:szCs w:val="32"/>
          <w:lang w:val="en-US"/>
        </w:rPr>
      </w:pP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黑体" w:hAnsi="宋体" w:eastAsia="黑体" w:cs="黑体"/>
          <w:snapToGrid/>
          <w:color w:val="000000"/>
          <w:kern w:val="0"/>
          <w:sz w:val="32"/>
          <w:szCs w:val="32"/>
          <w:lang w:val="en-US" w:eastAsia="zh-CN" w:bidi="ar"/>
        </w:rPr>
        <w:t>第二十六条</w:t>
      </w:r>
      <w:r>
        <w:rPr>
          <w:rFonts w:hint="eastAsia" w:ascii="仿宋_GB2312" w:hAnsi="Tahoma" w:eastAsia="仿宋_GB2312" w:cs="仿宋_GB2312"/>
          <w:snapToGrid/>
          <w:color w:val="000000"/>
          <w:kern w:val="0"/>
          <w:sz w:val="32"/>
          <w:szCs w:val="32"/>
          <w:lang w:val="en-US" w:eastAsia="zh-CN" w:bidi="ar"/>
        </w:rPr>
        <w:t xml:space="preserve">  </w:t>
      </w:r>
      <w:r>
        <w:rPr>
          <w:rFonts w:hint="eastAsia" w:ascii="仿宋_GB2312" w:hAnsi="Tahoma" w:eastAsia="仿宋_GB2312" w:cs="仿宋_GB2312"/>
          <w:snapToGrid/>
          <w:kern w:val="0"/>
          <w:sz w:val="32"/>
          <w:szCs w:val="32"/>
          <w:lang w:val="en-US" w:eastAsia="zh-CN" w:bidi="ar"/>
        </w:rPr>
        <w:t>饮用水水源上游不在本市行政区域内的，市环境保护、水利等部门应当加强与水源上游城市相关部门的联系和沟通，建立饮用水水源污染防治协调合作机制，研究解决饮用水水源污染防治工作中的重大问题，做好饮用水水源保护区的污染防治工作。</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color w:val="000000"/>
          <w:sz w:val="32"/>
          <w:szCs w:val="32"/>
          <w:lang w:val="en-US"/>
        </w:rPr>
      </w:pPr>
      <w:r>
        <w:rPr>
          <w:rFonts w:hint="eastAsia" w:ascii="黑体" w:hAnsi="宋体" w:eastAsia="黑体" w:cs="黑体"/>
          <w:snapToGrid/>
          <w:color w:val="000000"/>
          <w:kern w:val="0"/>
          <w:sz w:val="32"/>
          <w:szCs w:val="32"/>
          <w:lang w:val="en-US" w:eastAsia="zh-CN" w:bidi="ar"/>
        </w:rPr>
        <w:t>第二十七条</w:t>
      </w:r>
      <w:r>
        <w:rPr>
          <w:rFonts w:hint="eastAsia" w:ascii="仿宋_GB2312" w:hAnsi="Tahoma" w:eastAsia="仿宋_GB2312" w:cs="仿宋_GB2312"/>
          <w:snapToGrid/>
          <w:color w:val="000000"/>
          <w:kern w:val="0"/>
          <w:sz w:val="32"/>
          <w:szCs w:val="32"/>
          <w:lang w:val="en-US" w:eastAsia="zh-CN" w:bidi="ar"/>
        </w:rPr>
        <w:t xml:space="preserve">  县（市）区</w:t>
      </w:r>
      <w:r>
        <w:rPr>
          <w:rFonts w:hint="eastAsia" w:ascii="仿宋_GB2312" w:hAnsi="Tahoma" w:eastAsia="仿宋_GB2312" w:cs="仿宋_GB2312"/>
          <w:snapToGrid/>
          <w:kern w:val="0"/>
          <w:sz w:val="32"/>
          <w:szCs w:val="32"/>
          <w:lang w:val="en-US" w:eastAsia="zh-CN" w:bidi="ar"/>
        </w:rPr>
        <w:t>人民政府应当逐步对辖区饮用水水源保护区内影响水源保护的设施限期关闭，优先安排饮用水水源水质保护工程用地和异地发展用地。</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黑体" w:hAnsi="宋体" w:eastAsia="黑体" w:cs="黑体"/>
          <w:snapToGrid/>
          <w:color w:val="000000"/>
          <w:kern w:val="0"/>
          <w:sz w:val="32"/>
          <w:szCs w:val="32"/>
          <w:lang w:val="en-US" w:eastAsia="zh-CN" w:bidi="ar"/>
        </w:rPr>
        <w:t>第二十八条</w:t>
      </w:r>
      <w:r>
        <w:rPr>
          <w:rFonts w:hint="eastAsia" w:ascii="仿宋_GB2312" w:hAnsi="Tahoma" w:eastAsia="仿宋_GB2312" w:cs="仿宋_GB2312"/>
          <w:snapToGrid/>
          <w:color w:val="000000"/>
          <w:kern w:val="0"/>
          <w:sz w:val="32"/>
          <w:szCs w:val="32"/>
          <w:lang w:val="en-US" w:eastAsia="zh-CN" w:bidi="ar"/>
        </w:rPr>
        <w:t xml:space="preserve">  </w:t>
      </w:r>
      <w:r>
        <w:rPr>
          <w:rFonts w:hint="eastAsia" w:ascii="仿宋_GB2312" w:hAnsi="Tahoma" w:eastAsia="仿宋_GB2312" w:cs="仿宋_GB2312"/>
          <w:snapToGrid/>
          <w:kern w:val="0"/>
          <w:sz w:val="32"/>
          <w:szCs w:val="32"/>
          <w:lang w:val="en-US" w:eastAsia="zh-CN" w:bidi="ar"/>
        </w:rPr>
        <w:t>环境保护行政主管部门应当加强对饮用水水源保护区及其周边污染物排放情况的监督检查。发现污染饮用水水源的污染源，应当立即责令排污单位停止排放污染物，并对污染物进行清理，排污单位拒不停止排放污染物的，可以报经有批准权的人民政府批准，责令停业、关闭。</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对不能确定责任人的污染物，由污染物所在地的县（市）区人民政府组织清理。</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黑体" w:hAnsi="宋体" w:eastAsia="黑体" w:cs="黑体"/>
          <w:snapToGrid/>
          <w:color w:val="000000"/>
          <w:kern w:val="0"/>
          <w:sz w:val="32"/>
          <w:szCs w:val="32"/>
          <w:lang w:val="en-US" w:eastAsia="zh-CN" w:bidi="ar"/>
        </w:rPr>
        <w:t>第二十九条</w:t>
      </w:r>
      <w:r>
        <w:rPr>
          <w:rFonts w:hint="eastAsia" w:ascii="仿宋_GB2312" w:hAnsi="Tahoma" w:eastAsia="仿宋_GB2312" w:cs="仿宋_GB2312"/>
          <w:snapToGrid/>
          <w:color w:val="000000"/>
          <w:kern w:val="0"/>
          <w:sz w:val="32"/>
          <w:szCs w:val="32"/>
          <w:lang w:val="en-US" w:eastAsia="zh-CN" w:bidi="ar"/>
        </w:rPr>
        <w:t xml:space="preserve">  </w:t>
      </w:r>
      <w:r>
        <w:rPr>
          <w:rFonts w:hint="eastAsia" w:ascii="仿宋_GB2312" w:hAnsi="Tahoma" w:eastAsia="仿宋_GB2312" w:cs="仿宋_GB2312"/>
          <w:snapToGrid/>
          <w:kern w:val="0"/>
          <w:sz w:val="32"/>
          <w:szCs w:val="32"/>
          <w:lang w:val="en-US" w:eastAsia="zh-CN" w:bidi="ar"/>
        </w:rPr>
        <w:t>市和县（市）区环境保护行政主管部门应当建立饮用水水源水质监测信息系统，对饮用水水源水质进行监测，并定期公布监测结果。对饮用水水源保护情况进行评估，发现水质异常的，应当立即采取污染防治措施，并向同级人民政府报告。</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黑体" w:hAnsi="宋体" w:eastAsia="黑体" w:cs="黑体"/>
          <w:snapToGrid/>
          <w:color w:val="000000"/>
          <w:kern w:val="0"/>
          <w:sz w:val="32"/>
          <w:szCs w:val="32"/>
          <w:lang w:val="en-US" w:eastAsia="zh-CN" w:bidi="ar"/>
        </w:rPr>
        <w:t xml:space="preserve">第三十条 </w:t>
      </w:r>
      <w:r>
        <w:rPr>
          <w:rFonts w:hint="eastAsia" w:ascii="仿宋_GB2312" w:hAnsi="Tahoma" w:eastAsia="仿宋_GB2312" w:cs="仿宋_GB2312"/>
          <w:snapToGrid/>
          <w:color w:val="000000"/>
          <w:kern w:val="0"/>
          <w:sz w:val="32"/>
          <w:szCs w:val="32"/>
          <w:lang w:val="en-US" w:eastAsia="zh-CN" w:bidi="ar"/>
        </w:rPr>
        <w:t xml:space="preserve"> </w:t>
      </w:r>
      <w:r>
        <w:rPr>
          <w:rFonts w:hint="eastAsia" w:ascii="仿宋_GB2312" w:hAnsi="Tahoma" w:eastAsia="仿宋_GB2312" w:cs="仿宋_GB2312"/>
          <w:snapToGrid/>
          <w:kern w:val="0"/>
          <w:sz w:val="32"/>
          <w:szCs w:val="32"/>
          <w:lang w:val="en-US" w:eastAsia="zh-CN" w:bidi="ar"/>
        </w:rPr>
        <w:t>饮用水水源管理机构应当建立日常巡查制度，防止污染饮用水水源的行为，发现水质异常的，应当立即采取污染防治措施，并向环境保护和水利行政主管部门报告。</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饮用水水源管理机构不得利用饮用水水源从事与供水、保护水源无关的活动。</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黑体" w:hAnsi="宋体" w:eastAsia="黑体" w:cs="黑体"/>
          <w:snapToGrid/>
          <w:color w:val="000000"/>
          <w:kern w:val="0"/>
          <w:sz w:val="32"/>
          <w:szCs w:val="32"/>
          <w:lang w:val="en-US" w:eastAsia="zh-CN" w:bidi="ar"/>
        </w:rPr>
        <w:t>第三十一条</w:t>
      </w:r>
      <w:r>
        <w:rPr>
          <w:rFonts w:hint="eastAsia" w:ascii="仿宋_GB2312" w:hAnsi="Tahoma" w:eastAsia="仿宋_GB2312" w:cs="仿宋_GB2312"/>
          <w:snapToGrid/>
          <w:kern w:val="0"/>
          <w:sz w:val="32"/>
          <w:szCs w:val="32"/>
          <w:lang w:val="en-US" w:eastAsia="zh-CN" w:bidi="ar"/>
        </w:rPr>
        <w:t xml:space="preserve">  市和县（市）区各相关部门，应当按照各自职责，共同做好饮用水水源保护区污染防治工作，保证饮用水水质安全：</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（一）环境保护行政主管部门负责查处污染饮用水水源的违法行为和事故，建立水质监测网络和信息发布平台；</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（二）规划建设行政主管部门负责饮用水水源保护区及其周围的规划建设，防止饮用水水源的污染，对在饮用水水源保护区内建设的项目，应当严格依法审批管理，防止污染水源；</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 xml:space="preserve">（三）国土资源行政主管部门负责审批矿产资源的开采和加工利用项目，对在饮用水水源保护区内及周围建设的项目，应当依法严格审批管理，防止水土流失和污染水源；  </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（四）水利行政主管部门负责加强水土保持和涵养水源工作，查处违法进行河道采砂、取土、爆破等作业，防止水源枯竭；</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 xml:space="preserve">（五）公安机关负责剧毒、危险化学品运输安全监督管理，加强饮用水水源地治安管理； </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 xml:space="preserve">（六）安监行政主管部门负责剧毒、危险化学品使用、储存的安全监督管理； </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（七）林业行政主管部门负责饮用水水源保护区内水源涵养林发展和利用规划的制定和实施，以及涵养林地植被的保护管理；</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（八）卫生计生行政主管部门负责饮用水水质的监督管理及评价；</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 xml:space="preserve">（九）农业（畜牧）行政主管部门负责畜禽养殖业、农业种植业生产对饮用水水源污染的监督管理； </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 xml:space="preserve">（十）海洋与渔业行政主管部门负责渔业生产水域污染的监督管理； </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（十一）公用事业行政主管部门负责城市生活垃圾的收集、清运和无害化处理的监督管理，监督指导城市供水单位监测水质状况，发现污染应当立即采取应急措施，并向同级人民政府报告；</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（十二）工商、食品药品监管、质量技术监督行政主管部门对饮用水水源保护区内的项目，应当依法严格审批管理，对法律、法规禁止开办的各类项目，不得办理许可事项；</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（十三）城管综合执法行政主管部门负责查处在城市规划区内的水源保护区进行违法建设的行为。</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黑体" w:hAnsi="宋体" w:eastAsia="黑体" w:cs="黑体"/>
          <w:snapToGrid/>
          <w:color w:val="000000"/>
          <w:kern w:val="0"/>
          <w:sz w:val="32"/>
          <w:szCs w:val="32"/>
          <w:lang w:val="en-US" w:eastAsia="zh-CN" w:bidi="ar"/>
        </w:rPr>
        <w:t>第三十二条</w:t>
      </w:r>
      <w:r>
        <w:rPr>
          <w:rFonts w:hint="eastAsia" w:ascii="仿宋_GB2312" w:hAnsi="Tahoma" w:eastAsia="仿宋_GB2312" w:cs="仿宋_GB2312"/>
          <w:snapToGrid/>
          <w:kern w:val="0"/>
          <w:sz w:val="32"/>
          <w:szCs w:val="32"/>
          <w:lang w:val="en-US" w:eastAsia="zh-CN" w:bidi="ar"/>
        </w:rPr>
        <w:t xml:space="preserve">  可能发生水污染事故的单位，应当制定水污染事故应急预案。发生饮用水水源环境污染事件，应当立即按照相关法律及应急预案进行处置。</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黑体" w:hAnsi="宋体" w:eastAsia="黑体" w:cs="黑体"/>
          <w:snapToGrid/>
          <w:color w:val="000000"/>
          <w:kern w:val="0"/>
          <w:sz w:val="32"/>
          <w:szCs w:val="32"/>
          <w:lang w:val="en-US" w:eastAsia="zh-CN" w:bidi="ar"/>
        </w:rPr>
        <w:t>第三十三条</w:t>
      </w:r>
      <w:r>
        <w:rPr>
          <w:rFonts w:hint="eastAsia" w:ascii="黑体" w:hAnsi="宋体" w:eastAsia="黑体" w:cs="黑体"/>
          <w:snapToGrid/>
          <w:kern w:val="0"/>
          <w:sz w:val="32"/>
          <w:szCs w:val="32"/>
          <w:lang w:val="en-US" w:eastAsia="zh-CN" w:bidi="ar"/>
        </w:rPr>
        <w:t xml:space="preserve"> </w:t>
      </w:r>
      <w:r>
        <w:rPr>
          <w:rFonts w:hint="eastAsia" w:ascii="仿宋_GB2312" w:hAnsi="Tahoma" w:eastAsia="仿宋_GB2312" w:cs="仿宋_GB2312"/>
          <w:snapToGrid/>
          <w:kern w:val="0"/>
          <w:sz w:val="32"/>
          <w:szCs w:val="32"/>
          <w:lang w:val="en-US" w:eastAsia="zh-CN" w:bidi="ar"/>
        </w:rPr>
        <w:t xml:space="preserve"> 环境保护等行政主管部门应当公开举报电话和电子邮箱，及时受理公民、法人和其他组织对破坏、污染水源行为的举报，并依法查处违法行为；对不属于本部门职责范围的，应当及时移交有关部门依法查处。</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p>
    <w:p>
      <w:pPr>
        <w:keepNext w:val="0"/>
        <w:keepLines w:val="0"/>
        <w:widowControl w:val="0"/>
        <w:suppressLineNumbers w:val="0"/>
        <w:adjustRightInd w:val="0"/>
        <w:snapToGrid w:val="0"/>
        <w:spacing w:before="0" w:beforeAutospacing="0" w:after="0" w:afterAutospacing="0" w:line="560" w:lineRule="exact"/>
        <w:ind w:left="0" w:right="0"/>
        <w:jc w:val="center"/>
        <w:rPr>
          <w:rFonts w:hint="eastAsia" w:ascii="黑体" w:hAnsi="宋体" w:eastAsia="黑体" w:cs="黑体"/>
          <w:color w:val="000000"/>
          <w:sz w:val="32"/>
          <w:szCs w:val="32"/>
          <w:lang w:val="en-US"/>
        </w:rPr>
      </w:pPr>
      <w:r>
        <w:rPr>
          <w:rFonts w:hint="eastAsia" w:ascii="黑体" w:hAnsi="宋体" w:eastAsia="黑体" w:cs="黑体"/>
          <w:snapToGrid/>
          <w:color w:val="000000"/>
          <w:kern w:val="0"/>
          <w:sz w:val="32"/>
          <w:szCs w:val="32"/>
          <w:lang w:val="en-US" w:eastAsia="zh-CN" w:bidi="ar"/>
        </w:rPr>
        <w:t>第四章  法律责任</w:t>
      </w:r>
    </w:p>
    <w:p>
      <w:pPr>
        <w:keepNext w:val="0"/>
        <w:keepLines w:val="0"/>
        <w:widowControl w:val="0"/>
        <w:suppressLineNumbers w:val="0"/>
        <w:adjustRightInd w:val="0"/>
        <w:snapToGrid w:val="0"/>
        <w:spacing w:before="0" w:beforeAutospacing="0" w:after="0" w:afterAutospacing="0" w:line="560" w:lineRule="exact"/>
        <w:ind w:left="0" w:right="0"/>
        <w:jc w:val="center"/>
        <w:rPr>
          <w:rFonts w:hint="eastAsia" w:ascii="仿宋_GB2312" w:eastAsia="仿宋_GB2312" w:cs="仿宋_GB2312"/>
          <w:color w:val="000000"/>
          <w:sz w:val="32"/>
          <w:szCs w:val="32"/>
          <w:lang w:val="en-US"/>
        </w:rPr>
      </w:pP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黑体" w:hAnsi="宋体" w:eastAsia="黑体" w:cs="黑体"/>
          <w:snapToGrid/>
          <w:color w:val="000000"/>
          <w:kern w:val="0"/>
          <w:sz w:val="32"/>
          <w:szCs w:val="32"/>
          <w:lang w:val="en-US" w:eastAsia="zh-CN" w:bidi="ar"/>
        </w:rPr>
        <w:t>第三十四条</w:t>
      </w:r>
      <w:r>
        <w:rPr>
          <w:rFonts w:hint="eastAsia" w:ascii="仿宋_GB2312" w:hAnsi="Tahoma" w:eastAsia="仿宋_GB2312" w:cs="仿宋_GB2312"/>
          <w:snapToGrid/>
          <w:kern w:val="0"/>
          <w:sz w:val="32"/>
          <w:szCs w:val="32"/>
          <w:lang w:val="en-US" w:eastAsia="zh-CN" w:bidi="ar"/>
        </w:rPr>
        <w:t xml:space="preserve">  违反本条例规定的行为，《中华人民共和国水污染防治法》等有关法律、法规已有处罚规定的，从其规定；构成违反治安管理行为的，依法给予治安管理处罚；</w:t>
      </w:r>
      <w:r>
        <w:rPr>
          <w:rFonts w:hint="eastAsia" w:ascii="仿宋_GB2312" w:hAnsi="宋体" w:eastAsia="仿宋_GB2312" w:cs="宋体"/>
          <w:snapToGrid/>
          <w:kern w:val="0"/>
          <w:sz w:val="32"/>
          <w:szCs w:val="32"/>
          <w:lang w:val="en-US" w:eastAsia="zh-CN" w:bidi="ar"/>
        </w:rPr>
        <w:t>涉嫌犯罪的，依法移送司法机关处理</w:t>
      </w:r>
      <w:r>
        <w:rPr>
          <w:rFonts w:hint="eastAsia" w:ascii="仿宋_GB2312" w:hAnsi="Tahoma" w:eastAsia="仿宋_GB2312" w:cs="仿宋_GB2312"/>
          <w:snapToGrid/>
          <w:kern w:val="0"/>
          <w:sz w:val="32"/>
          <w:szCs w:val="32"/>
          <w:lang w:val="en-US" w:eastAsia="zh-CN" w:bidi="ar"/>
        </w:rPr>
        <w:t>。</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黑体" w:hAnsi="宋体" w:eastAsia="黑体" w:cs="黑体"/>
          <w:snapToGrid/>
          <w:kern w:val="0"/>
          <w:sz w:val="32"/>
          <w:szCs w:val="32"/>
          <w:lang w:val="en-US" w:eastAsia="zh-CN" w:bidi="ar"/>
        </w:rPr>
        <w:t>第三十五条</w:t>
      </w:r>
      <w:r>
        <w:rPr>
          <w:rFonts w:hint="eastAsia" w:ascii="仿宋_GB2312" w:hAnsi="Tahoma" w:eastAsia="仿宋_GB2312" w:cs="仿宋_GB2312"/>
          <w:snapToGrid/>
          <w:kern w:val="0"/>
          <w:sz w:val="32"/>
          <w:szCs w:val="32"/>
          <w:lang w:val="en-US" w:eastAsia="zh-CN" w:bidi="ar"/>
        </w:rPr>
        <w:t xml:space="preserve">  违反本条例规定，涂改、损毁或者擅自移动饮用水水源保护区地理界标、警示标志、隔离设施的，由环境保护行政主管部门责令改正，情节较轻的，处三千元罚款；情节较重的，处五千元罚款。</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黑体" w:hAnsi="宋体" w:eastAsia="黑体" w:cs="黑体"/>
          <w:snapToGrid/>
          <w:color w:val="000000"/>
          <w:kern w:val="0"/>
          <w:sz w:val="32"/>
          <w:szCs w:val="32"/>
          <w:lang w:val="en-US" w:eastAsia="zh-CN" w:bidi="ar"/>
        </w:rPr>
        <w:t>第三十六条</w:t>
      </w:r>
      <w:r>
        <w:rPr>
          <w:rFonts w:hint="eastAsia" w:ascii="仿宋_GB2312" w:hAnsi="Tahoma" w:eastAsia="仿宋_GB2312" w:cs="仿宋_GB2312"/>
          <w:snapToGrid/>
          <w:kern w:val="0"/>
          <w:sz w:val="32"/>
          <w:szCs w:val="32"/>
          <w:lang w:val="en-US" w:eastAsia="zh-CN" w:bidi="ar"/>
        </w:rPr>
        <w:t xml:space="preserve">  违反本条例规定，在饮用水地表水源保护区内有下列行为之一的，由环境保护行政主管部门责令改正，对个人处五百元罚款，对单位处十万元罚款：</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（一）破坏水环境生态平衡以及破坏水源林、护岸林、与水源保护相关植被的；</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（二）使用剧毒、高残留农药的；</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（三）使用炸鱼、毒鱼方法捕捞鱼类的；</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（四）在一级、二级保护区内建设畜禽屠宰场的。</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黑体" w:hAnsi="宋体" w:eastAsia="黑体" w:cs="黑体"/>
          <w:snapToGrid/>
          <w:color w:val="000000"/>
          <w:kern w:val="0"/>
          <w:sz w:val="32"/>
          <w:szCs w:val="32"/>
          <w:lang w:val="en-US" w:eastAsia="zh-CN" w:bidi="ar"/>
        </w:rPr>
        <w:t>第三十七条</w:t>
      </w:r>
      <w:r>
        <w:rPr>
          <w:rFonts w:hint="eastAsia" w:ascii="仿宋_GB2312" w:hAnsi="Tahoma" w:eastAsia="仿宋_GB2312" w:cs="仿宋_GB2312"/>
          <w:snapToGrid/>
          <w:color w:val="000000"/>
          <w:kern w:val="0"/>
          <w:sz w:val="32"/>
          <w:szCs w:val="32"/>
          <w:lang w:val="en-US" w:eastAsia="zh-CN" w:bidi="ar"/>
        </w:rPr>
        <w:t xml:space="preserve">  </w:t>
      </w:r>
      <w:r>
        <w:rPr>
          <w:rFonts w:hint="eastAsia" w:ascii="仿宋_GB2312" w:hAnsi="Tahoma" w:eastAsia="仿宋_GB2312" w:cs="仿宋_GB2312"/>
          <w:snapToGrid/>
          <w:kern w:val="0"/>
          <w:sz w:val="32"/>
          <w:szCs w:val="32"/>
          <w:lang w:val="en-US" w:eastAsia="zh-CN" w:bidi="ar"/>
        </w:rPr>
        <w:t>违反本条例规定，在饮用水地表水源一级保护区内，有下列行为之一的，由环境保护行政主管部门责令改正，对个人处五百元罚款，对单位处十万元罚款：</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（一）种植农作物、饲养畜禽的；</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（二）修建墓地，丢弃、掩埋动物尸体的；</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（三）采石、挖砂、取土的；</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（四）清洗车辆或者容器的；</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（五）设置油库、化学品仓库的；</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（六）通行可能造成水体污染船舶的；</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（七）设置与污染防治、供水需要无关码头的；</w:t>
      </w:r>
    </w:p>
    <w:p>
      <w:pPr>
        <w:keepNext w:val="0"/>
        <w:keepLines w:val="0"/>
        <w:widowControl w:val="0"/>
        <w:suppressLineNumbers w:val="0"/>
        <w:tabs>
          <w:tab w:val="left" w:pos="4946"/>
        </w:tabs>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（八）直接或者间接向水体排放污染物的。</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黑体" w:hAnsi="宋体" w:eastAsia="黑体" w:cs="黑体"/>
          <w:snapToGrid/>
          <w:color w:val="000000"/>
          <w:kern w:val="0"/>
          <w:sz w:val="32"/>
          <w:szCs w:val="32"/>
          <w:lang w:val="en-US" w:eastAsia="zh-CN" w:bidi="ar"/>
        </w:rPr>
        <w:t>第三十八条</w:t>
      </w:r>
      <w:r>
        <w:rPr>
          <w:rFonts w:hint="eastAsia" w:ascii="仿宋_GB2312" w:hAnsi="Tahoma" w:eastAsia="仿宋_GB2312" w:cs="仿宋_GB2312"/>
          <w:snapToGrid/>
          <w:color w:val="000000"/>
          <w:kern w:val="0"/>
          <w:sz w:val="32"/>
          <w:szCs w:val="32"/>
          <w:lang w:val="en-US" w:eastAsia="zh-CN" w:bidi="ar"/>
        </w:rPr>
        <w:t xml:space="preserve">  </w:t>
      </w:r>
      <w:r>
        <w:rPr>
          <w:rFonts w:hint="eastAsia" w:ascii="仿宋_GB2312" w:hAnsi="Tahoma" w:eastAsia="仿宋_GB2312" w:cs="仿宋_GB2312"/>
          <w:snapToGrid/>
          <w:kern w:val="0"/>
          <w:sz w:val="32"/>
          <w:szCs w:val="32"/>
          <w:lang w:val="en-US" w:eastAsia="zh-CN" w:bidi="ar"/>
        </w:rPr>
        <w:t>违反本条例规定，在饮用水地下水源保护区内有下列行为之一的，由环境保护行政主管部门责令改正，对个人处五百元罚款，对单位处十万元罚款：</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（一）使用剧毒、高残留农药的；</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（二）利用有毒污泥作肥料，使用不符合国家农田灌溉水质标准的水进行灌溉的；</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（三）在一级、二级保护区内建设畜禽屠宰场的。</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黑体" w:hAnsi="宋体" w:eastAsia="黑体" w:cs="黑体"/>
          <w:snapToGrid/>
          <w:color w:val="000000"/>
          <w:kern w:val="0"/>
          <w:sz w:val="32"/>
          <w:szCs w:val="32"/>
          <w:lang w:val="en-US" w:eastAsia="zh-CN" w:bidi="ar"/>
        </w:rPr>
        <w:t>第三十九条</w:t>
      </w:r>
      <w:r>
        <w:rPr>
          <w:rFonts w:hint="eastAsia" w:ascii="仿宋_GB2312" w:hAnsi="Tahoma" w:eastAsia="仿宋_GB2312" w:cs="仿宋_GB2312"/>
          <w:snapToGrid/>
          <w:color w:val="000000"/>
          <w:kern w:val="0"/>
          <w:sz w:val="32"/>
          <w:szCs w:val="32"/>
          <w:lang w:val="en-US" w:eastAsia="zh-CN" w:bidi="ar"/>
        </w:rPr>
        <w:t xml:space="preserve">  </w:t>
      </w:r>
      <w:r>
        <w:rPr>
          <w:rFonts w:hint="eastAsia" w:ascii="仿宋_GB2312" w:hAnsi="Tahoma" w:eastAsia="仿宋_GB2312" w:cs="仿宋_GB2312"/>
          <w:snapToGrid/>
          <w:kern w:val="0"/>
          <w:sz w:val="32"/>
          <w:szCs w:val="32"/>
          <w:lang w:val="en-US" w:eastAsia="zh-CN" w:bidi="ar"/>
        </w:rPr>
        <w:t>违反本条例规定，在饮用水地下水源一级保护区内，有下列行为之一的，由环境保护行政主管部门责令改正，对个人处五百元罚款，对单位处十万元罚款：</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（一）铺设输送污水、油类或者其他有毒有害物品管道的；　</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（二）使用化肥、农药的；</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（三）修建墓地，丢弃、掩埋动物尸体的；</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（四）采石、挖砂、取土的；</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（五）设置油库、化学品仓库的。</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黑体" w:hAnsi="宋体" w:eastAsia="黑体" w:cs="黑体"/>
          <w:snapToGrid/>
          <w:color w:val="000000"/>
          <w:kern w:val="0"/>
          <w:sz w:val="32"/>
          <w:szCs w:val="32"/>
          <w:lang w:val="en-US" w:eastAsia="zh-CN" w:bidi="ar"/>
        </w:rPr>
        <w:t xml:space="preserve">第四十条 </w:t>
      </w:r>
      <w:r>
        <w:rPr>
          <w:rFonts w:hint="eastAsia" w:ascii="仿宋_GB2312" w:hAnsi="Tahoma" w:eastAsia="仿宋_GB2312" w:cs="仿宋_GB2312"/>
          <w:snapToGrid/>
          <w:color w:val="000000"/>
          <w:kern w:val="0"/>
          <w:sz w:val="32"/>
          <w:szCs w:val="32"/>
          <w:lang w:val="en-US" w:eastAsia="zh-CN" w:bidi="ar"/>
        </w:rPr>
        <w:t xml:space="preserve"> </w:t>
      </w:r>
      <w:r>
        <w:rPr>
          <w:rFonts w:hint="eastAsia" w:ascii="仿宋_GB2312" w:hAnsi="Tahoma" w:eastAsia="仿宋_GB2312" w:cs="仿宋_GB2312"/>
          <w:snapToGrid/>
          <w:kern w:val="0"/>
          <w:sz w:val="32"/>
          <w:szCs w:val="32"/>
          <w:lang w:val="en-US" w:eastAsia="zh-CN" w:bidi="ar"/>
        </w:rPr>
        <w:t>违反本条例规定，擅自人工回灌补给地下水或者回灌水质不符合规定的，由卫生计生行政主管部门责令改正，处十万元罚款。</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黑体" w:hAnsi="宋体" w:eastAsia="黑体" w:cs="黑体"/>
          <w:snapToGrid/>
          <w:color w:val="000000"/>
          <w:kern w:val="0"/>
          <w:sz w:val="32"/>
          <w:szCs w:val="32"/>
          <w:lang w:val="en-US" w:eastAsia="zh-CN" w:bidi="ar"/>
        </w:rPr>
        <w:t>第四十一条</w:t>
      </w:r>
      <w:r>
        <w:rPr>
          <w:rFonts w:hint="eastAsia" w:ascii="仿宋_GB2312" w:hAnsi="Tahoma" w:eastAsia="仿宋_GB2312" w:cs="仿宋_GB2312"/>
          <w:snapToGrid/>
          <w:color w:val="000000"/>
          <w:kern w:val="0"/>
          <w:sz w:val="32"/>
          <w:szCs w:val="32"/>
          <w:lang w:val="en-US" w:eastAsia="zh-CN" w:bidi="ar"/>
        </w:rPr>
        <w:t xml:space="preserve">  违反本条例规定，造成水污染事故的，由</w:t>
      </w:r>
      <w:r>
        <w:rPr>
          <w:rFonts w:hint="eastAsia" w:ascii="仿宋_GB2312" w:hAnsi="Tahoma" w:eastAsia="仿宋_GB2312" w:cs="仿宋_GB2312"/>
          <w:snapToGrid/>
          <w:kern w:val="0"/>
          <w:sz w:val="32"/>
          <w:szCs w:val="32"/>
          <w:lang w:val="en-US" w:eastAsia="zh-CN" w:bidi="ar"/>
        </w:rPr>
        <w:t>环境保护行政主管部门</w:t>
      </w:r>
      <w:r>
        <w:rPr>
          <w:rFonts w:hint="eastAsia" w:ascii="仿宋_GB2312" w:hAnsi="Tahoma" w:eastAsia="仿宋_GB2312" w:cs="仿宋_GB2312"/>
          <w:snapToGrid/>
          <w:color w:val="000000"/>
          <w:kern w:val="0"/>
          <w:sz w:val="32"/>
          <w:szCs w:val="32"/>
          <w:lang w:val="en-US" w:eastAsia="zh-CN" w:bidi="ar"/>
        </w:rPr>
        <w:t>责令限期治理，消除污染；未按照要求限期治理或者不具备治理能力的，由</w:t>
      </w:r>
      <w:r>
        <w:rPr>
          <w:rFonts w:hint="eastAsia" w:ascii="仿宋_GB2312" w:hAnsi="Tahoma" w:eastAsia="仿宋_GB2312" w:cs="仿宋_GB2312"/>
          <w:snapToGrid/>
          <w:kern w:val="0"/>
          <w:sz w:val="32"/>
          <w:szCs w:val="32"/>
          <w:lang w:val="en-US" w:eastAsia="zh-CN" w:bidi="ar"/>
        </w:rPr>
        <w:t>环境保护行政主管部门</w:t>
      </w:r>
      <w:r>
        <w:rPr>
          <w:rFonts w:hint="eastAsia" w:ascii="仿宋_GB2312" w:hAnsi="Tahoma" w:eastAsia="仿宋_GB2312" w:cs="仿宋_GB2312"/>
          <w:snapToGrid/>
          <w:color w:val="000000"/>
          <w:kern w:val="0"/>
          <w:sz w:val="32"/>
          <w:szCs w:val="32"/>
          <w:lang w:val="en-US" w:eastAsia="zh-CN" w:bidi="ar"/>
        </w:rPr>
        <w:t>指定有治理能力的单位代为治理，所需费用由违法者承担。</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color w:val="000000"/>
          <w:sz w:val="32"/>
          <w:szCs w:val="32"/>
          <w:lang w:val="en-US"/>
        </w:rPr>
      </w:pPr>
      <w:r>
        <w:rPr>
          <w:rFonts w:hint="eastAsia" w:ascii="黑体" w:hAnsi="宋体" w:eastAsia="黑体" w:cs="黑体"/>
          <w:snapToGrid/>
          <w:color w:val="000000"/>
          <w:kern w:val="0"/>
          <w:sz w:val="32"/>
          <w:szCs w:val="32"/>
          <w:lang w:val="en-US" w:eastAsia="zh-CN" w:bidi="ar"/>
        </w:rPr>
        <w:t>第四十二条</w:t>
      </w:r>
      <w:r>
        <w:rPr>
          <w:rFonts w:hint="eastAsia" w:ascii="仿宋_GB2312" w:hAnsi="Tahoma" w:eastAsia="仿宋_GB2312" w:cs="仿宋_GB2312"/>
          <w:snapToGrid/>
          <w:color w:val="000000"/>
          <w:kern w:val="0"/>
          <w:sz w:val="32"/>
          <w:szCs w:val="32"/>
          <w:lang w:val="en-US" w:eastAsia="zh-CN" w:bidi="ar"/>
        </w:rPr>
        <w:t xml:space="preserve">  </w:t>
      </w:r>
      <w:r>
        <w:rPr>
          <w:rFonts w:hint="eastAsia" w:ascii="仿宋_GB2312" w:hAnsi="Tahoma" w:eastAsia="仿宋_GB2312" w:cs="仿宋_GB2312"/>
          <w:snapToGrid/>
          <w:kern w:val="0"/>
          <w:sz w:val="32"/>
          <w:szCs w:val="32"/>
          <w:lang w:val="en-US" w:eastAsia="zh-CN" w:bidi="ar"/>
        </w:rPr>
        <w:t>饮用水水源管理机构及其工作人员，违反本条例规定,有下列行为之一的，由其所在单位或者上级机关对负有直接责任的主管人员和其他直接责任人，依法给予行政处分：</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（一）利用饮用水水源从事与保护水源无关活动的；</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color w:val="000000"/>
          <w:sz w:val="32"/>
          <w:szCs w:val="32"/>
          <w:lang w:val="en-US"/>
        </w:rPr>
      </w:pPr>
      <w:r>
        <w:rPr>
          <w:rFonts w:hint="eastAsia" w:ascii="仿宋_GB2312" w:hAnsi="Tahoma" w:eastAsia="仿宋_GB2312" w:cs="仿宋_GB2312"/>
          <w:snapToGrid/>
          <w:kern w:val="0"/>
          <w:sz w:val="32"/>
          <w:szCs w:val="32"/>
          <w:lang w:val="en-US" w:eastAsia="zh-CN" w:bidi="ar"/>
        </w:rPr>
        <w:t>（二）发现水质异常不采取污染防治措施，未向环境保护和水利行政主管部门报告的。</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黑体" w:hAnsi="宋体" w:eastAsia="黑体" w:cs="黑体"/>
          <w:snapToGrid/>
          <w:color w:val="000000"/>
          <w:kern w:val="0"/>
          <w:sz w:val="32"/>
          <w:szCs w:val="32"/>
          <w:lang w:val="en-US" w:eastAsia="zh-CN" w:bidi="ar"/>
        </w:rPr>
        <w:t>第四十三条</w:t>
      </w:r>
      <w:r>
        <w:rPr>
          <w:rFonts w:hint="eastAsia" w:ascii="仿宋_GB2312" w:hAnsi="Tahoma" w:eastAsia="仿宋_GB2312" w:cs="仿宋_GB2312"/>
          <w:snapToGrid/>
          <w:color w:val="000000"/>
          <w:kern w:val="0"/>
          <w:sz w:val="32"/>
          <w:szCs w:val="32"/>
          <w:lang w:val="en-US" w:eastAsia="zh-CN" w:bidi="ar"/>
        </w:rPr>
        <w:t xml:space="preserve">  </w:t>
      </w:r>
      <w:r>
        <w:rPr>
          <w:rFonts w:hint="eastAsia" w:ascii="仿宋_GB2312" w:hAnsi="Tahoma" w:eastAsia="仿宋_GB2312" w:cs="仿宋_GB2312"/>
          <w:snapToGrid/>
          <w:kern w:val="0"/>
          <w:sz w:val="32"/>
          <w:szCs w:val="32"/>
          <w:lang w:val="en-US" w:eastAsia="zh-CN" w:bidi="ar"/>
        </w:rPr>
        <w:t>市和县（市）区环境保护等行政主管部门及其工作人员，违反本条例规定，有下列行为之一的，由其所在单位或者上级机关对负有直接责任的主管人员和其他直接责任人，依法给予行政处分：</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（一）未依法划定或者调整饮用水水源保护区的；</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（二）对饮用水水源保护区内不能确定责任人的污染源，不采取措施及时处理的；</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default" w:ascii="Tahoma" w:hAnsi="Tahoma" w:eastAsia="仿宋_GB2312" w:cs="Times New Roman"/>
          <w:snapToGrid/>
          <w:kern w:val="0"/>
          <w:sz w:val="32"/>
          <w:szCs w:val="32"/>
          <w:lang w:val="en-US" w:eastAsia="zh-CN" w:bidi="ar"/>
        </w:rPr>
        <w:t> </w:t>
      </w:r>
      <w:r>
        <w:rPr>
          <w:rFonts w:hint="eastAsia" w:ascii="仿宋_GB2312" w:hAnsi="Tahoma" w:eastAsia="仿宋_GB2312" w:cs="仿宋_GB2312"/>
          <w:snapToGrid/>
          <w:kern w:val="0"/>
          <w:sz w:val="32"/>
          <w:szCs w:val="32"/>
          <w:lang w:val="en-US" w:eastAsia="zh-CN" w:bidi="ar"/>
        </w:rPr>
        <w:t>（三）对饮用水水源受到严重污染、供水安全受到威胁等紧急情况，未立即启动应急预案，造成不能正常供水的；</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default" w:ascii="Tahoma" w:hAnsi="Tahoma" w:eastAsia="仿宋_GB2312" w:cs="Times New Roman"/>
          <w:snapToGrid/>
          <w:kern w:val="0"/>
          <w:sz w:val="32"/>
          <w:szCs w:val="32"/>
          <w:lang w:val="en-US" w:eastAsia="zh-CN" w:bidi="ar"/>
        </w:rPr>
        <w:t> </w:t>
      </w:r>
      <w:r>
        <w:rPr>
          <w:rFonts w:hint="eastAsia" w:ascii="仿宋_GB2312" w:hAnsi="Tahoma" w:eastAsia="仿宋_GB2312" w:cs="仿宋_GB2312"/>
          <w:snapToGrid/>
          <w:kern w:val="0"/>
          <w:sz w:val="32"/>
          <w:szCs w:val="32"/>
          <w:lang w:val="en-US" w:eastAsia="zh-CN" w:bidi="ar"/>
        </w:rPr>
        <w:t>（四）饮用水水源水质超过国家标准，未采取有效措施进行整治的；</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（五）其他滥用职权、玩忽职守、徇私舞弊行为的。</w:t>
      </w:r>
    </w:p>
    <w:p>
      <w:pPr>
        <w:keepNext w:val="0"/>
        <w:keepLines w:val="0"/>
        <w:widowControl w:val="0"/>
        <w:suppressLineNumbers w:val="0"/>
        <w:adjustRightInd w:val="0"/>
        <w:snapToGrid w:val="0"/>
        <w:spacing w:before="0" w:beforeAutospacing="0" w:after="0" w:afterAutospacing="0" w:line="560" w:lineRule="exact"/>
        <w:ind w:left="0" w:right="0"/>
        <w:jc w:val="center"/>
        <w:rPr>
          <w:rFonts w:hint="eastAsia" w:ascii="仿宋_GB2312" w:eastAsia="仿宋_GB2312" w:cs="仿宋_GB2312"/>
          <w:color w:val="000000"/>
          <w:sz w:val="32"/>
          <w:szCs w:val="32"/>
          <w:lang w:val="en-US"/>
        </w:rPr>
      </w:pPr>
    </w:p>
    <w:p>
      <w:pPr>
        <w:keepNext w:val="0"/>
        <w:keepLines w:val="0"/>
        <w:widowControl w:val="0"/>
        <w:suppressLineNumbers w:val="0"/>
        <w:adjustRightInd w:val="0"/>
        <w:snapToGrid w:val="0"/>
        <w:spacing w:before="0" w:beforeAutospacing="0" w:after="0" w:afterAutospacing="0" w:line="560" w:lineRule="exact"/>
        <w:ind w:left="0" w:right="0"/>
        <w:jc w:val="center"/>
        <w:rPr>
          <w:rFonts w:hint="eastAsia" w:ascii="黑体" w:hAnsi="宋体" w:eastAsia="黑体" w:cs="黑体"/>
          <w:color w:val="000000"/>
          <w:sz w:val="32"/>
          <w:szCs w:val="32"/>
          <w:lang w:val="en-US"/>
        </w:rPr>
      </w:pPr>
      <w:r>
        <w:rPr>
          <w:rFonts w:hint="eastAsia" w:ascii="黑体" w:hAnsi="宋体" w:eastAsia="黑体" w:cs="黑体"/>
          <w:snapToGrid/>
          <w:color w:val="000000"/>
          <w:kern w:val="0"/>
          <w:sz w:val="32"/>
          <w:szCs w:val="32"/>
          <w:lang w:val="en-US" w:eastAsia="zh-CN" w:bidi="ar"/>
        </w:rPr>
        <w:t>第五章  附则</w:t>
      </w: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color w:val="000000"/>
          <w:sz w:val="32"/>
          <w:szCs w:val="32"/>
          <w:lang w:val="en-US"/>
        </w:rPr>
      </w:pPr>
    </w:p>
    <w:p>
      <w:pPr>
        <w:keepNext w:val="0"/>
        <w:keepLines w:val="0"/>
        <w:widowControl w:val="0"/>
        <w:suppressLineNumbers w:val="0"/>
        <w:adjustRightInd w:val="0"/>
        <w:snapToGrid w:val="0"/>
        <w:spacing w:before="0" w:beforeAutospacing="0" w:after="0" w:afterAutospacing="0" w:line="560" w:lineRule="exact"/>
        <w:ind w:left="0" w:right="0" w:firstLine="640" w:firstLineChars="200"/>
        <w:jc w:val="left"/>
        <w:rPr>
          <w:rFonts w:hint="eastAsia" w:ascii="仿宋_GB2312" w:eastAsia="仿宋_GB2312" w:cs="仿宋_GB2312"/>
          <w:sz w:val="32"/>
          <w:szCs w:val="32"/>
          <w:lang w:val="en-US"/>
        </w:rPr>
      </w:pPr>
      <w:r>
        <w:rPr>
          <w:rFonts w:hint="eastAsia" w:ascii="黑体" w:hAnsi="宋体" w:eastAsia="黑体" w:cs="黑体"/>
          <w:snapToGrid/>
          <w:color w:val="000000"/>
          <w:kern w:val="0"/>
          <w:sz w:val="32"/>
          <w:szCs w:val="32"/>
          <w:lang w:val="en-US" w:eastAsia="zh-CN" w:bidi="ar"/>
        </w:rPr>
        <w:t>第四十四条</w:t>
      </w:r>
      <w:r>
        <w:rPr>
          <w:rFonts w:hint="eastAsia" w:ascii="仿宋_GB2312" w:hAnsi="Tahoma" w:eastAsia="仿宋_GB2312" w:cs="仿宋_GB2312"/>
          <w:snapToGrid/>
          <w:color w:val="000000"/>
          <w:kern w:val="0"/>
          <w:sz w:val="32"/>
          <w:szCs w:val="32"/>
          <w:lang w:val="en-US" w:eastAsia="zh-CN" w:bidi="ar"/>
        </w:rPr>
        <w:t xml:space="preserve">  </w:t>
      </w:r>
      <w:r>
        <w:rPr>
          <w:rFonts w:hint="eastAsia" w:ascii="仿宋_GB2312" w:hAnsi="Tahoma" w:eastAsia="仿宋_GB2312" w:cs="仿宋_GB2312"/>
          <w:snapToGrid/>
          <w:kern w:val="0"/>
          <w:sz w:val="32"/>
          <w:szCs w:val="32"/>
          <w:lang w:val="en-US" w:eastAsia="zh-CN" w:bidi="ar"/>
        </w:rPr>
        <w:t>本条例自2017年1月1日起施行。</w:t>
      </w:r>
    </w:p>
    <w:p>
      <w:pPr>
        <w:keepNext w:val="0"/>
        <w:keepLines w:val="0"/>
        <w:widowControl/>
        <w:suppressLineNumbers w:val="0"/>
        <w:adjustRightInd w:val="0"/>
        <w:snapToGrid w:val="0"/>
        <w:spacing w:before="0" w:beforeAutospacing="0" w:after="0" w:afterAutospacing="0"/>
        <w:ind w:left="0" w:right="0"/>
        <w:jc w:val="center"/>
        <w:rPr>
          <w:rFonts w:hint="eastAsia" w:ascii="仿宋_GB2312" w:hAnsi="宋体" w:eastAsia="仿宋_GB2312" w:cs="仿宋_GB2312"/>
          <w:b/>
          <w:bCs w:val="0"/>
          <w:sz w:val="36"/>
          <w:szCs w:val="36"/>
          <w:lang w:val="en-US"/>
        </w:rPr>
      </w:pPr>
    </w:p>
    <w:p>
      <w:pPr>
        <w:keepNext w:val="0"/>
        <w:keepLines w:val="0"/>
        <w:widowControl/>
        <w:suppressLineNumbers w:val="0"/>
        <w:adjustRightInd w:val="0"/>
        <w:snapToGrid w:val="0"/>
        <w:spacing w:before="0" w:beforeAutospacing="0" w:after="0" w:afterAutospacing="0"/>
        <w:ind w:left="0" w:right="0"/>
        <w:jc w:val="center"/>
        <w:rPr>
          <w:rFonts w:hint="eastAsia" w:ascii="仿宋_GB2312" w:hAnsi="宋体" w:eastAsia="仿宋_GB2312" w:cs="仿宋_GB2312"/>
          <w:b/>
          <w:bCs w:val="0"/>
          <w:sz w:val="36"/>
          <w:szCs w:val="36"/>
          <w:lang w:val="en-US"/>
        </w:rPr>
      </w:pPr>
    </w:p>
    <w:p>
      <w:pPr>
        <w:rPr>
          <w:rFonts w:hint="eastAsia" w:ascii="仿宋_GB2312" w:hAnsi="仿宋_GB2312" w:eastAsia="仿宋_GB2312" w:cs="仿宋_GB2312"/>
          <w:b w:val="0"/>
          <w:bCs w:val="0"/>
          <w:color w:val="auto"/>
          <w:sz w:val="32"/>
          <w:szCs w:val="32"/>
          <w:highlight w:val="none"/>
          <w:lang w:val="en-US" w:eastAsia="zh-CN"/>
        </w:rPr>
      </w:pPr>
    </w:p>
    <w:sectPr>
      <w:headerReference r:id="rId3" w:type="default"/>
      <w:footerReference r:id="rId5" w:type="default"/>
      <w:headerReference r:id="rId4" w:type="even"/>
      <w:footerReference r:id="rId6" w:type="even"/>
      <w:pgSz w:w="11906" w:h="16838"/>
      <w:pgMar w:top="2098" w:right="1587" w:bottom="2098" w:left="1587" w:header="851" w:footer="992" w:gutter="0"/>
      <w:pgNumType w:fmt="numberInDash"/>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Calibri Light">
    <w:panose1 w:val="020F0302020204030204"/>
    <w:charset w:val="00"/>
    <w:family w:val="auto"/>
    <w:pitch w:val="default"/>
    <w:sig w:usb0="A00002EF" w:usb1="4000207B" w:usb2="00000000" w:usb3="00000000" w:csb0="2000019F"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楷繁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书宋_GBK">
    <w:altName w:val="微软雅黑"/>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仿宋简体">
    <w:altName w:val="微软雅黑"/>
    <w:panose1 w:val="02010601030101010101"/>
    <w:charset w:val="86"/>
    <w:family w:val="auto"/>
    <w:pitch w:val="default"/>
    <w:sig w:usb0="00000000" w:usb1="00000000" w:usb2="00000000" w:usb3="00000000" w:csb0="00040000" w:csb1="00000000"/>
  </w:font>
  <w:font w:name="方正华隶_GBK">
    <w:altName w:val="隶书"/>
    <w:panose1 w:val="03000509000000000000"/>
    <w:charset w:val="86"/>
    <w:family w:val="auto"/>
    <w:pitch w:val="default"/>
    <w:sig w:usb0="00000000" w:usb1="00000000" w:usb2="00000000" w:usb3="00000000" w:csb0="00040000" w:csb1="00000000"/>
  </w:font>
  <w:font w:name="方正卡通繁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幼线简体">
    <w:altName w:val="宋体"/>
    <w:panose1 w:val="03000509000000000000"/>
    <w:charset w:val="86"/>
    <w:family w:val="auto"/>
    <w:pitch w:val="default"/>
    <w:sig w:usb0="00000000" w:usb1="00000000" w:usb2="00000000" w:usb3="00000000" w:csb0="00040000" w:csb1="00000000"/>
  </w:font>
  <w:font w:name="方正幼线_GBK">
    <w:altName w:val="宋体"/>
    <w:panose1 w:val="03000509000000000000"/>
    <w:charset w:val="86"/>
    <w:family w:val="auto"/>
    <w:pitch w:val="default"/>
    <w:sig w:usb0="00000000" w:usb1="00000000" w:usb2="00000000" w:usb3="00000000" w:csb0="00040000" w:csb1="00000000"/>
  </w:font>
  <w:font w:name="方正平黑繁体">
    <w:altName w:val="黑体"/>
    <w:panose1 w:val="02010601030101010101"/>
    <w:charset w:val="86"/>
    <w:family w:val="auto"/>
    <w:pitch w:val="default"/>
    <w:sig w:usb0="00000000" w:usb1="00000000" w:usb2="00000000" w:usb3="00000000" w:csb0="00040000" w:csb1="00000000"/>
  </w:font>
  <w:font w:name="方正平和繁体">
    <w:altName w:val="宋体"/>
    <w:panose1 w:val="03000509000000000000"/>
    <w:charset w:val="86"/>
    <w:family w:val="auto"/>
    <w:pitch w:val="default"/>
    <w:sig w:usb0="00000000" w:usb1="00000000" w:usb2="00000000" w:usb3="00000000" w:csb0="00040000" w:csb1="00000000"/>
  </w:font>
  <w:font w:name="方正平和_GBK">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少儿简体">
    <w:altName w:val="宋体"/>
    <w:panose1 w:val="03000509000000000000"/>
    <w:charset w:val="86"/>
    <w:family w:val="auto"/>
    <w:pitch w:val="default"/>
    <w:sig w:usb0="00000000" w:usb1="00000000" w:usb2="00000000" w:usb3="00000000" w:csb0="00040000" w:csb1="00000000"/>
  </w:font>
  <w:font w:name="方正少儿_GBK">
    <w:altName w:val="宋体"/>
    <w:panose1 w:val="03000509000000000000"/>
    <w:charset w:val="86"/>
    <w:family w:val="auto"/>
    <w:pitch w:val="default"/>
    <w:sig w:usb0="00000000" w:usb1="00000000" w:usb2="00000000" w:usb3="00000000" w:csb0="00040000" w:csb1="00000000"/>
  </w:font>
  <w:font w:name="方正小篆体">
    <w:altName w:val="宋体"/>
    <w:panose1 w:val="03000509000000000000"/>
    <w:charset w:val="86"/>
    <w:family w:val="auto"/>
    <w:pitch w:val="default"/>
    <w:sig w:usb0="00000000" w:usb1="00000000" w:usb2="00000000" w:usb3="00000000" w:csb0="00040000" w:csb1="00000000"/>
  </w:font>
  <w:font w:name="方正小标宋繁体">
    <w:altName w:val="宋体"/>
    <w:panose1 w:val="02010601030101010101"/>
    <w:charset w:val="86"/>
    <w:family w:val="auto"/>
    <w:pitch w:val="default"/>
    <w:sig w:usb0="00000000" w:usb1="00000000" w:usb2="00000000" w:usb3="00000000" w:csb0="00040000" w:csb1="00000000"/>
  </w:font>
  <w:font w:name="方正小标宋简体">
    <w:altName w:val="微软雅黑"/>
    <w:panose1 w:val="02010601030101010101"/>
    <w:charset w:val="86"/>
    <w:family w:val="auto"/>
    <w:pitch w:val="default"/>
    <w:sig w:usb0="00000000" w:usb1="00000000" w:usb2="00000000" w:usb3="00000000" w:csb0="00040000" w:csb1="00000000"/>
  </w:font>
  <w:font w:name="Sylfaen">
    <w:panose1 w:val="010A0502050306030303"/>
    <w:charset w:val="00"/>
    <w:family w:val="auto"/>
    <w:pitch w:val="default"/>
    <w:sig w:usb0="04000687" w:usb1="00000000" w:usb2="00000000" w:usb3="00000000" w:csb0="2000009F" w:csb1="00000000"/>
  </w:font>
  <w:font w:name="Tw Cen MT Condensed Extra Bold">
    <w:panose1 w:val="020B0803020202020204"/>
    <w:charset w:val="00"/>
    <w:family w:val="auto"/>
    <w:pitch w:val="default"/>
    <w:sig w:usb0="00000003" w:usb1="00000000" w:usb2="00000000" w:usb3="00000000" w:csb0="20000003" w:csb1="00000000"/>
  </w:font>
  <w:font w:name="Tw Cen MT">
    <w:panose1 w:val="020B0602020104020603"/>
    <w:charset w:val="00"/>
    <w:family w:val="auto"/>
    <w:pitch w:val="default"/>
    <w:sig w:usb0="00000003" w:usb1="00000000" w:usb2="00000000" w:usb3="00000000" w:csb0="20000003" w:csb1="00000000"/>
  </w:font>
  <w:font w:name="Tempus Sans ITC">
    <w:altName w:val="Blackadder ITC"/>
    <w:panose1 w:val="04020404030D07020202"/>
    <w:charset w:val="00"/>
    <w:family w:val="auto"/>
    <w:pitch w:val="default"/>
    <w:sig w:usb0="00000000" w:usb1="00000000" w:usb2="00000000" w:usb3="00000000" w:csb0="20000001" w:csb1="00000000"/>
  </w:font>
  <w:font w:name="Segoe Print">
    <w:panose1 w:val="02000600000000000000"/>
    <w:charset w:val="00"/>
    <w:family w:val="auto"/>
    <w:pitch w:val="default"/>
    <w:sig w:usb0="0000028F" w:usb1="00000000" w:usb2="00000000" w:usb3="00000000" w:csb0="2000009F" w:csb1="47010000"/>
  </w:font>
  <w:font w:name="Segoe MDL2 Assets">
    <w:altName w:val="Segoe Print"/>
    <w:panose1 w:val="050A0102010101010101"/>
    <w:charset w:val="00"/>
    <w:family w:val="auto"/>
    <w:pitch w:val="default"/>
    <w:sig w:usb0="00000000" w:usb1="00000000" w:usb2="00000000" w:usb3="00000000" w:csb0="00000001" w:csb1="00000000"/>
  </w:font>
  <w:font w:name="Script MT Bold">
    <w:panose1 w:val="03040602040607080904"/>
    <w:charset w:val="00"/>
    <w:family w:val="auto"/>
    <w:pitch w:val="default"/>
    <w:sig w:usb0="00000003" w:usb1="00000000" w:usb2="00000000" w:usb3="00000000" w:csb0="20000001" w:csb1="00000000"/>
  </w:font>
  <w:font w:name="Rockwell Extra Bold">
    <w:panose1 w:val="02060903040505020403"/>
    <w:charset w:val="00"/>
    <w:family w:val="auto"/>
    <w:pitch w:val="default"/>
    <w:sig w:usb0="00000003" w:usb1="00000000" w:usb2="00000000" w:usb3="00000000" w:csb0="20000001" w:csb1="00000000"/>
  </w:font>
  <w:font w:name="Rockwell Condensed">
    <w:panose1 w:val="02060603050405020104"/>
    <w:charset w:val="00"/>
    <w:family w:val="auto"/>
    <w:pitch w:val="default"/>
    <w:sig w:usb0="00000003" w:usb1="00000000" w:usb2="00000000" w:usb3="00000000" w:csb0="20000001" w:csb1="00000000"/>
  </w:font>
  <w:font w:name="Onyx">
    <w:altName w:val="Curlz MT"/>
    <w:panose1 w:val="04050602080702020203"/>
    <w:charset w:val="00"/>
    <w:family w:val="auto"/>
    <w:pitch w:val="default"/>
    <w:sig w:usb0="00000000" w:usb1="00000000" w:usb2="00000000" w:usb3="00000000" w:csb0="20000001" w:csb1="00000000"/>
  </w:font>
  <w:font w:name="Microsoft PhagsPa">
    <w:panose1 w:val="020B0502040204020203"/>
    <w:charset w:val="00"/>
    <w:family w:val="auto"/>
    <w:pitch w:val="default"/>
    <w:sig w:usb0="00000003" w:usb1="00200000" w:usb2="08000000" w:usb3="00000000" w:csb0="00000001" w:csb1="00000000"/>
  </w:font>
  <w:font w:name="Gill Sans MT Ext Condensed Bold">
    <w:panose1 w:val="020B0902020104020203"/>
    <w:charset w:val="00"/>
    <w:family w:val="auto"/>
    <w:pitch w:val="default"/>
    <w:sig w:usb0="00000003" w:usb1="00000000" w:usb2="00000000" w:usb3="00000000" w:csb0="20000003" w:csb1="00000000"/>
  </w:font>
  <w:font w:name="Edwardian Script ITC">
    <w:panose1 w:val="030303020407070D0804"/>
    <w:charset w:val="00"/>
    <w:family w:val="auto"/>
    <w:pitch w:val="default"/>
    <w:sig w:usb0="00000003" w:usb1="00000000" w:usb2="00000000" w:usb3="00000000" w:csb0="20000001" w:csb1="00000000"/>
  </w:font>
  <w:font w:name="Copperplate Gothic Bold">
    <w:panose1 w:val="020E0705020206020404"/>
    <w:charset w:val="00"/>
    <w:family w:val="auto"/>
    <w:pitch w:val="default"/>
    <w:sig w:usb0="00000003" w:usb1="00000000" w:usb2="00000000" w:usb3="00000000" w:csb0="20000001" w:csb1="00000000"/>
  </w:font>
  <w:font w:name="Baskerville Old Face">
    <w:altName w:val="Segoe Print"/>
    <w:panose1 w:val="02020602080505020303"/>
    <w:charset w:val="00"/>
    <w:family w:val="auto"/>
    <w:pitch w:val="default"/>
    <w:sig w:usb0="00000000" w:usb1="00000000" w:usb2="00000000" w:usb3="00000000" w:csb0="20000001" w:csb1="00000000"/>
  </w:font>
  <w:font w:name="Baiduan Number">
    <w:altName w:val="Malgun Gothic"/>
    <w:panose1 w:val="020B0203020202020204"/>
    <w:charset w:val="00"/>
    <w:family w:val="auto"/>
    <w:pitch w:val="default"/>
    <w:sig w:usb0="00000000" w:usb1="00000000" w:usb2="00000000" w:usb3="00000000" w:csb0="2000009B" w:csb1="00000000"/>
  </w:font>
  <w:font w:name="Arial">
    <w:panose1 w:val="020B0604020202020204"/>
    <w:charset w:val="00"/>
    <w:family w:val="auto"/>
    <w:pitch w:val="default"/>
    <w:sig w:usb0="E0002AFF" w:usb1="C0007843" w:usb2="00000009" w:usb3="00000000" w:csb0="400001FF" w:csb1="FFFF0000"/>
  </w:font>
  <w:font w:name="Microsoft JhengHei">
    <w:panose1 w:val="020B0604030504040204"/>
    <w:charset w:val="88"/>
    <w:family w:val="auto"/>
    <w:pitch w:val="default"/>
    <w:sig w:usb0="00000087" w:usb1="28AF4000" w:usb2="00000016" w:usb3="00000000" w:csb0="00100009" w:csb1="00000000"/>
  </w:font>
  <w:font w:name="Malgun Gothic Semilight">
    <w:altName w:val="宋体"/>
    <w:panose1 w:val="020B0502040204020203"/>
    <w:charset w:val="86"/>
    <w:family w:val="auto"/>
    <w:pitch w:val="default"/>
    <w:sig w:usb0="00000000" w:usb1="00000000" w:usb2="00000012" w:usb3="00000000" w:csb0="203E01BD" w:csb1="D7FF0000"/>
  </w:font>
  <w:font w:name="Malgun Gothic">
    <w:panose1 w:val="020B0503020000020004"/>
    <w:charset w:val="81"/>
    <w:family w:val="auto"/>
    <w:pitch w:val="default"/>
    <w:sig w:usb0="900002AF" w:usb1="01D77CFB" w:usb2="00000012" w:usb3="00000000" w:csb0="00080001" w:csb1="00000000"/>
  </w:font>
  <w:font w:name="Arial Unicode MS">
    <w:altName w:val="宋体"/>
    <w:panose1 w:val="020B0604020202020204"/>
    <w:charset w:val="86"/>
    <w:family w:val="auto"/>
    <w:pitch w:val="default"/>
    <w:sig w:usb0="00000000" w:usb1="00000000" w:usb2="0000003F" w:usb3="00000000" w:csb0="603F01FF" w:csb1="FFFF0000"/>
  </w:font>
  <w:font w:name="隶书">
    <w:panose1 w:val="02010509060101010101"/>
    <w:charset w:val="86"/>
    <w:family w:val="auto"/>
    <w:pitch w:val="default"/>
    <w:sig w:usb0="00000001" w:usb1="080E0000" w:usb2="00000000" w:usb3="00000000" w:csb0="00040000" w:csb1="0000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2010600030101010101"/>
    <w:charset w:val="86"/>
    <w:family w:val="auto"/>
    <w:pitch w:val="default"/>
    <w:sig w:usb0="00000000" w:usb1="00000000" w:usb2="00000016" w:usb3="00000000" w:csb0="0004000F" w:csb1="00000000"/>
  </w:font>
  <w:font w:name="楷体_GB2312">
    <w:altName w:val="楷体"/>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Cambria Math">
    <w:panose1 w:val="02040503050406030204"/>
    <w:charset w:val="00"/>
    <w:family w:val="auto"/>
    <w:pitch w:val="default"/>
    <w:sig w:usb0="E00002FF" w:usb1="420024FF" w:usb2="00000000" w:usb3="00000000" w:csb0="2000019F" w:csb1="00000000"/>
  </w:font>
  <w:font w:name="Tahoma">
    <w:panose1 w:val="020B0604030504040204"/>
    <w:charset w:val="00"/>
    <w:family w:val="auto"/>
    <w:pitch w:val="default"/>
    <w:sig w:usb0="E1002EFF" w:usb1="C000605B" w:usb2="00000029" w:usb3="00000000" w:csb0="200101FF" w:csb1="20280000"/>
  </w:font>
  <w:font w:name="@宋体">
    <w:panose1 w:val="02010600030101010101"/>
    <w:charset w:val="86"/>
    <w:family w:val="auto"/>
    <w:pitch w:val="default"/>
    <w:sig w:usb0="00000003" w:usb1="288F0000" w:usb2="00000006" w:usb3="00000000" w:csb0="00040001" w:csb1="00000000"/>
  </w:font>
  <w:font w:name="@黑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仿宋_GBK">
    <w:altName w:val="仿宋"/>
    <w:panose1 w:val="03000509000000000000"/>
    <w:charset w:val="86"/>
    <w:family w:val="auto"/>
    <w:pitch w:val="default"/>
    <w:sig w:usb0="00000000" w:usb1="00000000" w:usb2="00000000" w:usb3="00000000" w:csb0="00040000" w:csb1="00000000"/>
  </w:font>
  <w:font w:name="Times">
    <w:altName w:val="Times New Roman"/>
    <w:panose1 w:val="02020603050405020304"/>
    <w:charset w:val="00"/>
    <w:family w:val="auto"/>
    <w:pitch w:val="default"/>
    <w:sig w:usb0="00000000" w:usb1="00000000" w:usb2="00000009" w:usb3="00000000" w:csb0="000001FF" w:csb1="00000000"/>
  </w:font>
  <w:font w:name="方正仿宋_GBK">
    <w:altName w:val="微软雅黑"/>
    <w:panose1 w:val="03000509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Blackadder ITC">
    <w:panose1 w:val="04020505051007020D02"/>
    <w:charset w:val="00"/>
    <w:family w:val="auto"/>
    <w:pitch w:val="default"/>
    <w:sig w:usb0="00000003" w:usb1="00000000" w:usb2="00000000" w:usb3="00000000" w:csb0="20000001" w:csb1="00000000"/>
  </w:font>
  <w:font w:name="Curlz MT">
    <w:panose1 w:val="04040404050702020202"/>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2336" behindDoc="0" locked="0" layoutInCell="1" allowOverlap="1">
              <wp:simplePos x="0" y="0"/>
              <wp:positionH relativeFrom="margin">
                <wp:posOffset>4752975</wp:posOffset>
              </wp:positionH>
              <wp:positionV relativeFrom="paragraph">
                <wp:posOffset>-553720</wp:posOffset>
              </wp:positionV>
              <wp:extent cx="566420" cy="30099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566420" cy="3009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- 3 -</w:t>
                          </w:r>
                          <w:r>
                            <w:rPr>
                              <w:rFonts w:hint="eastAsia" w:ascii="宋体" w:hAnsi="宋体" w:eastAsia="宋体" w:cs="宋体"/>
                              <w:sz w:val="28"/>
                              <w:szCs w:val="28"/>
                              <w:lang w:eastAsia="zh-CN"/>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374.25pt;margin-top:-43.6pt;height:23.7pt;width:44.6pt;mso-position-horizontal-relative:margin;z-index:251662336;mso-width-relative:page;mso-height-relative:page;" filled="f" stroked="f" coordsize="21600,21600" o:gfxdata="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0uPEzdoAAAAL&#10;AQAADwAAAAAAAAABACAAAAAiAAAAZHJzL2Rvd25yZXYueG1sUEsBAhQAFAAAAAgAh07iQIB3Dz4a&#10;AgAAFQQAAA4AAAAAAAAAAQAgAAAAKQEAAGRycy9lMm9Eb2MueG1sUEsFBgAAAAAGAAYAWQEAALUF&#10;AAAAAA==&#10;">
              <v:fill on="f" focussize="0,0"/>
              <v:stroke on="f" weight="0.5pt"/>
              <v:imagedata o:title=""/>
              <o:lock v:ext="edit" aspectratio="f"/>
              <v:textbox inset="0mm,0mm,0mm,0mm">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- 3 -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1312" behindDoc="0" locked="0" layoutInCell="1" allowOverlap="1">
              <wp:simplePos x="0" y="0"/>
              <wp:positionH relativeFrom="margin">
                <wp:posOffset>260350</wp:posOffset>
              </wp:positionH>
              <wp:positionV relativeFrom="paragraph">
                <wp:posOffset>-545465</wp:posOffset>
              </wp:positionV>
              <wp:extent cx="658495" cy="236855"/>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658495" cy="2368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20.5pt;margin-top:-42.95pt;height:18.65pt;width:51.85pt;mso-position-horizontal-relative:margin;z-index:251661312;mso-width-relative:page;mso-height-relative:page;" filled="f" stroked="f" coordsize="21600,21600" o:gfxdata="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EPCcg9kAAAAK&#10;AQAADwAAAAAAAAABACAAAAAiAAAAZHJzL2Rvd25yZXYueG1sUEsBAhQAFAAAAAgAh07iQKS0dcsb&#10;AgAAFQQAAA4AAAAAAAAAAQAgAAAAKAEAAGRycy9lMm9Eb2MueG1sUEsFBgAAAAAGAAYAWQEAALUF&#10;AAAAAA==&#10;">
              <v:fill on="f" focussize="0,0"/>
              <v:stroke on="f" weight="0.5pt"/>
              <v:imagedata o:title=""/>
              <o:lock v:ext="edit" aspectratio="f"/>
              <v:textbox inset="0mm,0mm,0mm,0mm">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embedSystemFonts/>
  <w:bordersDoNotSurroundHeader w:val="1"/>
  <w:bordersDoNotSurroundFooter w:val="1"/>
  <w:documentProtection w:enforcement="0"/>
  <w:defaultTabStop w:val="420"/>
  <w:evenAndOddHeaders w:val="1"/>
  <w:drawingGridVerticalSpacing w:val="15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685292"/>
    <w:rsid w:val="087869F5"/>
    <w:rsid w:val="123D4D8B"/>
    <w:rsid w:val="14746604"/>
    <w:rsid w:val="1B372A9A"/>
    <w:rsid w:val="1F690013"/>
    <w:rsid w:val="24166F4D"/>
    <w:rsid w:val="38961D01"/>
    <w:rsid w:val="3AD9335A"/>
    <w:rsid w:val="3E017798"/>
    <w:rsid w:val="62705179"/>
    <w:rsid w:val="63FD3364"/>
    <w:rsid w:val="6B876CF7"/>
    <w:rsid w:val="6F9B0FEF"/>
    <w:rsid w:val="77FA5278"/>
    <w:rsid w:val="7A050BF5"/>
    <w:rsid w:val="7C68529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微软雅黑"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eastAsia="宋体" w:cs="Times New Roman"/>
      <w:kern w:val="2"/>
      <w:sz w:val="21"/>
      <w:szCs w:val="22"/>
    </w:rPr>
    <w:tblPr>
      <w:tblLayout w:type="fixed"/>
      <w:tblCellMar>
        <w:top w:w="0" w:type="dxa"/>
        <w:left w:w="108" w:type="dxa"/>
        <w:bottom w:w="0" w:type="dxa"/>
        <w:right w:w="108" w:type="dxa"/>
      </w:tblCellMar>
    </w:tblPr>
  </w:style>
  <w:style w:type="paragraph" w:styleId="2">
    <w:name w:val="footer"/>
    <w:basedOn w:val="1"/>
    <w:link w:val="6"/>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6">
    <w:name w:val="页脚 Char"/>
    <w:basedOn w:val="4"/>
    <w:link w:val="2"/>
    <w:qFormat/>
    <w:uiPriority w:val="0"/>
    <w:rPr>
      <w:rFonts w:hint="default" w:ascii="Tahoma" w:hAnsi="Tahoma" w:eastAsia="Tahoma" w:cs="Tahoma"/>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Office_10.8.0.5950_F1E327BC-269C-435d-A152-05C5408002CA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2017-03-02T02:38:00Z</dcterms:created>
  <dc:creator>Administrator</dc:creator>
  <cp:lastModifiedBy>admin</cp:lastModifiedBy>
  <dcterms:modified xsi:type="dcterms:W3CDTF">2017-03-08T01:50:32Z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2052-10.8.0.5950</vt:lpwstr>
  </property>
</Properties>
</file>