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仿宋" w:hAnsi="仿宋" w:eastAsia="仿宋" w:cs="仿宋"/>
          <w:sz w:val="32"/>
          <w:szCs w:val="32"/>
        </w:rPr>
      </w:pPr>
    </w:p>
    <w:p>
      <w:pPr>
        <w:rPr>
          <w:rFonts w:hint="eastAsia" w:ascii="仿宋" w:hAnsi="仿宋" w:eastAsia="仿宋" w:cs="仿宋"/>
          <w:sz w:val="32"/>
          <w:szCs w:val="32"/>
        </w:rPr>
      </w:pPr>
    </w:p>
    <w:p>
      <w:pPr>
        <w:jc w:val="center"/>
        <w:rPr>
          <w:rFonts w:hint="eastAsia" w:ascii="宋体" w:hAnsi="宋体" w:eastAsia="宋体" w:cs="宋体"/>
          <w:sz w:val="44"/>
          <w:szCs w:val="44"/>
        </w:rPr>
      </w:pPr>
      <w:r>
        <w:rPr>
          <w:rFonts w:hint="eastAsia" w:ascii="宋体" w:hAnsi="宋体" w:eastAsia="宋体" w:cs="宋体"/>
          <w:sz w:val="44"/>
          <w:szCs w:val="44"/>
        </w:rPr>
        <w:t>辽宁省价格监督检查条例</w:t>
      </w:r>
    </w:p>
    <w:p>
      <w:pPr>
        <w:ind w:firstLine="640" w:firstLineChars="200"/>
        <w:rPr>
          <w:rFonts w:hint="eastAsia" w:ascii="仿宋" w:hAnsi="仿宋" w:eastAsia="仿宋" w:cs="仿宋"/>
          <w:sz w:val="32"/>
          <w:szCs w:val="32"/>
        </w:rPr>
      </w:pPr>
    </w:p>
    <w:p>
      <w:pPr>
        <w:pStyle w:val="7"/>
        <w:rPr>
          <w:rFonts w:hint="eastAsia"/>
        </w:rPr>
      </w:pPr>
      <w:r>
        <w:rPr>
          <w:rFonts w:hint="eastAsia"/>
        </w:rPr>
        <w:t>（1995年11月25日辽宁省第八届人民代表大会常务委员会第十八次会议通过  根据2006年1月13日辽宁省第十届人民代表大会常务委员会第二十三次会议《关于修改〈辽宁省价格监督检查条例〉的决定》第一次修正  根据 2010年7月30日辽宁省第十一届人民代表大会常务委员会第十八次会议《关于修改部分地方性法规的决定》第二次修正  根据2011年11月24日辽宁省第十一届人民代表大会常务委员会第二十六次会议《关于修改部分地方性法规的决定》第三次修正  根据2012年7月27日辽宁省第十一届人民代表大会常务委员会第三十一次会议《关于修改〈辽宁省价格监督检查条例〉的决定》第四次修正）</w:t>
      </w:r>
    </w:p>
    <w:p>
      <w:pPr>
        <w:ind w:firstLine="640" w:firstLineChars="200"/>
        <w:rPr>
          <w:rFonts w:hint="eastAsia" w:ascii="楷体" w:hAnsi="楷体" w:eastAsia="楷体" w:cs="楷体"/>
          <w:sz w:val="32"/>
          <w:szCs w:val="32"/>
        </w:rPr>
      </w:pPr>
    </w:p>
    <w:p>
      <w:pPr>
        <w:jc w:val="center"/>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jc w:val="center"/>
        <w:rPr>
          <w:rFonts w:hint="eastAsia" w:ascii="楷体" w:hAnsi="楷体" w:eastAsia="楷体" w:cs="楷体"/>
          <w:sz w:val="32"/>
          <w:szCs w:val="32"/>
          <w:lang w:eastAsia="zh-CN"/>
        </w:rPr>
      </w:pPr>
    </w:p>
    <w:p>
      <w:pPr>
        <w:pStyle w:val="7"/>
        <w:keepNext w:val="0"/>
        <w:keepLines w:val="0"/>
        <w:pageBreakBefore w:val="0"/>
        <w:widowControl w:val="0"/>
        <w:tabs>
          <w:tab w:val="right" w:pos="8844"/>
        </w:tabs>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TOC \o "1-1" \n  \h \u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_Toc27810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第一章  总    则</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_Toc12938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第二章  行政监督</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_Toc10604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第三章  社会监督</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_Toc26598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第四章  内部监督</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_Toc3143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第五章  价格违法行为</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_Toc25639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第六章  奖励与处罚</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 w:hAnsi="楷体" w:eastAsia="楷体" w:cs="楷体"/>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_Toc8233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第七章  附    则</w:t>
      </w:r>
      <w:r>
        <w:rPr>
          <w:rFonts w:hint="eastAsia" w:ascii="楷体" w:hAnsi="楷体" w:eastAsia="楷体" w:cs="楷体"/>
          <w:sz w:val="32"/>
          <w:szCs w:val="32"/>
          <w:lang w:eastAsia="zh-CN"/>
        </w:rPr>
        <w:fldChar w:fldCharType="end"/>
      </w:r>
    </w:p>
    <w:p>
      <w:pPr>
        <w:jc w:val="center"/>
        <w:rPr>
          <w:rFonts w:hint="eastAsia" w:ascii="楷体" w:hAnsi="楷体" w:eastAsia="楷体" w:cs="楷体"/>
          <w:sz w:val="32"/>
          <w:szCs w:val="32"/>
          <w:lang w:eastAsia="zh-CN"/>
        </w:rPr>
      </w:pPr>
      <w:r>
        <w:rPr>
          <w:rFonts w:hint="eastAsia" w:ascii="楷体" w:hAnsi="楷体" w:eastAsia="楷体" w:cs="楷体"/>
          <w:szCs w:val="32"/>
          <w:lang w:eastAsia="zh-CN"/>
        </w:rPr>
        <w:fldChar w:fldCharType="end"/>
      </w:r>
    </w:p>
    <w:p>
      <w:pPr>
        <w:pStyle w:val="2"/>
        <w:rPr>
          <w:rFonts w:hint="eastAsia"/>
        </w:rPr>
      </w:pPr>
      <w:bookmarkStart w:id="0" w:name="_Toc27810"/>
      <w:r>
        <w:rPr>
          <w:rFonts w:hint="eastAsia"/>
        </w:rPr>
        <w:t>第一章  总    则</w:t>
      </w:r>
      <w:bookmarkEnd w:id="0"/>
    </w:p>
    <w:p>
      <w:pPr>
        <w:ind w:firstLine="640" w:firstLineChars="200"/>
        <w:rPr>
          <w:rFonts w:hint="eastAsia" w:ascii="黑体" w:hAnsi="黑体" w:eastAsia="黑体" w:cs="黑体"/>
          <w:sz w:val="32"/>
          <w:szCs w:val="32"/>
          <w:lang w:eastAsia="zh-CN"/>
        </w:rPr>
      </w:pP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rPr>
        <w:t xml:space="preserve"> 为了维护市场价格秩序，规范价格行为，保护国家利益和生产者、经营者、消费者的合法权益，促进经济发展，根据国家有关法律、法规，制定本条例。</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本条例所称价格监督检查，是指对商品价格、服务价格和行政事业性收费进行的监督检查活动。</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 xml:space="preserve">第三条 </w:t>
      </w:r>
      <w:r>
        <w:rPr>
          <w:rFonts w:hint="eastAsia" w:ascii="仿宋" w:hAnsi="仿宋" w:eastAsia="仿宋" w:cs="仿宋"/>
          <w:sz w:val="32"/>
          <w:szCs w:val="32"/>
        </w:rPr>
        <w:t xml:space="preserve"> 本条例适用于本省行政区域内价格监督检查活动。</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rPr>
        <w:t xml:space="preserve">  价格监督检查必须保护合法、公平正当的价格竞争，制止价格欺诈、价格垄断、牟取暴利和乱涨价、滥收费等扰乱市场价格秩序和破坏物价稳定的价格违法行为。</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 xml:space="preserve">第五条 </w:t>
      </w:r>
      <w:r>
        <w:rPr>
          <w:rFonts w:hint="eastAsia" w:ascii="仿宋" w:hAnsi="仿宋" w:eastAsia="仿宋" w:cs="仿宋"/>
          <w:sz w:val="32"/>
          <w:szCs w:val="32"/>
        </w:rPr>
        <w:t xml:space="preserve"> 省、市、县（含县级市、区，下同）人民政府应当加强对价格监督检查工作的领导。动员社会力量做好价格监督检查工作。</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任何单位和个人都有权对价格违法行为进行检举或者投诉。</w:t>
      </w:r>
    </w:p>
    <w:p>
      <w:pPr>
        <w:pStyle w:val="2"/>
        <w:rPr>
          <w:rFonts w:hint="eastAsia"/>
        </w:rPr>
      </w:pPr>
      <w:bookmarkStart w:id="1" w:name="_Toc12938"/>
    </w:p>
    <w:p>
      <w:pPr>
        <w:pStyle w:val="2"/>
        <w:rPr>
          <w:rFonts w:hint="eastAsia"/>
        </w:rPr>
      </w:pPr>
      <w:r>
        <w:rPr>
          <w:rFonts w:hint="eastAsia"/>
        </w:rPr>
        <w:t>第二章  行政监督</w:t>
      </w:r>
      <w:bookmarkEnd w:id="1"/>
    </w:p>
    <w:p>
      <w:pPr>
        <w:ind w:firstLine="640" w:firstLineChars="200"/>
        <w:rPr>
          <w:rFonts w:hint="eastAsia" w:ascii="黑体" w:hAnsi="黑体" w:eastAsia="黑体" w:cs="黑体"/>
          <w:sz w:val="32"/>
          <w:szCs w:val="32"/>
          <w:lang w:eastAsia="zh-CN"/>
        </w:rPr>
      </w:pP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 xml:space="preserve">第七条 </w:t>
      </w:r>
      <w:r>
        <w:rPr>
          <w:rFonts w:hint="eastAsia" w:ascii="仿宋" w:hAnsi="仿宋" w:eastAsia="仿宋" w:cs="仿宋"/>
          <w:sz w:val="32"/>
          <w:szCs w:val="32"/>
        </w:rPr>
        <w:t xml:space="preserve"> 省、市、县价格主管部门负责本行政区域内的价格监督检查工作。</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 xml:space="preserve">第八条 </w:t>
      </w:r>
      <w:r>
        <w:rPr>
          <w:rFonts w:hint="eastAsia" w:ascii="仿宋" w:hAnsi="仿宋" w:eastAsia="仿宋" w:cs="仿宋"/>
          <w:sz w:val="32"/>
          <w:szCs w:val="32"/>
        </w:rPr>
        <w:t xml:space="preserve"> 价格主管部门具有下列职权：</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（一）进入被检查单位或者个人的经营、办公场所实施检查；</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（二）依法查阅或者调阅被检查单位或者个人与价格有关的报表、账簿、票据、文件等数据；</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（三）向价格违法案件当事人、有关单位或者知情人进行调查，抄录、复印有关证据材料，必要时可以依法采取拍照、录音、录像等方式取证；</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（四）必要时可暂时封存、扣留与价格违法案件有关的物品；</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（五）法律、法规赋予的其他职权。</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价格行政执法人员在调查或者进行检查时，应当两人以上参加，出示行政执法证件，佩戴统一标志，规范着装，依法办案，文明执法。</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财政、税务、工商、质监、审计、公安、监察等行政管理部门和银行，应当按照各自职责配合价格主管部门查处价格违法行为。</w:t>
      </w:r>
    </w:p>
    <w:p>
      <w:pPr>
        <w:pStyle w:val="2"/>
        <w:rPr>
          <w:rFonts w:hint="eastAsia"/>
        </w:rPr>
      </w:pPr>
      <w:bookmarkStart w:id="2" w:name="_Toc10604"/>
    </w:p>
    <w:p>
      <w:pPr>
        <w:pStyle w:val="2"/>
        <w:rPr>
          <w:rFonts w:hint="eastAsia"/>
        </w:rPr>
      </w:pPr>
      <w:r>
        <w:rPr>
          <w:rFonts w:hint="eastAsia"/>
        </w:rPr>
        <w:t>第三章  社会监督</w:t>
      </w:r>
      <w:bookmarkEnd w:id="2"/>
    </w:p>
    <w:p>
      <w:pPr>
        <w:ind w:firstLine="640" w:firstLineChars="200"/>
        <w:rPr>
          <w:rFonts w:hint="eastAsia" w:ascii="黑体" w:hAnsi="黑体" w:eastAsia="黑体" w:cs="黑体"/>
          <w:sz w:val="32"/>
          <w:szCs w:val="32"/>
          <w:lang w:eastAsia="zh-CN"/>
        </w:rPr>
      </w:pP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价格主管部门应当及时发布价格政策，建立和完善价格违法行为举报制度，公布举报电话、电子信箱。</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价格主管部门应当充分发挥群众价格监督的作用，可以聘请义务价格监督员，依法对商品价格、服务价格和行政事业性收费进行监督。</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价格主管部门应当利用新闻媒体及时公布群众关心的价格信息和价格违法行为。</w:t>
      </w:r>
    </w:p>
    <w:p>
      <w:pPr>
        <w:pStyle w:val="2"/>
        <w:rPr>
          <w:rFonts w:hint="eastAsia"/>
        </w:rPr>
      </w:pPr>
      <w:bookmarkStart w:id="3" w:name="_Toc26598"/>
    </w:p>
    <w:p>
      <w:pPr>
        <w:pStyle w:val="2"/>
        <w:rPr>
          <w:rFonts w:hint="eastAsia"/>
        </w:rPr>
      </w:pPr>
      <w:r>
        <w:rPr>
          <w:rFonts w:hint="eastAsia"/>
        </w:rPr>
        <w:t>第四章  内部监督</w:t>
      </w:r>
      <w:bookmarkEnd w:id="3"/>
    </w:p>
    <w:p>
      <w:pPr>
        <w:ind w:firstLine="640" w:firstLineChars="200"/>
        <w:rPr>
          <w:rFonts w:hint="eastAsia" w:ascii="黑体" w:hAnsi="黑体" w:eastAsia="黑体" w:cs="黑体"/>
          <w:sz w:val="32"/>
          <w:szCs w:val="32"/>
          <w:lang w:eastAsia="zh-CN"/>
        </w:rPr>
      </w:pP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行业主管部门、有关行政主管部门、企事业单位，应当按照下列要求做好本行业、本系统、本单位的价格监督检查工作：</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（一）组织本行业、本系统、本单位的价格自查，发现价格违法行为及时纠正；</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（二）建立健全价格台账和定价、调价等内部的价格管理制度；</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（三）协助价格主管部门调查处理价格违法案件；</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（四）在管理权限范围内对价格违法的责任人员进行处理。</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行业主管部门和企事业单位在本行业、本单位的价格出现异常情况时，应当及时向价格主管部门报告，并向价格主管部门作出说明。</w:t>
      </w:r>
    </w:p>
    <w:p>
      <w:pPr>
        <w:pStyle w:val="2"/>
        <w:rPr>
          <w:rFonts w:hint="eastAsia"/>
        </w:rPr>
      </w:pPr>
      <w:bookmarkStart w:id="4" w:name="_Toc3143"/>
    </w:p>
    <w:p>
      <w:pPr>
        <w:pStyle w:val="2"/>
        <w:rPr>
          <w:rFonts w:hint="eastAsia"/>
        </w:rPr>
      </w:pPr>
      <w:r>
        <w:rPr>
          <w:rFonts w:hint="eastAsia"/>
        </w:rPr>
        <w:t>第五章  价格违法行为</w:t>
      </w:r>
      <w:bookmarkEnd w:id="4"/>
    </w:p>
    <w:p>
      <w:pPr>
        <w:ind w:firstLine="640" w:firstLineChars="200"/>
        <w:rPr>
          <w:rFonts w:hint="eastAsia" w:ascii="黑体" w:hAnsi="黑体" w:eastAsia="黑体" w:cs="黑体"/>
          <w:sz w:val="32"/>
          <w:szCs w:val="32"/>
          <w:lang w:eastAsia="zh-CN"/>
        </w:rPr>
      </w:pP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经营者不得有下列行为：</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（一）《中华人民共和国价格法》第十四条规定的不正当价格行为；</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（二）不执行政府指导价、政府定价；</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（三）不执行法定的价格干预措施、紧急措施；</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（四）违反明码标价规定；</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（五）违反价格管理规定的其他行为。</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行政事业性单位不得有下列行为：</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（一）超越管理权限制定、调整收费项目和标准及依此收费；</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（二）无收费许可证或者超过规定的范围、标准收费；</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（三）收费项目已取消或者停止征收，仍未停止收费，或者收费标准调整后，仍按照原标准收费；</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（四）擅自将行政事业性收费转为经营服务性收费；</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（五）未按照规定提供服务而收费；</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（六）违反规定以保证金、抵押金、滞纳金、集资、赞助以及其他形式变相收费；</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（七）利用职权或者垄断地位强行收费或者强迫接受有偿服务；</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（八）违反规定代收费用；</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（九）未按照规定公示收费；</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（十）违反价格管理规定的其他行为。</w:t>
      </w:r>
    </w:p>
    <w:p>
      <w:pPr>
        <w:pStyle w:val="2"/>
        <w:rPr>
          <w:rFonts w:hint="eastAsia"/>
        </w:rPr>
      </w:pPr>
      <w:bookmarkStart w:id="5" w:name="_Toc25639"/>
    </w:p>
    <w:p>
      <w:pPr>
        <w:pStyle w:val="2"/>
        <w:rPr>
          <w:rFonts w:hint="eastAsia"/>
        </w:rPr>
      </w:pPr>
      <w:r>
        <w:rPr>
          <w:rFonts w:hint="eastAsia"/>
        </w:rPr>
        <w:t>第六章  奖励与处罚</w:t>
      </w:r>
      <w:bookmarkEnd w:id="5"/>
    </w:p>
    <w:p>
      <w:pPr>
        <w:ind w:firstLine="640" w:firstLineChars="200"/>
        <w:rPr>
          <w:rFonts w:hint="eastAsia" w:ascii="黑体" w:hAnsi="黑体" w:eastAsia="黑体" w:cs="黑体"/>
          <w:sz w:val="32"/>
          <w:szCs w:val="32"/>
          <w:lang w:eastAsia="zh-CN"/>
        </w:rPr>
      </w:pP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 xml:space="preserve">第十六条  </w:t>
      </w:r>
      <w:r>
        <w:rPr>
          <w:rFonts w:hint="eastAsia" w:ascii="仿宋" w:hAnsi="仿宋" w:eastAsia="仿宋" w:cs="仿宋"/>
          <w:sz w:val="32"/>
          <w:szCs w:val="32"/>
        </w:rPr>
        <w:t>对模范执行价格法规和政策的单位和个人，以及举报、协助查处价格违法行为的有功人员，由价格主管部门给予表彰或者奖励。</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第十七条</w:t>
      </w:r>
      <w:r>
        <w:rPr>
          <w:rFonts w:hint="eastAsia" w:ascii="仿宋" w:hAnsi="仿宋" w:eastAsia="仿宋" w:cs="仿宋"/>
          <w:sz w:val="32"/>
          <w:szCs w:val="32"/>
        </w:rPr>
        <w:t xml:space="preserve">  违反本条例第十四条规定，按照《价格违法行为行政处罚规定》予以处罚。法律、法规另有规定的，从其规定。</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违反本条例第十五条规定，由财政、价格主管部门依照各自职责，根据情节轻重，给予警告、通报批评，撤销收费项目、调整收费标准、吊销收费许可证，责令退回非法所得，无法退回的，予以没收，并处以非法所得1倍以下罚款。法律、法规另有规定的，从其规定。</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对拒绝、阻碍价格行政执法人员依法执行职务的，由公安机关依照《中华人民共和国治安管理处罚法》的有关规定处罚；构成犯罪的，由司法机关依法追究刑事责任。</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第二十条</w:t>
      </w:r>
      <w:r>
        <w:rPr>
          <w:rFonts w:hint="eastAsia" w:ascii="仿宋" w:hAnsi="仿宋" w:eastAsia="仿宋" w:cs="仿宋"/>
          <w:sz w:val="32"/>
          <w:szCs w:val="32"/>
        </w:rPr>
        <w:t xml:space="preserve">  实施罚没，必须使用省财政部门统一印制的罚没票据。</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 xml:space="preserve">第二十一条 </w:t>
      </w:r>
      <w:r>
        <w:rPr>
          <w:rFonts w:hint="eastAsia" w:ascii="仿宋" w:hAnsi="仿宋" w:eastAsia="仿宋" w:cs="仿宋"/>
          <w:sz w:val="32"/>
          <w:szCs w:val="32"/>
        </w:rPr>
        <w:t xml:space="preserve"> 罚没款全部上缴同级财政。</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价格行政执法人员滥用职权，贪污受贿、徇私舞弊、玩忽职守的，按照人事管理权限给予行政处分；构成犯罪的，由司法机关依法追究刑事责任；对公民、法人和其他组织造成损害的，依法进行赔偿。</w:t>
      </w:r>
    </w:p>
    <w:p>
      <w:pPr>
        <w:pStyle w:val="2"/>
        <w:rPr>
          <w:rFonts w:hint="eastAsia"/>
        </w:rPr>
      </w:pPr>
      <w:bookmarkStart w:id="6" w:name="_Toc8233"/>
    </w:p>
    <w:p>
      <w:pPr>
        <w:pStyle w:val="2"/>
        <w:rPr>
          <w:rFonts w:hint="eastAsia"/>
        </w:rPr>
      </w:pPr>
      <w:r>
        <w:rPr>
          <w:rFonts w:hint="eastAsia"/>
        </w:rPr>
        <w:t>第七章  附    则</w:t>
      </w:r>
      <w:bookmarkEnd w:id="6"/>
    </w:p>
    <w:p>
      <w:pPr>
        <w:ind w:firstLine="640" w:firstLineChars="200"/>
        <w:rPr>
          <w:rFonts w:hint="eastAsia" w:ascii="黑体" w:hAnsi="黑体" w:eastAsia="黑体" w:cs="黑体"/>
          <w:sz w:val="32"/>
          <w:szCs w:val="32"/>
          <w:lang w:eastAsia="zh-CN"/>
        </w:rPr>
      </w:pP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第二十三条</w:t>
      </w:r>
      <w:r>
        <w:rPr>
          <w:rFonts w:hint="eastAsia" w:ascii="仿宋" w:hAnsi="仿宋" w:eastAsia="仿宋" w:cs="仿宋"/>
          <w:sz w:val="32"/>
          <w:szCs w:val="32"/>
        </w:rPr>
        <w:t xml:space="preserve">  行政执法证件和价格监督检查文书以及价格行政执法人员佩戴的标志样式，按照国家有关规定执行。</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第二十四条</w:t>
      </w:r>
      <w:r>
        <w:rPr>
          <w:rFonts w:hint="eastAsia" w:ascii="仿宋" w:hAnsi="仿宋" w:eastAsia="仿宋" w:cs="仿宋"/>
          <w:sz w:val="32"/>
          <w:szCs w:val="32"/>
        </w:rPr>
        <w:t xml:space="preserve">  本条例自公布之日起施行。</w:t>
      </w:r>
      <w:bookmarkStart w:id="7" w:name="_GoBack"/>
      <w:bookmarkEnd w:id="7"/>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1A90DF8"/>
    <w:rsid w:val="02123303"/>
    <w:rsid w:val="02DC1B4A"/>
    <w:rsid w:val="030B094A"/>
    <w:rsid w:val="03187345"/>
    <w:rsid w:val="03400271"/>
    <w:rsid w:val="04A11D33"/>
    <w:rsid w:val="054A6246"/>
    <w:rsid w:val="064B52D3"/>
    <w:rsid w:val="06FE6E5A"/>
    <w:rsid w:val="090C6FF4"/>
    <w:rsid w:val="0C6A4B67"/>
    <w:rsid w:val="0C9250A8"/>
    <w:rsid w:val="0CEC2EA6"/>
    <w:rsid w:val="0F037DF5"/>
    <w:rsid w:val="10630639"/>
    <w:rsid w:val="107F2C41"/>
    <w:rsid w:val="13200AFA"/>
    <w:rsid w:val="13595AA4"/>
    <w:rsid w:val="143D2F2C"/>
    <w:rsid w:val="143F54BF"/>
    <w:rsid w:val="161F2837"/>
    <w:rsid w:val="177A3CFF"/>
    <w:rsid w:val="18171061"/>
    <w:rsid w:val="1AD672BF"/>
    <w:rsid w:val="1DF5713F"/>
    <w:rsid w:val="1E6229FB"/>
    <w:rsid w:val="20103889"/>
    <w:rsid w:val="20316386"/>
    <w:rsid w:val="20590C69"/>
    <w:rsid w:val="20EF61E1"/>
    <w:rsid w:val="223E6956"/>
    <w:rsid w:val="25D47A71"/>
    <w:rsid w:val="264440A8"/>
    <w:rsid w:val="29123653"/>
    <w:rsid w:val="2B031DE5"/>
    <w:rsid w:val="2BE3684F"/>
    <w:rsid w:val="2CE13614"/>
    <w:rsid w:val="2D013697"/>
    <w:rsid w:val="2D942549"/>
    <w:rsid w:val="2DBE0035"/>
    <w:rsid w:val="2ED63F14"/>
    <w:rsid w:val="2EF66D7D"/>
    <w:rsid w:val="2FAC7C6C"/>
    <w:rsid w:val="30B05D00"/>
    <w:rsid w:val="315015BF"/>
    <w:rsid w:val="31E03E63"/>
    <w:rsid w:val="330956BB"/>
    <w:rsid w:val="3523460C"/>
    <w:rsid w:val="35E577DF"/>
    <w:rsid w:val="36811BED"/>
    <w:rsid w:val="38721F4F"/>
    <w:rsid w:val="38EE67B9"/>
    <w:rsid w:val="3A3C6DDF"/>
    <w:rsid w:val="3A630D35"/>
    <w:rsid w:val="3AC920CE"/>
    <w:rsid w:val="3BA73BF4"/>
    <w:rsid w:val="3E277E6D"/>
    <w:rsid w:val="3EF34D8D"/>
    <w:rsid w:val="3FD8696F"/>
    <w:rsid w:val="40913EE0"/>
    <w:rsid w:val="40934429"/>
    <w:rsid w:val="40F2738E"/>
    <w:rsid w:val="42C267EB"/>
    <w:rsid w:val="43693C5A"/>
    <w:rsid w:val="44BA1352"/>
    <w:rsid w:val="455C5B77"/>
    <w:rsid w:val="45715B28"/>
    <w:rsid w:val="45CC43B8"/>
    <w:rsid w:val="46FE6ADB"/>
    <w:rsid w:val="47190386"/>
    <w:rsid w:val="4A115B83"/>
    <w:rsid w:val="4A304D48"/>
    <w:rsid w:val="4ACE5D7C"/>
    <w:rsid w:val="4BF3497D"/>
    <w:rsid w:val="4C4F10F0"/>
    <w:rsid w:val="4EE07366"/>
    <w:rsid w:val="4F1678B7"/>
    <w:rsid w:val="4F2C0DC2"/>
    <w:rsid w:val="4FDA2B53"/>
    <w:rsid w:val="508E2CC0"/>
    <w:rsid w:val="51774BDD"/>
    <w:rsid w:val="52C57AD3"/>
    <w:rsid w:val="532A73B3"/>
    <w:rsid w:val="56346931"/>
    <w:rsid w:val="57EA54B3"/>
    <w:rsid w:val="590E0F79"/>
    <w:rsid w:val="59836D8C"/>
    <w:rsid w:val="5D0A6845"/>
    <w:rsid w:val="5FC01C05"/>
    <w:rsid w:val="6033420B"/>
    <w:rsid w:val="626C54D9"/>
    <w:rsid w:val="652671F7"/>
    <w:rsid w:val="65A52084"/>
    <w:rsid w:val="663B59C0"/>
    <w:rsid w:val="66BA54A4"/>
    <w:rsid w:val="67544E85"/>
    <w:rsid w:val="680B03CF"/>
    <w:rsid w:val="68DB6E36"/>
    <w:rsid w:val="6AAA3BEE"/>
    <w:rsid w:val="6B131566"/>
    <w:rsid w:val="6BA75280"/>
    <w:rsid w:val="6C076208"/>
    <w:rsid w:val="6CD51EDC"/>
    <w:rsid w:val="6D6A13C0"/>
    <w:rsid w:val="6DBF7B24"/>
    <w:rsid w:val="6F723BC8"/>
    <w:rsid w:val="70F53D21"/>
    <w:rsid w:val="717C33E8"/>
    <w:rsid w:val="7269452B"/>
    <w:rsid w:val="753B5365"/>
    <w:rsid w:val="761746CE"/>
    <w:rsid w:val="767B4FBE"/>
    <w:rsid w:val="76D129CF"/>
    <w:rsid w:val="78FF556C"/>
    <w:rsid w:val="79E6441F"/>
    <w:rsid w:val="7A86554B"/>
    <w:rsid w:val="7CA15643"/>
    <w:rsid w:val="7D4263F2"/>
    <w:rsid w:val="7DD73CD4"/>
    <w:rsid w:val="7E0E014F"/>
    <w:rsid w:val="7EF94983"/>
    <w:rsid w:val="7F5E3B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2017-02-16T12:46:30Z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