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700" w:lineRule="exact"/>
        <w:jc w:val="center"/>
        <w:rPr>
          <w:rFonts w:hint="eastAsia" w:ascii="宋体" w:hAnsi="宋体"/>
          <w:b w:val="0"/>
          <w:bCs w:val="0"/>
          <w:color w:val="000000"/>
          <w:kern w:val="0"/>
          <w:sz w:val="32"/>
          <w:szCs w:val="32"/>
        </w:rPr>
      </w:pPr>
    </w:p>
    <w:p>
      <w:pPr>
        <w:pStyle w:val="11"/>
        <w:spacing w:line="700" w:lineRule="exact"/>
        <w:jc w:val="center"/>
        <w:rPr>
          <w:rFonts w:hint="eastAsia" w:ascii="宋体" w:hAnsi="宋体"/>
          <w:b w:val="0"/>
          <w:bCs w:val="0"/>
          <w:color w:val="000000"/>
          <w:kern w:val="0"/>
          <w:sz w:val="44"/>
          <w:szCs w:val="44"/>
        </w:rPr>
      </w:pPr>
      <w:r>
        <w:rPr>
          <w:rFonts w:hint="eastAsia" w:ascii="宋体" w:hAnsi="宋体"/>
          <w:b w:val="0"/>
          <w:bCs w:val="0"/>
          <w:color w:val="000000"/>
          <w:kern w:val="0"/>
          <w:sz w:val="44"/>
          <w:szCs w:val="44"/>
        </w:rPr>
        <w:t>辽宁省</w:t>
      </w:r>
      <w:r>
        <w:rPr>
          <w:rFonts w:hint="eastAsia" w:ascii="宋体" w:hAnsi="宋体"/>
          <w:b w:val="0"/>
          <w:bCs w:val="0"/>
          <w:color w:val="000000"/>
          <w:kern w:val="0"/>
          <w:sz w:val="44"/>
          <w:szCs w:val="44"/>
          <w:lang w:eastAsia="zh-CN"/>
        </w:rPr>
        <w:t>医疗废物管理条例</w:t>
      </w:r>
    </w:p>
    <w:p>
      <w:pPr>
        <w:pStyle w:val="12"/>
        <w:widowControl/>
        <w:adjustRightInd w:val="0"/>
        <w:snapToGrid w:val="0"/>
        <w:spacing w:before="0" w:beforeLines="0" w:beforeAutospacing="0" w:after="0" w:afterLines="0" w:afterAutospacing="0" w:line="580" w:lineRule="exact"/>
        <w:ind w:left="948" w:leftChars="300" w:right="948" w:rightChars="300"/>
        <w:rPr>
          <w:rFonts w:hint="eastAsia" w:ascii="宋体" w:hAnsi="宋体" w:eastAsia="宋体" w:cs="宋体"/>
          <w:snapToGrid w:val="0"/>
          <w:kern w:val="0"/>
          <w:sz w:val="32"/>
          <w:szCs w:val="32"/>
          <w:lang w:val="en-US"/>
        </w:rPr>
      </w:pPr>
    </w:p>
    <w:p>
      <w:pPr>
        <w:pStyle w:val="28"/>
        <w:spacing w:line="600" w:lineRule="exact"/>
        <w:jc w:val="center"/>
        <w:rPr>
          <w:rFonts w:hint="eastAsia" w:ascii="楷体" w:hAnsi="楷体" w:eastAsia="楷体" w:cs="宋体"/>
          <w:b w:val="0"/>
          <w:bCs w:val="0"/>
          <w:color w:val="000000"/>
          <w:kern w:val="0"/>
          <w:sz w:val="32"/>
          <w:szCs w:val="44"/>
          <w:lang w:val="en-US" w:eastAsia="zh-CN"/>
        </w:rPr>
      </w:pPr>
      <w:r>
        <w:rPr>
          <w:rFonts w:hint="eastAsia" w:ascii="楷体" w:hAnsi="楷体" w:eastAsia="楷体" w:cs="宋体"/>
          <w:b w:val="0"/>
          <w:bCs w:val="0"/>
          <w:color w:val="000000"/>
          <w:kern w:val="0"/>
          <w:sz w:val="32"/>
          <w:szCs w:val="44"/>
          <w:lang w:val="en-US" w:eastAsia="zh-CN"/>
        </w:rPr>
        <w:t>（2021年7月27日辽宁省</w:t>
      </w:r>
      <w:r>
        <w:rPr>
          <w:rFonts w:hint="eastAsia" w:ascii="楷体" w:hAnsi="楷体" w:eastAsia="楷体"/>
          <w:color w:val="000000"/>
          <w:sz w:val="32"/>
          <w:szCs w:val="32"/>
          <w:lang w:val="en-US" w:eastAsia="zh-CN"/>
        </w:rPr>
        <w:t>第十三</w:t>
      </w:r>
      <w:r>
        <w:rPr>
          <w:rFonts w:hint="eastAsia" w:ascii="楷体" w:hAnsi="楷体" w:eastAsia="楷体" w:cs="宋体"/>
          <w:b w:val="0"/>
          <w:bCs w:val="0"/>
          <w:color w:val="000000"/>
          <w:kern w:val="0"/>
          <w:sz w:val="32"/>
          <w:szCs w:val="44"/>
          <w:lang w:val="en-US" w:eastAsia="zh-CN"/>
        </w:rPr>
        <w:t>届人民代表大会</w:t>
      </w:r>
    </w:p>
    <w:p>
      <w:pPr>
        <w:pStyle w:val="12"/>
        <w:keepNext w:val="0"/>
        <w:keepLines w:val="0"/>
        <w:pageBreakBefore w:val="0"/>
        <w:widowControl/>
        <w:kinsoku/>
        <w:wordWrap/>
        <w:overflowPunct/>
        <w:topLinePunct w:val="0"/>
        <w:autoSpaceDE/>
        <w:autoSpaceDN/>
        <w:bidi w:val="0"/>
        <w:adjustRightInd w:val="0"/>
        <w:snapToGrid w:val="0"/>
        <w:spacing w:line="580" w:lineRule="exact"/>
        <w:ind w:left="632" w:leftChars="200" w:right="632" w:rightChars="200"/>
        <w:jc w:val="center"/>
        <w:textAlignment w:val="auto"/>
        <w:rPr>
          <w:rFonts w:hint="eastAsia" w:ascii="楷体" w:hAnsi="楷体" w:eastAsia="楷体" w:cs="宋体"/>
          <w:b w:val="0"/>
          <w:bCs w:val="0"/>
          <w:color w:val="000000"/>
          <w:kern w:val="0"/>
          <w:sz w:val="32"/>
          <w:szCs w:val="44"/>
          <w:lang w:val="en-US" w:eastAsia="zh-CN"/>
        </w:rPr>
      </w:pPr>
      <w:r>
        <w:rPr>
          <w:rFonts w:hint="eastAsia" w:ascii="楷体" w:hAnsi="楷体" w:eastAsia="楷体" w:cs="宋体"/>
          <w:b w:val="0"/>
          <w:bCs w:val="0"/>
          <w:color w:val="000000"/>
          <w:kern w:val="0"/>
          <w:sz w:val="32"/>
          <w:szCs w:val="44"/>
          <w:lang w:val="en-US" w:eastAsia="zh-CN"/>
        </w:rPr>
        <w:t>常务委员会第二十七次会议通过）</w:t>
      </w:r>
    </w:p>
    <w:p>
      <w:pPr>
        <w:pStyle w:val="11"/>
        <w:keepNext w:val="0"/>
        <w:keepLines w:val="0"/>
        <w:pageBreakBefore w:val="0"/>
        <w:widowControl w:val="0"/>
        <w:kinsoku/>
        <w:wordWrap/>
        <w:overflowPunct/>
        <w:topLinePunct w:val="0"/>
        <w:autoSpaceDE/>
        <w:autoSpaceDN/>
        <w:bidi w:val="0"/>
        <w:adjustRightInd/>
        <w:snapToGrid/>
        <w:spacing w:line="578" w:lineRule="exact"/>
        <w:ind w:left="632" w:leftChars="200" w:right="632" w:rightChars="200"/>
        <w:textAlignment w:val="auto"/>
        <w:rPr>
          <w:rFonts w:ascii="宋体" w:hAnsi="宋体"/>
          <w:bCs/>
          <w:color w:val="000000"/>
          <w:kern w:val="0"/>
          <w:sz w:val="32"/>
          <w:szCs w:val="32"/>
        </w:rPr>
      </w:pP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第一条</w:t>
      </w:r>
      <w:r>
        <w:rPr>
          <w:rFonts w:hint="eastAsia" w:ascii="仿宋" w:hAnsi="仿宋" w:eastAsia="仿宋"/>
          <w:bCs/>
        </w:rPr>
        <w:t xml:space="preserve">  为加强医疗废物管理，防止疾病传播，保护生态环境，保障公众健康，根据《中华人民共和国固体废物污染环境防治法》和国务院《医疗废物管理条例》等有关法律、行政法规，结合本省实际，制定本条例。</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第二条</w:t>
      </w:r>
      <w:r>
        <w:rPr>
          <w:rFonts w:hint="eastAsia" w:ascii="仿宋" w:hAnsi="仿宋" w:eastAsia="仿宋"/>
          <w:bCs/>
        </w:rPr>
        <w:t xml:space="preserve">  本省行政区域内医疗废物的收集、运送、贮存、处置以及监督管理等活动，适用本条例。</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lang w:eastAsia="zh-CN"/>
        </w:rPr>
        <w:t>重大传染病疫情期间，传染病专用门诊和传染病定点救治医疗卫生机构涉疫情封闭治疗区域内产生的生活垃圾应当作为医疗废物进行管理和处置。</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第三条</w:t>
      </w:r>
      <w:r>
        <w:rPr>
          <w:rFonts w:hint="eastAsia" w:ascii="仿宋" w:hAnsi="仿宋" w:eastAsia="仿宋"/>
          <w:bCs/>
        </w:rPr>
        <w:t xml:space="preserve">  省、市、县（含县级市、区，下同）人民政府应当将医疗废物管理工作纳入国民经济和社会发展规划、生态环境保护规划，建立健全医疗废物收集</w:t>
      </w:r>
      <w:r>
        <w:rPr>
          <w:rFonts w:hint="eastAsia" w:ascii="仿宋" w:hAnsi="仿宋" w:eastAsia="仿宋"/>
          <w:bCs/>
          <w:lang w:eastAsia="zh-CN"/>
        </w:rPr>
        <w:t>转运</w:t>
      </w:r>
      <w:r>
        <w:rPr>
          <w:rFonts w:hint="eastAsia" w:ascii="仿宋" w:hAnsi="仿宋" w:eastAsia="仿宋"/>
          <w:bCs/>
        </w:rPr>
        <w:t>处置体系，并按照国家有关规定组织建设医疗废物集中处置设施。在重大传染病疫情等突发事件发生时，统筹协调医疗废物的收集、运送、贮存、处置等工作。</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第四条</w:t>
      </w:r>
      <w:r>
        <w:rPr>
          <w:rFonts w:hint="eastAsia" w:ascii="仿宋" w:hAnsi="仿宋" w:eastAsia="仿宋"/>
          <w:bCs/>
        </w:rPr>
        <w:t xml:space="preserve">  省、市、县卫生健康主管部门（以下简称卫生健康主管部门）负责对本行政区域内医疗废物收集、运送、贮存、处置活动中的疾病防治工作实施统一监督管理。</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省、市</w:t>
      </w:r>
      <w:r>
        <w:rPr>
          <w:rFonts w:hint="eastAsia" w:ascii="仿宋" w:hAnsi="仿宋" w:eastAsia="仿宋"/>
          <w:bCs/>
          <w:strike w:val="0"/>
          <w:dstrike w:val="0"/>
        </w:rPr>
        <w:t>、县</w:t>
      </w:r>
      <w:r>
        <w:rPr>
          <w:rFonts w:hint="eastAsia" w:ascii="仿宋" w:hAnsi="仿宋" w:eastAsia="仿宋"/>
          <w:bCs/>
        </w:rPr>
        <w:t>生态环境主管部门（以下简称生态环境主管部门）负责对本行政区域内医疗废物收集、运送、贮存、处置活动中的环境污染防治工作实施统一监督管理。</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发展改革、住房城乡建设、交通运输等有关部门，按照各自职责，依法做好医疗废物管理的相关工作。</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i/>
          <w:iCs/>
        </w:rPr>
      </w:pPr>
      <w:r>
        <w:rPr>
          <w:rFonts w:hint="eastAsia" w:ascii="黑体" w:hAnsi="黑体" w:eastAsia="黑体"/>
          <w:bCs/>
        </w:rPr>
        <w:t>第五条</w:t>
      </w:r>
      <w:r>
        <w:rPr>
          <w:rFonts w:hint="eastAsia" w:ascii="仿宋" w:hAnsi="仿宋" w:eastAsia="仿宋"/>
          <w:bCs/>
          <w:i/>
          <w:iCs/>
        </w:rPr>
        <w:t xml:space="preserve">  </w:t>
      </w:r>
      <w:r>
        <w:rPr>
          <w:rFonts w:hint="eastAsia" w:ascii="仿宋" w:hAnsi="仿宋" w:eastAsia="仿宋"/>
          <w:bCs/>
          <w:iCs/>
        </w:rPr>
        <w:t>市人民政府应当制定集中处置设施建设方案，采取公开招标的方式确定医疗废物集中处置单位，由医疗废物集中处置单位按照国家有关标准和规范要求建设集中处置设施。</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iCs/>
        </w:rPr>
      </w:pPr>
      <w:r>
        <w:rPr>
          <w:rFonts w:hint="eastAsia" w:ascii="黑体" w:hAnsi="黑体" w:eastAsia="黑体"/>
          <w:bCs/>
        </w:rPr>
        <w:t>第六条</w:t>
      </w:r>
      <w:r>
        <w:rPr>
          <w:rFonts w:hint="eastAsia" w:ascii="仿宋" w:hAnsi="仿宋" w:eastAsia="仿宋"/>
          <w:bCs/>
          <w:iCs/>
        </w:rPr>
        <w:t xml:space="preserve"> </w:t>
      </w:r>
      <w:r>
        <w:rPr>
          <w:rFonts w:hint="eastAsia" w:ascii="仿宋" w:hAnsi="仿宋" w:eastAsia="仿宋"/>
          <w:bCs/>
          <w:i/>
          <w:iCs/>
        </w:rPr>
        <w:t xml:space="preserve"> </w:t>
      </w:r>
      <w:r>
        <w:rPr>
          <w:rFonts w:hint="eastAsia" w:ascii="仿宋" w:hAnsi="仿宋" w:eastAsia="仿宋"/>
          <w:bCs/>
          <w:iCs/>
        </w:rPr>
        <w:t>市人民政府应当组织对现有集中处置设施进行能力评估，对于设备老化、工艺落后、处置能力不足的集中处置设施，及时组织改建、扩建，并积极推进医疗废物集中处置设施应急备用能力建设。医疗废物集中处置单位应当在集中处置设施改建、扩建或者大修期间采取有效措施，确保医疗废物及时处置。</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鼓励发展医疗废物移动处置设施和预处理设施，为偏远基层提供就地处置服务，实现医疗废物收集应收尽收、全面覆盖，处置及时有效、科学规范。</w:t>
      </w:r>
    </w:p>
    <w:p>
      <w:pPr>
        <w:pStyle w:val="30"/>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cs="Times New Roman"/>
          <w:bCs/>
          <w:i w:val="0"/>
          <w:kern w:val="2"/>
          <w:sz w:val="32"/>
          <w:szCs w:val="32"/>
          <w:lang w:val="en-US" w:eastAsia="zh-CN"/>
        </w:rPr>
      </w:pPr>
      <w:r>
        <w:rPr>
          <w:rFonts w:hint="eastAsia" w:ascii="黑体" w:hAnsi="黑体" w:eastAsia="黑体" w:cs="Times New Roman"/>
          <w:bCs/>
          <w:i w:val="0"/>
          <w:kern w:val="2"/>
          <w:sz w:val="32"/>
          <w:szCs w:val="32"/>
          <w:lang w:val="en-US" w:eastAsia="zh-CN"/>
        </w:rPr>
        <w:t>第七条</w:t>
      </w:r>
      <w:r>
        <w:rPr>
          <w:rFonts w:hint="eastAsia" w:ascii="仿宋" w:hAnsi="仿宋" w:eastAsia="仿宋" w:cs="Times New Roman"/>
          <w:bCs/>
          <w:i w:val="0"/>
          <w:kern w:val="2"/>
          <w:sz w:val="32"/>
          <w:szCs w:val="32"/>
          <w:lang w:val="en-US" w:eastAsia="zh-CN"/>
        </w:rPr>
        <w:t xml:space="preserve">  医疗卫生机构和医疗废物集中处置单位应当依法对医疗废物进行登记，并按照所在地卫生健康和生态环境主管部门的要求提供相关资料。</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第八条</w:t>
      </w:r>
      <w:r>
        <w:rPr>
          <w:rFonts w:hint="eastAsia" w:ascii="仿宋" w:hAnsi="仿宋" w:eastAsia="仿宋"/>
          <w:bCs/>
        </w:rPr>
        <w:t xml:space="preserve">  医疗卫生机构依法分类收集、运送、贮存医疗废物，除执行国</w:t>
      </w:r>
      <w:r>
        <w:rPr>
          <w:rFonts w:hint="eastAsia" w:ascii="仿宋" w:hAnsi="仿宋" w:eastAsia="仿宋"/>
          <w:bCs/>
          <w:lang w:eastAsia="zh-CN"/>
        </w:rPr>
        <w:t>家有关规定和国</w:t>
      </w:r>
      <w:r>
        <w:rPr>
          <w:rFonts w:hint="eastAsia" w:ascii="仿宋" w:hAnsi="仿宋" w:eastAsia="仿宋"/>
          <w:bCs/>
        </w:rPr>
        <w:t>家相关技术标准外，还应当符合下列要求：</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（一）与医疗废物集中处置单位共同确认医疗废物分类包装及贮存方式；</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（二）与医疗废物集中处置单位在交接时共同填写转移联单；</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（三）保证备用收集容器容量多于医疗废物实际产生量；</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（四）医疗废物贮存设施应当能够满足医疗废物产生量和收集周期的贮存要求，并留有运送操作空间；</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（五）禁止在医疗废物周转箱外散堆医疗废物。</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第九条</w:t>
      </w:r>
      <w:r>
        <w:rPr>
          <w:rFonts w:hint="eastAsia" w:ascii="仿宋" w:hAnsi="仿宋" w:eastAsia="仿宋"/>
          <w:bCs/>
        </w:rPr>
        <w:t xml:space="preserve">  医疗卫生机构应当按照就近集中处置的原则向医疗废物集中处置单位移交医疗废物，并及时签订集中处置合同，明确双方的权利和义务。医疗废物集中处置单位不得拒绝接收符合接收条件的医疗废物</w:t>
      </w:r>
      <w:r>
        <w:rPr>
          <w:rFonts w:hint="eastAsia" w:ascii="仿宋" w:hAnsi="仿宋" w:eastAsia="仿宋"/>
          <w:bCs/>
          <w:lang w:eastAsia="zh-CN"/>
        </w:rPr>
        <w:t>。</w:t>
      </w:r>
      <w:r>
        <w:rPr>
          <w:rFonts w:hint="eastAsia" w:ascii="仿宋" w:hAnsi="仿宋" w:eastAsia="仿宋"/>
          <w:bCs/>
        </w:rPr>
        <w:t>因拒绝接收造成医疗废物长期堆存的，医疗卫生机构应当及时上报卫生健康和生态环境主管部门。</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lang w:eastAsia="zh-CN"/>
        </w:rPr>
      </w:pPr>
      <w:r>
        <w:rPr>
          <w:rFonts w:hint="eastAsia" w:ascii="仿宋" w:hAnsi="仿宋" w:eastAsia="仿宋"/>
          <w:bCs/>
        </w:rPr>
        <w:t>附近没有医疗废物集中处置单位且无住院病床的医疗卫生机构，在与医疗废物集中处置单位协商后，可以委托有贮存设施的医疗卫生</w:t>
      </w:r>
      <w:r>
        <w:rPr>
          <w:rFonts w:hint="eastAsia" w:ascii="仿宋" w:hAnsi="仿宋" w:eastAsia="仿宋"/>
          <w:bCs/>
          <w:lang w:eastAsia="zh-CN"/>
        </w:rPr>
        <w:t>机构暂存，并由受委托的医疗卫生机构统一交由医疗废物集中处置单位处置。</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lang w:eastAsia="zh-CN"/>
        </w:rPr>
      </w:pPr>
      <w:r>
        <w:rPr>
          <w:rFonts w:hint="eastAsia" w:ascii="仿宋" w:hAnsi="仿宋" w:eastAsia="仿宋"/>
          <w:bCs/>
          <w:lang w:eastAsia="zh-CN"/>
        </w:rPr>
        <w:t>市人民政府可以组织医疗废物集中处置单位，在合适地点的医疗卫生机构或者公共区域设置固定的医疗废物中转贮存设施。无住院病床的医疗卫生机构可以与医疗废物集中处置单位签订协议，将医疗废物就近投放到医疗废物中转贮存设施，再由医疗废物集中处置单位收集和处置。</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医疗废物集中处置费用的收费标准，由市、县发展改革部门会同卫生健康和生态环境主管部门综合考虑本行政区域内医</w:t>
      </w:r>
      <w:r>
        <w:rPr>
          <w:rFonts w:hint="eastAsia" w:ascii="仿宋" w:hAnsi="仿宋" w:eastAsia="仿宋"/>
          <w:bCs/>
          <w:lang w:eastAsia="zh-CN"/>
        </w:rPr>
        <w:t>疗卫生机构</w:t>
      </w:r>
      <w:r>
        <w:rPr>
          <w:rFonts w:hint="eastAsia" w:ascii="仿宋" w:hAnsi="仿宋" w:eastAsia="仿宋"/>
          <w:bCs/>
        </w:rPr>
        <w:t>总量和结构、医疗废物实际产生量及处理成本等因素制定，报同级人民政府批准执行。</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第十条</w:t>
      </w:r>
      <w:r>
        <w:rPr>
          <w:rFonts w:hint="eastAsia" w:ascii="仿宋" w:hAnsi="仿宋" w:eastAsia="仿宋"/>
          <w:bCs/>
        </w:rPr>
        <w:t xml:space="preserve">  医疗卫生机构和医疗废物集中处置单位应当根据医疗废物收集、运送、贮存、处置各环节的特点，制定下列管理制度和措施：</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（一）实行分类收集，明确收集容器要求以及需要进行特殊处置的操作程序和规则；</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（二）明确规定收集时间、运送路线、贮存地点等内容的操作规范；</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（三）内部运送及内外部交接、转移的管理措施；</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（四）工作人员的职业安全防护达到卫生标准的保证措施；</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（五）设施设备和工具达到卫生和环境保护标准的保证措施；</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（六）防范流失、泄漏、渗漏、扩散和发生其他意外事故的措施以及应急处理方案；</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（七）记录、评价、监测资料的档案管理制度；</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（八）与外部报告制度相衔接的内部报告规范。</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 xml:space="preserve">第十一条 </w:t>
      </w:r>
      <w:r>
        <w:rPr>
          <w:rFonts w:hint="eastAsia" w:ascii="仿宋" w:hAnsi="仿宋" w:eastAsia="仿宋"/>
          <w:bCs/>
        </w:rPr>
        <w:t xml:space="preserve"> 医疗废物集中处</w:t>
      </w:r>
      <w:r>
        <w:rPr>
          <w:rFonts w:hint="eastAsia" w:ascii="仿宋" w:hAnsi="仿宋" w:eastAsia="仿宋"/>
          <w:bCs/>
          <w:lang w:eastAsia="zh-CN"/>
        </w:rPr>
        <w:t>置单位收集、运送、</w:t>
      </w:r>
      <w:r>
        <w:rPr>
          <w:rFonts w:hint="eastAsia" w:ascii="仿宋" w:hAnsi="仿宋" w:eastAsia="仿宋"/>
          <w:bCs/>
        </w:rPr>
        <w:t>贮存和处置医疗废物应当执行下列规定：</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 xml:space="preserve">（一）委派专门人员，使用专用车辆和工具前往医疗卫生机构收集医疗废物，不得接收无专用包装物、容器以及标识不清的医疗废物； </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（二）运送医疗废物的车辆应当合理规划行车路线，避开人口密集区域、交通拥堵的道路或者时段；</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（三）贮存设施应当符合国家有关标准和规范要求；</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（四）对处置场所周围环境质量实施定期监测，并将数据存档备查；</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（五）对处置设施污染物排放情况及处理处置效果实施定期检测；</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lang w:eastAsia="zh-CN"/>
        </w:rPr>
      </w:pPr>
      <w:r>
        <w:rPr>
          <w:rFonts w:hint="eastAsia" w:ascii="仿宋" w:hAnsi="仿宋" w:eastAsia="仿宋"/>
          <w:bCs/>
        </w:rPr>
        <w:t>（六）依</w:t>
      </w:r>
      <w:r>
        <w:rPr>
          <w:rFonts w:hint="eastAsia" w:ascii="仿宋" w:hAnsi="仿宋" w:eastAsia="仿宋"/>
          <w:bCs/>
          <w:lang w:eastAsia="zh-CN"/>
        </w:rPr>
        <w:t>法及时公开环境信息；</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lang w:eastAsia="zh-CN"/>
        </w:rPr>
      </w:pPr>
      <w:r>
        <w:rPr>
          <w:rFonts w:hint="eastAsia" w:ascii="仿宋" w:hAnsi="仿宋" w:eastAsia="仿宋"/>
          <w:bCs/>
          <w:lang w:eastAsia="zh-CN"/>
        </w:rPr>
        <w:t>（七）法律、法规及国家标准的相关规定。</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lang w:eastAsia="zh-CN"/>
        </w:rPr>
      </w:pPr>
      <w:r>
        <w:rPr>
          <w:rFonts w:hint="eastAsia" w:ascii="仿宋" w:hAnsi="仿宋" w:eastAsia="仿宋"/>
          <w:bCs/>
          <w:lang w:eastAsia="zh-CN"/>
        </w:rPr>
        <w:t>重大传染病疫情期间，医疗废物集中处置单位应当安排固定专用车辆单独运送医疗卫生机构产生的涉疫情医疗废物，设置医疗废物处置隔离区。医疗废物在集中处置单位暂时贮存时间不得超过</w:t>
      </w:r>
      <w:r>
        <w:rPr>
          <w:rFonts w:hint="eastAsia" w:ascii="仿宋" w:hAnsi="仿宋" w:eastAsia="仿宋"/>
          <w:bCs/>
          <w:lang w:val="en-US" w:eastAsia="zh-CN"/>
        </w:rPr>
        <w:t>12小时。</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第十二条</w:t>
      </w:r>
      <w:r>
        <w:rPr>
          <w:rFonts w:hint="eastAsia" w:ascii="仿宋" w:hAnsi="仿宋" w:eastAsia="仿宋"/>
          <w:bCs/>
        </w:rPr>
        <w:t xml:space="preserve">  医疗废物集中处置单位到同一医疗卫生机构收集</w:t>
      </w:r>
      <w:r>
        <w:rPr>
          <w:rFonts w:hint="eastAsia" w:ascii="仿宋" w:hAnsi="仿宋" w:eastAsia="仿宋"/>
          <w:bCs/>
          <w:lang w:eastAsia="zh-CN"/>
        </w:rPr>
        <w:t>、</w:t>
      </w:r>
      <w:r>
        <w:rPr>
          <w:rFonts w:hint="eastAsia" w:ascii="仿宋" w:hAnsi="仿宋" w:eastAsia="仿宋"/>
          <w:bCs/>
        </w:rPr>
        <w:t>运送医疗废物的间</w:t>
      </w:r>
      <w:r>
        <w:rPr>
          <w:rFonts w:hint="eastAsia" w:ascii="仿宋" w:hAnsi="仿宋" w:eastAsia="仿宋"/>
          <w:bCs/>
          <w:lang w:eastAsia="zh-CN"/>
        </w:rPr>
        <w:t>隔时间不得超过48小时；</w:t>
      </w:r>
      <w:bookmarkStart w:id="0" w:name="_GoBack"/>
      <w:bookmarkEnd w:id="0"/>
      <w:r>
        <w:rPr>
          <w:rFonts w:hint="eastAsia" w:ascii="仿宋" w:hAnsi="仿宋" w:eastAsia="仿宋"/>
          <w:bCs/>
          <w:lang w:eastAsia="zh-CN"/>
        </w:rPr>
        <w:t>重大传染病疫情期间，到同一传染病定点救治医疗卫生机构、传染病专用门诊收集、运送涉疫情医疗废物的间隔时间不得超过24小时，并根据卫生健康或者生态环</w:t>
      </w:r>
      <w:r>
        <w:rPr>
          <w:rFonts w:hint="eastAsia" w:ascii="仿宋" w:hAnsi="仿宋" w:eastAsia="仿宋"/>
          <w:bCs/>
        </w:rPr>
        <w:t>境主管部门的要求提高医疗废物转运频次。</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第十</w:t>
      </w:r>
      <w:r>
        <w:rPr>
          <w:rFonts w:hint="eastAsia" w:ascii="黑体" w:hAnsi="黑体" w:eastAsia="黑体"/>
          <w:bCs/>
          <w:lang w:eastAsia="zh-CN"/>
        </w:rPr>
        <w:t>三</w:t>
      </w:r>
      <w:r>
        <w:rPr>
          <w:rFonts w:hint="eastAsia" w:ascii="黑体" w:hAnsi="黑体" w:eastAsia="黑体"/>
          <w:bCs/>
        </w:rPr>
        <w:t>条</w:t>
      </w:r>
      <w:r>
        <w:rPr>
          <w:rFonts w:hint="eastAsia" w:ascii="仿宋" w:hAnsi="仿宋" w:eastAsia="仿宋"/>
          <w:bCs/>
        </w:rPr>
        <w:t xml:space="preserve">  发生医疗废物流失、泄漏、渗漏、扩散等情况时，医疗卫生机构或者医疗废物集中处置单位应当按照防范措施和应急预案，及时采取减少危害的紧急处理措施，对致病人员提供医疗救护，并立即向事发地县卫生健康和生态环境主管部门报告，向可能受到危害的单位和个人通报。</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卫生健康和生态环境主管部门在接到报告后，应当根据职责分工对医疗卫生机构或者医疗废物集中处置单位的医疗废物流失、泄漏、渗漏、扩散等事件进行调查，督促其开展内部调查处理工作，提出内部责任追究和整改措施要求，并视情况依法作出处理决定。</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第十</w:t>
      </w:r>
      <w:r>
        <w:rPr>
          <w:rFonts w:hint="eastAsia" w:ascii="黑体" w:hAnsi="黑体" w:eastAsia="黑体"/>
          <w:bCs/>
          <w:lang w:eastAsia="zh-CN"/>
        </w:rPr>
        <w:t>四</w:t>
      </w:r>
      <w:r>
        <w:rPr>
          <w:rFonts w:hint="eastAsia" w:ascii="黑体" w:hAnsi="黑体" w:eastAsia="黑体"/>
          <w:bCs/>
        </w:rPr>
        <w:t>条</w:t>
      </w:r>
      <w:r>
        <w:rPr>
          <w:rFonts w:hint="eastAsia" w:ascii="仿宋" w:hAnsi="仿宋" w:eastAsia="仿宋"/>
          <w:bCs/>
        </w:rPr>
        <w:t xml:space="preserve">  流失、泄漏、渗漏、扩散下列医疗废物的，按照突发公共卫生事件的有关规定处理：</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lang w:eastAsia="zh-CN"/>
        </w:rPr>
      </w:pPr>
      <w:r>
        <w:rPr>
          <w:rFonts w:hint="eastAsia" w:ascii="仿宋" w:hAnsi="仿宋" w:eastAsia="仿宋"/>
          <w:bCs/>
        </w:rPr>
        <w:t>（一）病原体的培</w:t>
      </w:r>
      <w:r>
        <w:rPr>
          <w:rFonts w:hint="eastAsia" w:ascii="仿宋" w:hAnsi="仿宋" w:eastAsia="仿宋"/>
          <w:bCs/>
          <w:lang w:eastAsia="zh-CN"/>
        </w:rPr>
        <w:t>养基、标本和菌种、毒种保存液及其相关耗材；</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（二）废弃的血液、血清；</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（三）未作消毒处理的传染病病人或者疑似传染病病人的生活垃圾及其治疗使用过的物品、器具。</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第十</w:t>
      </w:r>
      <w:r>
        <w:rPr>
          <w:rFonts w:hint="eastAsia" w:ascii="黑体" w:hAnsi="黑体" w:eastAsia="黑体"/>
          <w:bCs/>
          <w:lang w:eastAsia="zh-CN"/>
        </w:rPr>
        <w:t>五</w:t>
      </w:r>
      <w:r>
        <w:rPr>
          <w:rFonts w:hint="eastAsia" w:ascii="黑体" w:hAnsi="黑体" w:eastAsia="黑体"/>
          <w:bCs/>
        </w:rPr>
        <w:t xml:space="preserve">条 </w:t>
      </w:r>
      <w:r>
        <w:rPr>
          <w:rFonts w:hint="eastAsia" w:ascii="仿宋" w:hAnsi="仿宋" w:eastAsia="仿宋"/>
          <w:bCs/>
        </w:rPr>
        <w:t xml:space="preserve"> 重大传染病疫情等突发事件发生时，省、市、县人民政府</w:t>
      </w:r>
      <w:r>
        <w:rPr>
          <w:rFonts w:hint="eastAsia" w:ascii="仿宋" w:hAnsi="仿宋" w:eastAsia="仿宋"/>
          <w:bCs/>
          <w:lang w:eastAsia="zh-CN"/>
        </w:rPr>
        <w:t>应当按照医疗废物应急处置方案，统筹应急处置设施资源，将可移动式医疗</w:t>
      </w:r>
      <w:r>
        <w:rPr>
          <w:rFonts w:hint="eastAsia" w:ascii="仿宋" w:hAnsi="仿宋" w:eastAsia="仿宋"/>
          <w:bCs/>
        </w:rPr>
        <w:t>废物处置设施、危险废物焚烧设施、生活垃圾焚烧设施、工业炉窑等纳入医疗废物应急处置资源清单，并及时发布应急处置信息。</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卫生健康、生态环境、交通运输等有关部门应当协同配合，完善应急处置协调机制，依法履行应急处置职责。</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第十</w:t>
      </w:r>
      <w:r>
        <w:rPr>
          <w:rFonts w:hint="eastAsia" w:ascii="黑体" w:hAnsi="黑体" w:eastAsia="黑体"/>
          <w:bCs/>
          <w:lang w:eastAsia="zh-CN"/>
        </w:rPr>
        <w:t>六</w:t>
      </w:r>
      <w:r>
        <w:rPr>
          <w:rFonts w:hint="eastAsia" w:ascii="黑体" w:hAnsi="黑体" w:eastAsia="黑体"/>
          <w:bCs/>
        </w:rPr>
        <w:t>条</w:t>
      </w:r>
      <w:r>
        <w:rPr>
          <w:rFonts w:hint="eastAsia" w:ascii="仿宋" w:hAnsi="仿宋" w:eastAsia="仿宋"/>
          <w:bCs/>
        </w:rPr>
        <w:t xml:space="preserve">  重大传染病疫情期间，根据防控需要，有关部门和单位应当设置专门收集防护用品废弃物的设施，并在收集设施上张贴明确标识，引导群众定点投放个人使用过的防护用品。</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rPr>
        <w:t>重大传染病疫情期间定点收集的个人使用过的防护用品，</w:t>
      </w:r>
      <w:r>
        <w:rPr>
          <w:rFonts w:hint="eastAsia" w:ascii="仿宋" w:hAnsi="仿宋" w:eastAsia="仿宋"/>
          <w:bCs/>
          <w:lang w:eastAsia="zh-CN"/>
        </w:rPr>
        <w:t>由环境卫生主管部门组</w:t>
      </w:r>
      <w:r>
        <w:rPr>
          <w:rFonts w:hint="eastAsia" w:ascii="仿宋" w:hAnsi="仿宋" w:eastAsia="仿宋"/>
          <w:bCs/>
        </w:rPr>
        <w:t>织生活垃圾收集运送处置单位按照国家和省有关规定处理。</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lang w:eastAsia="zh-CN"/>
        </w:rPr>
      </w:pPr>
      <w:r>
        <w:rPr>
          <w:rFonts w:hint="eastAsia" w:ascii="黑体" w:hAnsi="黑体" w:eastAsia="黑体"/>
          <w:bCs/>
          <w:sz w:val="32"/>
        </w:rPr>
        <w:t>第十</w:t>
      </w:r>
      <w:r>
        <w:rPr>
          <w:rFonts w:hint="eastAsia" w:ascii="黑体" w:hAnsi="黑体" w:eastAsia="黑体"/>
          <w:bCs/>
          <w:sz w:val="32"/>
          <w:lang w:eastAsia="zh-CN"/>
        </w:rPr>
        <w:t>七</w:t>
      </w:r>
      <w:r>
        <w:rPr>
          <w:rFonts w:hint="eastAsia" w:ascii="黑体" w:hAnsi="黑体" w:eastAsia="黑体"/>
          <w:bCs/>
          <w:sz w:val="32"/>
        </w:rPr>
        <w:t>条</w:t>
      </w:r>
      <w:r>
        <w:rPr>
          <w:rFonts w:hint="eastAsia" w:ascii="仿宋" w:hAnsi="仿宋" w:eastAsia="仿宋"/>
          <w:bCs/>
        </w:rPr>
        <w:t xml:space="preserve">  </w:t>
      </w:r>
      <w:r>
        <w:rPr>
          <w:rFonts w:hint="eastAsia" w:ascii="仿宋" w:hAnsi="仿宋" w:eastAsia="仿宋"/>
          <w:b w:val="0"/>
          <w:i w:val="0"/>
          <w:snapToGrid/>
          <w:color w:val="191919"/>
          <w:sz w:val="32"/>
          <w:shd w:val="clear" w:color="auto" w:fill="FFFFFF"/>
          <w:lang w:val="en-US" w:eastAsia="zh-CN"/>
        </w:rPr>
        <w:t xml:space="preserve"> </w:t>
      </w:r>
      <w:r>
        <w:rPr>
          <w:rFonts w:hint="eastAsia" w:ascii="仿宋" w:hAnsi="仿宋" w:eastAsia="仿宋"/>
          <w:bCs/>
          <w:lang w:eastAsia="zh-CN"/>
        </w:rPr>
        <w:t>省、市、县人民政府应当统筹规划，加大医疗废物智能化管理的投入，推动人工智能等新一代信息技术在医疗废物收集、运送、贮存、处置等全流程的应用。</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lang w:eastAsia="zh-CN"/>
        </w:rPr>
      </w:pPr>
      <w:r>
        <w:rPr>
          <w:rFonts w:hint="eastAsia" w:ascii="仿宋" w:hAnsi="仿宋" w:eastAsia="仿宋"/>
          <w:bCs/>
          <w:lang w:eastAsia="zh-CN"/>
        </w:rPr>
        <w:t>省卫生健康主管部门应当会同省生态环境等有关部门和单位，建立全省统一的医疗废物监管信息化平台，实现信息互通共享，实时掌握医疗卫生机构、医疗废物暂时贮存点和医疗废物集中处置单位医疗废物产生量、集中处置量、集中处置设施工作负荷以及应急处置需求等信息，实现医疗废物全流程智能化监管和信息化追溯。市、县级监管信息化平台应当与省级平台对接。</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lang w:eastAsia="zh-CN"/>
        </w:rPr>
      </w:pPr>
      <w:r>
        <w:rPr>
          <w:rFonts w:hint="eastAsia" w:ascii="仿宋" w:hAnsi="仿宋" w:eastAsia="仿宋"/>
          <w:bCs/>
          <w:lang w:val="en-US" w:eastAsia="zh-CN"/>
        </w:rPr>
        <w:t>医疗卫生机构和医疗废物集中处置单位应当利用卫星定位系统、电子标签、二维码等信息化技术手段，逐步实现医疗废物全流程智能跟踪和计量监控，并将数据实时上传监管信息化平台。具备条件的医疗卫生机构和医疗废物集中处置单位应当配备具有数据采集、识别等功能的医疗废物智能化周转箱、暂时贮存设施和处理处置设备。</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仿宋" w:hAnsi="仿宋" w:eastAsia="仿宋"/>
          <w:bCs/>
          <w:lang w:eastAsia="zh-CN"/>
        </w:rPr>
        <w:t>政府有关部门应当在各自职责范围内建立健全医疗废物监管执法结果定期通报、监管资源信息共享</w:t>
      </w:r>
      <w:r>
        <w:rPr>
          <w:rFonts w:hint="eastAsia" w:ascii="仿宋" w:hAnsi="仿宋" w:eastAsia="仿宋"/>
          <w:bCs/>
        </w:rPr>
        <w:t>、联合监管执法机制等，提升医疗废物规范管理水平。</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第十</w:t>
      </w:r>
      <w:r>
        <w:rPr>
          <w:rFonts w:hint="eastAsia" w:ascii="黑体" w:hAnsi="黑体" w:eastAsia="黑体"/>
          <w:bCs/>
          <w:lang w:eastAsia="zh-CN"/>
        </w:rPr>
        <w:t>八</w:t>
      </w:r>
      <w:r>
        <w:rPr>
          <w:rFonts w:hint="eastAsia" w:ascii="黑体" w:hAnsi="黑体" w:eastAsia="黑体"/>
          <w:bCs/>
        </w:rPr>
        <w:t>条</w:t>
      </w:r>
      <w:r>
        <w:rPr>
          <w:rFonts w:hint="eastAsia" w:ascii="仿宋" w:hAnsi="仿宋" w:eastAsia="仿宋"/>
          <w:bCs/>
        </w:rPr>
        <w:t xml:space="preserve">  卫生健康和生态环境主管部门应当及时核查有关单位和个人对医疗卫生机构、医疗废物集中处置单位及其工作人员违法行为的举报、投诉以及对医疗废物流失、泄漏、渗漏、扩散等意外事故的报告，并根据核查情况及时采取处理措施，有关部门和单位应当积极配合。</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w:t>
      </w:r>
      <w:r>
        <w:rPr>
          <w:rFonts w:hint="eastAsia" w:ascii="黑体" w:hAnsi="黑体" w:eastAsia="黑体"/>
          <w:bCs/>
          <w:lang w:eastAsia="zh-CN"/>
        </w:rPr>
        <w:t>十九</w:t>
      </w:r>
      <w:r>
        <w:rPr>
          <w:rFonts w:hint="eastAsia" w:ascii="黑体" w:hAnsi="黑体" w:eastAsia="黑体"/>
          <w:bCs/>
        </w:rPr>
        <w:t>条</w:t>
      </w:r>
      <w:r>
        <w:rPr>
          <w:rFonts w:hint="eastAsia" w:ascii="仿宋" w:hAnsi="仿宋" w:eastAsia="仿宋"/>
          <w:b/>
          <w:bCs/>
        </w:rPr>
        <w:t xml:space="preserve">  </w:t>
      </w:r>
      <w:r>
        <w:rPr>
          <w:rFonts w:hint="eastAsia" w:ascii="仿宋" w:hAnsi="仿宋" w:eastAsia="仿宋"/>
          <w:bCs/>
        </w:rPr>
        <w:t>违反本条例规定的行为，涉及医疗废物收集、运送、贮存、处置活动中疾病防治的，由卫生健康主管部门依法予以处罚；涉及医疗废物收集、运送、贮存、处置活动中环境污染防治的，由生态环境主管部门依法予以处罚。</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第二十条</w:t>
      </w:r>
      <w:r>
        <w:rPr>
          <w:rFonts w:hint="eastAsia" w:ascii="仿宋" w:hAnsi="仿宋" w:eastAsia="仿宋"/>
          <w:bCs/>
        </w:rPr>
        <w:t xml:space="preserve">  医疗废物集中处置单位违反本条例规定，拒绝接收符合接收条件的医疗废物，或者接收无专用包装物、容器以及标识不清的医疗废物的，由生态环境主管部门责令限期改正，给予警告，可以并处5000元以下的罚款；逾期不改正的，处5000元以上3万元以下的罚款。</w:t>
      </w:r>
    </w:p>
    <w:p>
      <w:pPr>
        <w:pStyle w:val="29"/>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textAlignment w:val="auto"/>
        <w:rPr>
          <w:rFonts w:hint="eastAsia" w:ascii="仿宋" w:hAnsi="仿宋" w:eastAsia="仿宋"/>
          <w:bCs/>
        </w:rPr>
      </w:pPr>
      <w:r>
        <w:rPr>
          <w:rFonts w:hint="eastAsia" w:ascii="黑体" w:hAnsi="黑体" w:eastAsia="黑体"/>
          <w:bCs/>
        </w:rPr>
        <w:t>第二十</w:t>
      </w:r>
      <w:r>
        <w:rPr>
          <w:rFonts w:hint="eastAsia" w:ascii="黑体" w:hAnsi="黑体" w:eastAsia="黑体"/>
          <w:bCs/>
          <w:lang w:eastAsia="zh-CN"/>
        </w:rPr>
        <w:t>一</w:t>
      </w:r>
      <w:r>
        <w:rPr>
          <w:rFonts w:hint="eastAsia" w:ascii="黑体" w:hAnsi="黑体" w:eastAsia="黑体"/>
          <w:bCs/>
        </w:rPr>
        <w:t>条</w:t>
      </w:r>
      <w:r>
        <w:rPr>
          <w:rFonts w:hint="eastAsia" w:ascii="仿宋" w:hAnsi="仿宋" w:eastAsia="仿宋"/>
          <w:bCs/>
        </w:rPr>
        <w:t xml:space="preserve">  本条例自</w:t>
      </w:r>
      <w:r>
        <w:rPr>
          <w:rFonts w:hint="eastAsia" w:ascii="仿宋" w:hAnsi="仿宋" w:eastAsia="仿宋"/>
          <w:bCs/>
          <w:lang w:val="en-US" w:eastAsia="zh-CN"/>
        </w:rPr>
        <w:t>2021</w:t>
      </w:r>
      <w:r>
        <w:rPr>
          <w:rFonts w:hint="eastAsia" w:ascii="仿宋" w:hAnsi="仿宋" w:eastAsia="仿宋"/>
          <w:bCs/>
        </w:rPr>
        <w:t>年</w:t>
      </w:r>
      <w:r>
        <w:rPr>
          <w:rFonts w:hint="eastAsia" w:ascii="仿宋" w:hAnsi="仿宋" w:eastAsia="仿宋"/>
          <w:bCs/>
          <w:lang w:val="en-US" w:eastAsia="zh-CN"/>
        </w:rPr>
        <w:t>10</w:t>
      </w:r>
      <w:r>
        <w:rPr>
          <w:rFonts w:hint="eastAsia" w:ascii="仿宋" w:hAnsi="仿宋" w:eastAsia="仿宋"/>
          <w:bCs/>
        </w:rPr>
        <w:t>月</w:t>
      </w:r>
      <w:r>
        <w:rPr>
          <w:rFonts w:hint="eastAsia" w:ascii="仿宋" w:hAnsi="仿宋" w:eastAsia="仿宋"/>
          <w:bCs/>
          <w:lang w:val="en-US" w:eastAsia="zh-CN"/>
        </w:rPr>
        <w:t>1</w:t>
      </w:r>
      <w:r>
        <w:rPr>
          <w:rFonts w:hint="eastAsia" w:ascii="仿宋" w:hAnsi="仿宋" w:eastAsia="仿宋"/>
          <w:bCs/>
        </w:rPr>
        <w:t>日起施行。</w:t>
      </w:r>
    </w:p>
    <w:p>
      <w:pPr>
        <w:pStyle w:val="23"/>
        <w:keepNext w:val="0"/>
        <w:keepLines w:val="0"/>
        <w:pageBreakBefore w:val="0"/>
        <w:widowControl w:val="0"/>
        <w:kinsoku/>
        <w:wordWrap/>
        <w:overflowPunct/>
        <w:topLinePunct w:val="0"/>
        <w:autoSpaceDE/>
        <w:autoSpaceDN/>
        <w:bidi w:val="0"/>
        <w:adjustRightInd/>
        <w:snapToGrid/>
        <w:spacing w:line="578" w:lineRule="exact"/>
        <w:ind w:firstLine="632" w:firstLineChars="200"/>
        <w:textAlignment w:val="auto"/>
        <w:rPr>
          <w:rFonts w:hint="default" w:eastAsia="Times New Roman"/>
          <w:lang w:eastAsia="zh-CN"/>
        </w:rPr>
      </w:pPr>
    </w:p>
    <w:p>
      <w:pPr>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仿宋"/>
          <w:kern w:val="0"/>
          <w:sz w:val="32"/>
          <w:szCs w:val="22"/>
          <w:lang w:val="en-US" w:eastAsia="zh-CN"/>
        </w:rPr>
      </w:pPr>
    </w:p>
    <w:sectPr>
      <w:footerReference r:id="rId3" w:type="default"/>
      <w:pgSz w:w="11906" w:h="16838"/>
      <w:pgMar w:top="1984" w:right="1474" w:bottom="1701" w:left="1587" w:header="851" w:footer="1247" w:gutter="0"/>
      <w:paperSrc/>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78"/>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uagYAdUAAAAHAQAADwAAAAAAAAABACAAAAA4AAAAZHJzL2Rvd25yZXYueG1sUEsB&#10;AhQAFAAAAAgAh07iQDwWIvIbAgAAKQQAAA4AAAAAAAAAAQAgAAAAOgEAAGRycy9lMm9Eb2MueG1s&#10;UEsFBgAAAAAGAAYAWQEAAMc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lang w:eastAsia="zh-CN"/>
                            </w:rPr>
                          </w:pP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2"/>
                      <w:rPr>
                        <w:rFonts w:hint="eastAsia" w:eastAsia="仿宋_GB2312"/>
                        <w:lang w:eastAsia="zh-CN"/>
                      </w:rPr>
                    </w:pP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true"/>
  <w:bordersDoNotSurroundFooter w:val="true"/>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284B0A"/>
    <w:rsid w:val="0FC83007"/>
    <w:rsid w:val="11763BBB"/>
    <w:rsid w:val="1A3462F0"/>
    <w:rsid w:val="1F0E6564"/>
    <w:rsid w:val="210E55B1"/>
    <w:rsid w:val="22B42F70"/>
    <w:rsid w:val="249F3CBB"/>
    <w:rsid w:val="2B677CD1"/>
    <w:rsid w:val="2DD277F4"/>
    <w:rsid w:val="2E2300E0"/>
    <w:rsid w:val="2F821D4F"/>
    <w:rsid w:val="32164E19"/>
    <w:rsid w:val="34D8055D"/>
    <w:rsid w:val="399A5028"/>
    <w:rsid w:val="3C63501C"/>
    <w:rsid w:val="47C64783"/>
    <w:rsid w:val="4A491815"/>
    <w:rsid w:val="50E7137D"/>
    <w:rsid w:val="59584D65"/>
    <w:rsid w:val="598E0BAD"/>
    <w:rsid w:val="5D65588C"/>
    <w:rsid w:val="5D9E02CE"/>
    <w:rsid w:val="665436CC"/>
    <w:rsid w:val="67C163AA"/>
    <w:rsid w:val="690A31C3"/>
    <w:rsid w:val="69C23663"/>
    <w:rsid w:val="6CB31C70"/>
    <w:rsid w:val="741902F1"/>
    <w:rsid w:val="74DF1822"/>
    <w:rsid w:val="76747762"/>
    <w:rsid w:val="7DAA533D"/>
    <w:rsid w:val="7DD1597C"/>
    <w:rsid w:val="7E6E5B9A"/>
    <w:rsid w:val="7EFA6606"/>
    <w:rsid w:val="7F444A29"/>
    <w:rsid w:val="DFEE10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仿宋_GB2312"/>
      <w:kern w:val="2"/>
      <w:sz w:val="32"/>
      <w:szCs w:val="32"/>
      <w:lang w:val="en-US" w:eastAsia="zh-CN" w:bidi="ar-SA"/>
    </w:rPr>
  </w:style>
  <w:style w:type="character" w:default="1" w:styleId="6">
    <w:name w:val="Default Paragraph Font"/>
    <w:link w:val="7"/>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7">
    <w:name w:val="Char1"/>
    <w:basedOn w:val="1"/>
    <w:link w:val="6"/>
    <w:qFormat/>
    <w:uiPriority w:val="0"/>
  </w:style>
  <w:style w:type="character" w:styleId="8">
    <w:name w:val="page number"/>
    <w:basedOn w:val="6"/>
    <w:qFormat/>
    <w:uiPriority w:val="0"/>
  </w:style>
  <w:style w:type="paragraph" w:customStyle="1" w:styleId="9">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0">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1">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2">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1"/>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3">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4">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15">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16">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17">
    <w:name w:val="正文 New New New"/>
    <w:qFormat/>
    <w:uiPriority w:val="0"/>
    <w:pPr>
      <w:widowControl w:val="0"/>
      <w:jc w:val="both"/>
    </w:pPr>
    <w:rPr>
      <w:rFonts w:ascii="Calibri" w:hAnsi="Calibri" w:eastAsia="宋体" w:cs="Times New Roman"/>
      <w:kern w:val="2"/>
      <w:sz w:val="21"/>
      <w:lang w:val="en-US" w:eastAsia="zh-CN"/>
    </w:rPr>
  </w:style>
  <w:style w:type="paragraph" w:customStyle="1" w:styleId="18">
    <w:name w:val="普通(网站) New"/>
    <w:basedOn w:val="19"/>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19">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2">
    <w:name w:val="bjh-p"/>
    <w:qFormat/>
    <w:uiPriority w:val="0"/>
  </w:style>
  <w:style w:type="paragraph" w:customStyle="1" w:styleId="23">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4">
    <w:name w:val="普通(网站) New New"/>
    <w:basedOn w:val="25"/>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25">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6">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7">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paragraph" w:customStyle="1" w:styleId="28">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29">
    <w:name w:val="正文 New New New New New New New New"/>
    <w:qFormat/>
    <w:uiPriority w:val="0"/>
    <w:pPr>
      <w:widowControl w:val="0"/>
      <w:jc w:val="both"/>
    </w:pPr>
    <w:rPr>
      <w:rFonts w:ascii="Times New Roman" w:hAnsi="Times New Roman" w:eastAsia="宋体" w:cs="Times New Roman"/>
      <w:kern w:val="2"/>
      <w:sz w:val="32"/>
      <w:szCs w:val="32"/>
      <w:lang w:val="en-US" w:eastAsia="zh-CN"/>
    </w:rPr>
  </w:style>
  <w:style w:type="paragraph" w:customStyle="1" w:styleId="30">
    <w:name w:val="HTML Address"/>
    <w:basedOn w:val="29"/>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9</TotalTime>
  <ScaleCrop>false</ScaleCrop>
  <LinksUpToDate>false</LinksUpToDate>
  <CharactersWithSpaces>4552</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2020-05-01T00:08:00Z</dcterms:created>
  <dc:creator>admin</dc:creator>
  <cp:lastModifiedBy>lnrd</cp:lastModifiedBy>
  <cp:lastPrinted>2020-05-13T00:39:00Z</cp:lastPrinted>
  <dcterms:modified xsi:type="dcterms:W3CDTF">2021-09-28T16:28:53Z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