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ascii="宋体" w:hAnsi="宋体"/>
          <w:b/>
          <w:bCs/>
          <w:sz w:val="32"/>
          <w:szCs w:val="32"/>
        </w:rPr>
      </w:pPr>
    </w:p>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ascii="宋体" w:hAnsi="宋体"/>
          <w:b/>
          <w:bCs/>
          <w:sz w:val="32"/>
          <w:szCs w:val="32"/>
        </w:rPr>
      </w:pPr>
    </w:p>
    <w:p>
      <w:pPr>
        <w:jc w:val="center"/>
        <w:rPr>
          <w:rFonts w:hint="default" w:ascii="宋体" w:hAnsi="宋体" w:eastAsia="宋体" w:cs="Times New Roman"/>
          <w:b w:val="0"/>
          <w:bCs/>
          <w:sz w:val="44"/>
          <w:szCs w:val="44"/>
        </w:rPr>
      </w:pPr>
      <w:bookmarkStart w:id="0" w:name="OLE_LINK4"/>
      <w:r>
        <w:rPr>
          <w:rFonts w:hint="eastAsia" w:ascii="宋体" w:hAnsi="宋体" w:eastAsia="宋体" w:cs="Times New Roman"/>
          <w:b w:val="0"/>
          <w:bCs/>
          <w:sz w:val="44"/>
          <w:szCs w:val="44"/>
        </w:rPr>
        <w:t>辽宁省实施资源税法授权事项方案</w:t>
      </w:r>
    </w:p>
    <w:p>
      <w:pPr>
        <w:pStyle w:val="4"/>
        <w:topLinePunct/>
        <w:adjustRightInd w:val="0"/>
        <w:snapToGrid w:val="0"/>
        <w:spacing w:beforeAutospacing="0" w:afterAutospacing="0" w:line="594" w:lineRule="exact"/>
        <w:ind w:firstLine="712" w:firstLineChars="200"/>
        <w:jc w:val="both"/>
        <w:rPr>
          <w:rFonts w:hint="eastAsia" w:ascii="仿宋_GB2312" w:hAnsi="仿宋" w:eastAsia="仿宋_GB2312"/>
          <w:snapToGrid w:val="0"/>
          <w:color w:val="000000"/>
          <w:kern w:val="0"/>
          <w:sz w:val="36"/>
        </w:rPr>
      </w:pPr>
    </w:p>
    <w:p>
      <w:pPr>
        <w:pStyle w:val="4"/>
        <w:topLinePunct/>
        <w:adjustRightInd w:val="0"/>
        <w:snapToGrid w:val="0"/>
        <w:spacing w:beforeAutospacing="0" w:afterAutospacing="0" w:line="594" w:lineRule="exact"/>
        <w:ind w:firstLine="632" w:firstLineChars="200"/>
        <w:jc w:val="both"/>
        <w:rPr>
          <w:rFonts w:hint="eastAsia" w:ascii="仿宋" w:hAnsi="仿宋" w:eastAsia="仿宋"/>
          <w:snapToGrid w:val="0"/>
          <w:color w:val="000000"/>
          <w:kern w:val="0"/>
          <w:sz w:val="32"/>
        </w:rPr>
      </w:pPr>
      <w:r>
        <w:rPr>
          <w:rFonts w:hint="eastAsia" w:ascii="仿宋" w:hAnsi="仿宋" w:eastAsia="仿宋"/>
          <w:snapToGrid w:val="0"/>
          <w:color w:val="000000"/>
          <w:kern w:val="0"/>
          <w:sz w:val="32"/>
        </w:rPr>
        <w:t>一、辽宁省砂石、其他粘土、矿泉水、地热四个税目实行从量计征；石灰岩及其他税目实行从价计征。</w:t>
      </w:r>
    </w:p>
    <w:p>
      <w:pPr>
        <w:pStyle w:val="4"/>
        <w:topLinePunct/>
        <w:adjustRightInd w:val="0"/>
        <w:snapToGrid w:val="0"/>
        <w:spacing w:beforeAutospacing="0" w:afterAutospacing="0" w:line="594" w:lineRule="exact"/>
        <w:ind w:firstLine="632" w:firstLineChars="200"/>
        <w:jc w:val="both"/>
        <w:rPr>
          <w:rFonts w:hint="eastAsia" w:ascii="仿宋" w:hAnsi="仿宋" w:eastAsia="仿宋"/>
          <w:snapToGrid w:val="0"/>
          <w:color w:val="000000"/>
          <w:kern w:val="0"/>
          <w:sz w:val="32"/>
        </w:rPr>
      </w:pPr>
      <w:r>
        <w:rPr>
          <w:rFonts w:hint="eastAsia" w:ascii="仿宋" w:hAnsi="仿宋" w:eastAsia="仿宋"/>
          <w:snapToGrid w:val="0"/>
          <w:color w:val="000000"/>
          <w:kern w:val="0"/>
          <w:sz w:val="32"/>
        </w:rPr>
        <w:t>二、辽宁省实行资源税幅度税率的税目，其具体适用税率按《辽宁省资源税税目税率表》执行。</w:t>
      </w:r>
    </w:p>
    <w:p>
      <w:pPr>
        <w:pStyle w:val="4"/>
        <w:topLinePunct/>
        <w:adjustRightInd w:val="0"/>
        <w:snapToGrid w:val="0"/>
        <w:spacing w:beforeAutospacing="0" w:afterAutospacing="0" w:line="594" w:lineRule="exact"/>
        <w:ind w:firstLine="632" w:firstLineChars="200"/>
        <w:jc w:val="both"/>
        <w:rPr>
          <w:rFonts w:hint="eastAsia" w:ascii="仿宋" w:hAnsi="仿宋" w:eastAsia="仿宋"/>
          <w:snapToGrid w:val="0"/>
          <w:color w:val="000000"/>
          <w:kern w:val="0"/>
          <w:sz w:val="32"/>
        </w:rPr>
      </w:pPr>
      <w:r>
        <w:rPr>
          <w:rFonts w:hint="eastAsia" w:ascii="仿宋" w:hAnsi="仿宋" w:eastAsia="仿宋"/>
          <w:snapToGrid w:val="0"/>
          <w:color w:val="000000"/>
          <w:kern w:val="0"/>
          <w:sz w:val="32"/>
        </w:rPr>
        <w:t>三、辽宁省免征或者减征资源税的办法按《辽宁省资源税特定情形减免具体办法》执行。</w:t>
      </w:r>
    </w:p>
    <w:p>
      <w:pPr>
        <w:pStyle w:val="4"/>
        <w:topLinePunct/>
        <w:adjustRightInd w:val="0"/>
        <w:snapToGrid w:val="0"/>
        <w:spacing w:beforeAutospacing="0" w:afterAutospacing="0" w:line="594" w:lineRule="exact"/>
        <w:ind w:firstLine="632" w:firstLineChars="200"/>
        <w:jc w:val="both"/>
        <w:rPr>
          <w:rFonts w:hint="eastAsia" w:ascii="仿宋" w:hAnsi="仿宋" w:eastAsia="仿宋"/>
          <w:snapToGrid w:val="0"/>
          <w:color w:val="000000"/>
          <w:kern w:val="0"/>
          <w:sz w:val="32"/>
        </w:rPr>
      </w:pPr>
      <w:r>
        <w:rPr>
          <w:rFonts w:hint="eastAsia" w:ascii="仿宋" w:hAnsi="仿宋" w:eastAsia="仿宋"/>
          <w:snapToGrid w:val="0"/>
          <w:color w:val="000000"/>
          <w:kern w:val="0"/>
          <w:sz w:val="32"/>
        </w:rPr>
        <w:t>四、本方案自2020年9月1日起施行。</w:t>
      </w:r>
    </w:p>
    <w:p>
      <w:pPr>
        <w:pStyle w:val="4"/>
        <w:topLinePunct/>
        <w:adjustRightInd w:val="0"/>
        <w:snapToGrid w:val="0"/>
        <w:spacing w:beforeAutospacing="0" w:afterAutospacing="0" w:line="594" w:lineRule="exact"/>
        <w:ind w:firstLine="632" w:firstLineChars="200"/>
        <w:jc w:val="both"/>
        <w:rPr>
          <w:rFonts w:hint="eastAsia" w:ascii="仿宋" w:hAnsi="仿宋" w:eastAsia="仿宋"/>
          <w:snapToGrid w:val="0"/>
          <w:color w:val="000000"/>
          <w:kern w:val="0"/>
          <w:sz w:val="32"/>
        </w:rPr>
      </w:pPr>
    </w:p>
    <w:p>
      <w:pPr>
        <w:pStyle w:val="4"/>
        <w:topLinePunct/>
        <w:adjustRightInd w:val="0"/>
        <w:snapToGrid w:val="0"/>
        <w:spacing w:beforeAutospacing="0" w:afterAutospacing="0" w:line="594" w:lineRule="exact"/>
        <w:ind w:firstLine="632" w:firstLineChars="200"/>
        <w:jc w:val="both"/>
        <w:rPr>
          <w:rFonts w:hint="eastAsia" w:ascii="仿宋" w:hAnsi="仿宋" w:eastAsia="仿宋"/>
          <w:snapToGrid w:val="0"/>
          <w:color w:val="000000"/>
          <w:kern w:val="0"/>
          <w:sz w:val="32"/>
        </w:rPr>
      </w:pPr>
      <w:r>
        <w:rPr>
          <w:rFonts w:hint="eastAsia" w:ascii="仿宋" w:hAnsi="仿宋" w:eastAsia="仿宋"/>
          <w:snapToGrid w:val="0"/>
          <w:color w:val="000000"/>
          <w:kern w:val="0"/>
          <w:sz w:val="32"/>
        </w:rPr>
        <w:t>附件：1.辽宁省资源税税目税率表</w:t>
      </w:r>
    </w:p>
    <w:p>
      <w:pPr>
        <w:pStyle w:val="4"/>
        <w:topLinePunct/>
        <w:adjustRightInd w:val="0"/>
        <w:snapToGrid w:val="0"/>
        <w:spacing w:beforeAutospacing="0" w:afterAutospacing="0" w:line="594" w:lineRule="exact"/>
        <w:ind w:firstLine="1580" w:firstLineChars="500"/>
        <w:jc w:val="both"/>
        <w:rPr>
          <w:rFonts w:hint="eastAsia" w:ascii="仿宋" w:hAnsi="仿宋" w:eastAsia="仿宋"/>
          <w:snapToGrid w:val="0"/>
          <w:color w:val="000000"/>
          <w:kern w:val="0"/>
          <w:sz w:val="32"/>
        </w:rPr>
      </w:pPr>
      <w:r>
        <w:rPr>
          <w:rFonts w:hint="eastAsia" w:ascii="仿宋" w:hAnsi="仿宋" w:eastAsia="仿宋"/>
          <w:snapToGrid w:val="0"/>
          <w:color w:val="000000"/>
          <w:kern w:val="0"/>
          <w:sz w:val="32"/>
        </w:rPr>
        <w:t>2.辽宁省资源税特定情形减免具体办法</w:t>
      </w:r>
    </w:p>
    <w:p>
      <w:pPr>
        <w:pStyle w:val="4"/>
        <w:numPr>
          <w:ilvl w:val="0"/>
          <w:numId w:val="0"/>
        </w:numPr>
        <w:topLinePunct/>
        <w:adjustRightInd w:val="0"/>
        <w:snapToGrid w:val="0"/>
        <w:spacing w:line="560" w:lineRule="exact"/>
        <w:jc w:val="both"/>
        <w:rPr>
          <w:rFonts w:hint="eastAsia" w:ascii="仿宋_GB2312" w:hAnsi="仿宋" w:eastAsia="仿宋_GB2312"/>
          <w:color w:val="000000"/>
          <w:sz w:val="32"/>
        </w:rPr>
      </w:pPr>
    </w:p>
    <w:p>
      <w:pPr>
        <w:pStyle w:val="4"/>
        <w:numPr>
          <w:ilvl w:val="0"/>
          <w:numId w:val="0"/>
        </w:numPr>
        <w:topLinePunct/>
        <w:adjustRightInd w:val="0"/>
        <w:snapToGrid w:val="0"/>
        <w:spacing w:line="560" w:lineRule="exact"/>
        <w:jc w:val="both"/>
        <w:rPr>
          <w:rFonts w:hint="eastAsia" w:ascii="仿宋_GB2312" w:hAnsi="仿宋" w:eastAsia="仿宋_GB2312"/>
          <w:color w:val="000000"/>
          <w:sz w:val="32"/>
        </w:rPr>
      </w:pPr>
    </w:p>
    <w:p>
      <w:pPr>
        <w:pStyle w:val="4"/>
        <w:numPr>
          <w:ilvl w:val="0"/>
          <w:numId w:val="0"/>
        </w:numPr>
        <w:topLinePunct/>
        <w:adjustRightInd w:val="0"/>
        <w:snapToGrid w:val="0"/>
        <w:spacing w:line="560" w:lineRule="exact"/>
        <w:jc w:val="both"/>
        <w:rPr>
          <w:rFonts w:hint="eastAsia" w:ascii="仿宋_GB2312" w:hAnsi="仿宋" w:eastAsia="仿宋_GB2312"/>
          <w:color w:val="000000"/>
          <w:sz w:val="32"/>
        </w:rPr>
      </w:pPr>
    </w:p>
    <w:p>
      <w:pPr>
        <w:pStyle w:val="4"/>
        <w:numPr>
          <w:ilvl w:val="0"/>
          <w:numId w:val="0"/>
        </w:numPr>
        <w:topLinePunct/>
        <w:adjustRightInd w:val="0"/>
        <w:snapToGrid w:val="0"/>
        <w:spacing w:line="560" w:lineRule="exact"/>
        <w:jc w:val="both"/>
        <w:rPr>
          <w:rFonts w:hint="eastAsia" w:ascii="仿宋_GB2312" w:hAnsi="仿宋" w:eastAsia="仿宋_GB2312"/>
          <w:color w:val="000000"/>
          <w:sz w:val="32"/>
        </w:rPr>
      </w:pPr>
    </w:p>
    <w:p>
      <w:pPr>
        <w:topLinePunct/>
        <w:adjustRightInd w:val="0"/>
        <w:snapToGrid w:val="0"/>
        <w:spacing w:line="560" w:lineRule="exact"/>
        <w:rPr>
          <w:rFonts w:hint="eastAsia" w:ascii="Times New Roman" w:hAnsi="Times New Roman" w:eastAsia="黑体"/>
          <w:color w:val="000000"/>
          <w:sz w:val="32"/>
        </w:rPr>
      </w:pPr>
    </w:p>
    <w:p>
      <w:pPr>
        <w:topLinePunct/>
        <w:adjustRightInd w:val="0"/>
        <w:snapToGrid w:val="0"/>
        <w:spacing w:line="560" w:lineRule="exact"/>
        <w:rPr>
          <w:rFonts w:hint="eastAsia" w:ascii="方正小标宋简体" w:hAnsi="方正小标宋简体" w:eastAsia="方正小标宋简体"/>
          <w:color w:val="000000"/>
          <w:kern w:val="0"/>
          <w:sz w:val="44"/>
        </w:rPr>
      </w:pPr>
      <w:r>
        <w:rPr>
          <w:rFonts w:hint="eastAsia" w:ascii="Times New Roman" w:hAnsi="Times New Roman" w:eastAsia="黑体"/>
          <w:color w:val="000000"/>
          <w:sz w:val="32"/>
        </w:rPr>
        <w:t>附件1</w:t>
      </w:r>
    </w:p>
    <w:p>
      <w:pPr>
        <w:topLinePunct/>
        <w:adjustRightInd w:val="0"/>
        <w:snapToGrid w:val="0"/>
        <w:spacing w:line="560" w:lineRule="exact"/>
        <w:jc w:val="center"/>
        <w:rPr>
          <w:rFonts w:hint="eastAsia" w:ascii="方正小标宋简体" w:hAnsi="方正小标宋简体" w:eastAsia="方正小标宋简体"/>
          <w:color w:val="000000"/>
          <w:kern w:val="0"/>
          <w:sz w:val="44"/>
        </w:rPr>
      </w:pPr>
      <w:r>
        <w:rPr>
          <w:rFonts w:hint="eastAsia" w:ascii="方正小标宋简体" w:hAnsi="方正小标宋简体" w:eastAsia="方正小标宋简体"/>
          <w:color w:val="000000"/>
          <w:kern w:val="0"/>
          <w:sz w:val="44"/>
        </w:rPr>
        <w:t>辽宁省资源税税目税率表</w:t>
      </w:r>
    </w:p>
    <w:tbl>
      <w:tblPr>
        <w:tblStyle w:val="5"/>
        <w:tblW w:w="89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75"/>
        <w:gridCol w:w="1575"/>
        <w:gridCol w:w="1575"/>
        <w:gridCol w:w="2070"/>
        <w:gridCol w:w="21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0" w:hRule="atLeast"/>
        </w:trPr>
        <w:tc>
          <w:tcPr>
            <w:tcW w:w="4725" w:type="dxa"/>
            <w:gridSpan w:val="3"/>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黑体" w:hAnsi="宋体" w:eastAsia="黑体"/>
                <w:color w:val="000000"/>
                <w:sz w:val="24"/>
              </w:rPr>
            </w:pPr>
            <w:r>
              <w:rPr>
                <w:rFonts w:hint="eastAsia" w:ascii="黑体" w:hAnsi="宋体" w:eastAsia="黑体"/>
                <w:color w:val="000000"/>
                <w:kern w:val="0"/>
                <w:sz w:val="24"/>
              </w:rPr>
              <w:t>税目</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黑体" w:hAnsi="宋体" w:eastAsia="黑体"/>
                <w:color w:val="000000"/>
                <w:sz w:val="24"/>
              </w:rPr>
            </w:pPr>
            <w:r>
              <w:rPr>
                <w:rFonts w:hint="eastAsia" w:ascii="黑体" w:hAnsi="宋体" w:eastAsia="黑体"/>
                <w:color w:val="000000"/>
                <w:kern w:val="0"/>
                <w:sz w:val="24"/>
              </w:rPr>
              <w:t>征税对象</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黑体" w:hAnsi="宋体" w:eastAsia="黑体"/>
                <w:color w:val="000000"/>
                <w:sz w:val="24"/>
              </w:rPr>
            </w:pPr>
            <w:r>
              <w:rPr>
                <w:rFonts w:hint="eastAsia" w:ascii="黑体" w:hAnsi="宋体" w:eastAsia="黑体"/>
                <w:color w:val="000000"/>
                <w:kern w:val="0"/>
                <w:sz w:val="24"/>
              </w:rPr>
              <w:t>税率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能源矿产</w:t>
            </w:r>
          </w:p>
        </w:tc>
        <w:tc>
          <w:tcPr>
            <w:tcW w:w="3150" w:type="dxa"/>
            <w:gridSpan w:val="2"/>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煤</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3150" w:type="dxa"/>
            <w:gridSpan w:val="2"/>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3150" w:type="dxa"/>
            <w:gridSpan w:val="2"/>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煤成（层）气</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3150" w:type="dxa"/>
            <w:gridSpan w:val="2"/>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油页岩</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3150" w:type="dxa"/>
            <w:gridSpan w:val="2"/>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3150" w:type="dxa"/>
            <w:gridSpan w:val="2"/>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油砂、天然沥青、石煤</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3150" w:type="dxa"/>
            <w:gridSpan w:val="2"/>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3150" w:type="dxa"/>
            <w:gridSpan w:val="2"/>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地热</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6元/立方米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金属矿产</w:t>
            </w: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黑色金属</w:t>
            </w: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铁</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锰</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铬、钒、钛</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有色金属</w:t>
            </w: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铜</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铅</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锌</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轻稀土</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金</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银</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金属矿产</w:t>
            </w: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有色金属</w:t>
            </w: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镁</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锗</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9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锡、镍、锑、钴、铋、汞、铝土矿、铍、锂、锆、锶、铷、铯、铌、钽、镓、铟、铊、铪、铼、镉、硒、碲</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铂、钯、钌、锇、铱、铑</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非金属矿产</w:t>
            </w: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矿物类</w:t>
            </w: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高岭土</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石灰岩</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磷</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石墨</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萤石</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硫铁矿</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自然硫</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0"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天然石英砂</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0"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10"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水晶</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10"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0" w:hRule="atLeast"/>
        </w:trPr>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非金属矿产</w:t>
            </w: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矿物类</w:t>
            </w: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工业用金刚石</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0"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0"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长石</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0"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0"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滑石</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0"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6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菱镁矿</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6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0"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硼</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0"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0"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膨润土</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0"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0"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硅灰石</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0"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0"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透辉石</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0"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0"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珍珠岩</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0"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0"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沸石</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0"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重晶石</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5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0"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方解石</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0"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70"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蛭石</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50"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石棉</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其他粘土</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2元/立方米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2元/立方米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25" w:hRule="atLeast"/>
        </w:trPr>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非金属矿产</w:t>
            </w: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矿物类</w:t>
            </w: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脉石英、粉石英、冰洲石、蓝晶石、硅线石（矽线石）、刚玉、颜料矿物、天然碱、芒硝、钠硝石、明矾石、砷、碘、溴、硅藻土、陶瓷土、耐火粘土、铁矾土、凹凸棒石粘土、海泡石粘土、伊利石粘土、累托石粘土</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070"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110"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叶蜡石、云母、毒重石、透闪石、工业用电气石、白垩、蓝石棉、红柱石、石榴子石、石膏</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9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岩石类</w:t>
            </w: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大理岩</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花岗岩</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白云岩</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辉绿岩</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安山岩</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板岩</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玄武岩</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非金属矿产</w:t>
            </w: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岩石类</w:t>
            </w: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页岩</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蛇纹岩</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泥炭</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砂石</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2元/立方米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2元/立方米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25"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石英岩、砂岩、闪长岩、片麻岩、角闪岩、浮石、凝灰岩、黑曜岩、霞石正长岩、麦饭石、泥灰岩、含钾岩石、含钾砂页岩、天然油石、橄榄岩、松脂岩、粗面岩、辉长岩、辉石岩、正长岩、火山灰、火山渣</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920"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10"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宝玉石类</w:t>
            </w:r>
          </w:p>
        </w:tc>
        <w:tc>
          <w:tcPr>
            <w:tcW w:w="1575"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玉石、宝石、宝石级金刚石、玛瑙、黄玉、碧玺</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0" w:hRule="atLeast"/>
        </w:trPr>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3150" w:type="dxa"/>
            <w:gridSpan w:val="2"/>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水气矿产</w:t>
            </w:r>
          </w:p>
        </w:tc>
        <w:tc>
          <w:tcPr>
            <w:tcW w:w="1575"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矿泉水</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12元/立方米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60" w:hRule="atLeast"/>
        </w:trPr>
        <w:tc>
          <w:tcPr>
            <w:tcW w:w="3150" w:type="dxa"/>
            <w:gridSpan w:val="2"/>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二氧化碳气、硫化氢气、氦气、氡气</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3150" w:type="dxa"/>
            <w:gridSpan w:val="2"/>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盐</w:t>
            </w:r>
          </w:p>
        </w:tc>
        <w:tc>
          <w:tcPr>
            <w:tcW w:w="1575"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钠盐、钾盐</w:t>
            </w:r>
          </w:p>
        </w:tc>
        <w:tc>
          <w:tcPr>
            <w:tcW w:w="2070"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选矿</w:t>
            </w:r>
          </w:p>
        </w:tc>
        <w:tc>
          <w:tcPr>
            <w:tcW w:w="2121" w:type="dxa"/>
            <w:vMerge w:val="restart"/>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3150" w:type="dxa"/>
            <w:gridSpan w:val="2"/>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镁盐、锂盐</w:t>
            </w:r>
          </w:p>
        </w:tc>
        <w:tc>
          <w:tcPr>
            <w:tcW w:w="2070"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121" w:type="dxa"/>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3150" w:type="dxa"/>
            <w:gridSpan w:val="2"/>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天然卤水</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原矿</w:t>
            </w: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5" w:hRule="atLeast"/>
        </w:trPr>
        <w:tc>
          <w:tcPr>
            <w:tcW w:w="3150" w:type="dxa"/>
            <w:gridSpan w:val="2"/>
            <w:vMerge w:val="continue"/>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1575"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海盐</w:t>
            </w:r>
          </w:p>
        </w:tc>
        <w:tc>
          <w:tcPr>
            <w:tcW w:w="2070"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jc w:val="center"/>
              <w:rPr>
                <w:rFonts w:hint="eastAsia" w:ascii="宋体" w:hAnsi="宋体"/>
                <w:color w:val="000000"/>
                <w:sz w:val="22"/>
              </w:rPr>
            </w:pPr>
          </w:p>
        </w:tc>
        <w:tc>
          <w:tcPr>
            <w:tcW w:w="2121" w:type="dxa"/>
            <w:tcBorders>
              <w:top w:val="single" w:color="000000" w:sz="4" w:space="0"/>
              <w:left w:val="single" w:color="000000" w:sz="4" w:space="0"/>
              <w:bottom w:val="single" w:color="000000" w:sz="4" w:space="0"/>
              <w:right w:val="single" w:color="000000" w:sz="4" w:space="0"/>
              <w:tl2br w:val="nil"/>
              <w:tr2bl w:val="nil"/>
            </w:tcBorders>
            <w:noWrap w:val="0"/>
            <w:tcMar>
              <w:top w:w="15" w:type="dxa"/>
              <w:left w:w="15" w:type="dxa"/>
              <w:right w:w="15" w:type="dxa"/>
            </w:tcMar>
            <w:vAlign w:val="center"/>
          </w:tcPr>
          <w:p>
            <w:pPr>
              <w:widowControl/>
              <w:jc w:val="center"/>
              <w:textAlignment w:val="center"/>
              <w:rPr>
                <w:rFonts w:hint="eastAsia" w:ascii="宋体" w:hAnsi="宋体"/>
                <w:color w:val="000000"/>
                <w:sz w:val="22"/>
              </w:rPr>
            </w:pPr>
            <w:r>
              <w:rPr>
                <w:rFonts w:hint="eastAsia" w:ascii="宋体" w:hAnsi="宋体"/>
                <w:color w:val="000000"/>
                <w:kern w:val="0"/>
                <w:sz w:val="22"/>
              </w:rPr>
              <w:t>5%</w:t>
            </w:r>
          </w:p>
        </w:tc>
      </w:tr>
      <w:bookmarkEnd w:id="0"/>
    </w:tbl>
    <w:p>
      <w:pPr>
        <w:topLinePunct/>
        <w:adjustRightInd w:val="0"/>
        <w:snapToGrid w:val="0"/>
        <w:spacing w:line="560" w:lineRule="exact"/>
        <w:rPr>
          <w:rFonts w:hint="eastAsia" w:ascii="宋体" w:hAnsi="宋体"/>
          <w:b/>
          <w:color w:val="000000"/>
          <w:kern w:val="0"/>
          <w:sz w:val="22"/>
        </w:rPr>
      </w:pPr>
      <w:r>
        <w:rPr>
          <w:rFonts w:hint="eastAsia" w:ascii="宋体" w:hAnsi="宋体"/>
          <w:b/>
          <w:color w:val="000000"/>
          <w:kern w:val="0"/>
          <w:sz w:val="22"/>
        </w:rPr>
        <w:t>注：此表不包含国家实行固定税率的税目。</w:t>
      </w:r>
    </w:p>
    <w:p>
      <w:pPr>
        <w:adjustRightInd w:val="0"/>
        <w:snapToGrid w:val="0"/>
        <w:spacing w:line="594" w:lineRule="exact"/>
        <w:rPr>
          <w:rFonts w:hint="eastAsia" w:ascii="黑体" w:hAnsi="黑体" w:eastAsia="黑体"/>
          <w:snapToGrid w:val="0"/>
          <w:color w:val="000000"/>
          <w:kern w:val="0"/>
          <w:sz w:val="32"/>
        </w:rPr>
      </w:pPr>
    </w:p>
    <w:p>
      <w:pPr>
        <w:adjustRightInd w:val="0"/>
        <w:snapToGrid w:val="0"/>
        <w:spacing w:line="594" w:lineRule="exact"/>
        <w:rPr>
          <w:rFonts w:hint="eastAsia" w:ascii="黑体" w:hAnsi="黑体" w:eastAsia="黑体"/>
          <w:snapToGrid w:val="0"/>
          <w:color w:val="000000"/>
          <w:kern w:val="0"/>
          <w:sz w:val="32"/>
        </w:rPr>
      </w:pPr>
    </w:p>
    <w:p>
      <w:pPr>
        <w:adjustRightInd w:val="0"/>
        <w:snapToGrid w:val="0"/>
        <w:spacing w:line="594" w:lineRule="exact"/>
        <w:rPr>
          <w:rFonts w:hint="eastAsia" w:ascii="黑体" w:hAnsi="黑体" w:eastAsia="黑体"/>
          <w:snapToGrid w:val="0"/>
          <w:color w:val="000000"/>
          <w:kern w:val="0"/>
          <w:sz w:val="32"/>
        </w:rPr>
      </w:pPr>
    </w:p>
    <w:p>
      <w:pPr>
        <w:adjustRightInd w:val="0"/>
        <w:snapToGrid w:val="0"/>
        <w:spacing w:line="594" w:lineRule="exact"/>
        <w:rPr>
          <w:rFonts w:hint="eastAsia" w:ascii="黑体" w:hAnsi="黑体" w:eastAsia="黑体"/>
          <w:snapToGrid w:val="0"/>
          <w:color w:val="000000"/>
          <w:kern w:val="0"/>
          <w:sz w:val="32"/>
        </w:rPr>
      </w:pPr>
    </w:p>
    <w:p>
      <w:pPr>
        <w:adjustRightInd w:val="0"/>
        <w:snapToGrid w:val="0"/>
        <w:spacing w:line="594" w:lineRule="exact"/>
        <w:rPr>
          <w:rFonts w:hint="eastAsia" w:ascii="黑体" w:hAnsi="黑体" w:eastAsia="黑体"/>
          <w:snapToGrid w:val="0"/>
          <w:color w:val="000000"/>
          <w:kern w:val="0"/>
          <w:sz w:val="32"/>
        </w:rPr>
      </w:pPr>
    </w:p>
    <w:p>
      <w:pPr>
        <w:adjustRightInd w:val="0"/>
        <w:snapToGrid w:val="0"/>
        <w:spacing w:line="594" w:lineRule="exact"/>
        <w:rPr>
          <w:rFonts w:hint="eastAsia" w:ascii="黑体" w:hAnsi="黑体" w:eastAsia="黑体"/>
          <w:snapToGrid w:val="0"/>
          <w:color w:val="000000"/>
          <w:kern w:val="0"/>
          <w:sz w:val="32"/>
        </w:rPr>
      </w:pPr>
    </w:p>
    <w:p>
      <w:pPr>
        <w:adjustRightInd w:val="0"/>
        <w:snapToGrid w:val="0"/>
        <w:spacing w:line="594" w:lineRule="exact"/>
        <w:rPr>
          <w:rFonts w:hint="eastAsia" w:ascii="黑体" w:hAnsi="黑体" w:eastAsia="黑体"/>
          <w:snapToGrid w:val="0"/>
          <w:color w:val="000000"/>
          <w:kern w:val="0"/>
          <w:sz w:val="32"/>
        </w:rPr>
      </w:pPr>
    </w:p>
    <w:p>
      <w:pPr>
        <w:adjustRightInd w:val="0"/>
        <w:snapToGrid w:val="0"/>
        <w:spacing w:line="594" w:lineRule="exact"/>
        <w:rPr>
          <w:rFonts w:hint="eastAsia" w:ascii="黑体" w:hAnsi="黑体" w:eastAsia="黑体"/>
          <w:snapToGrid w:val="0"/>
          <w:color w:val="000000"/>
          <w:kern w:val="0"/>
          <w:sz w:val="32"/>
        </w:rPr>
      </w:pPr>
    </w:p>
    <w:p>
      <w:pPr>
        <w:adjustRightInd w:val="0"/>
        <w:snapToGrid w:val="0"/>
        <w:spacing w:line="594" w:lineRule="exact"/>
        <w:rPr>
          <w:rFonts w:hint="eastAsia" w:ascii="黑体" w:hAnsi="黑体" w:eastAsia="黑体"/>
          <w:snapToGrid w:val="0"/>
          <w:color w:val="000000"/>
          <w:kern w:val="0"/>
          <w:sz w:val="32"/>
        </w:rPr>
      </w:pPr>
    </w:p>
    <w:p>
      <w:pPr>
        <w:adjustRightInd w:val="0"/>
        <w:snapToGrid w:val="0"/>
        <w:spacing w:line="594" w:lineRule="exact"/>
        <w:rPr>
          <w:rFonts w:hint="eastAsia" w:ascii="黑体" w:hAnsi="黑体" w:eastAsia="黑体"/>
          <w:snapToGrid w:val="0"/>
          <w:color w:val="000000"/>
          <w:kern w:val="0"/>
          <w:sz w:val="32"/>
        </w:rPr>
      </w:pPr>
    </w:p>
    <w:p>
      <w:pPr>
        <w:adjustRightInd w:val="0"/>
        <w:snapToGrid w:val="0"/>
        <w:spacing w:line="594" w:lineRule="exact"/>
        <w:rPr>
          <w:rFonts w:hint="eastAsia" w:ascii="黑体" w:hAnsi="黑体" w:eastAsia="黑体"/>
          <w:snapToGrid w:val="0"/>
          <w:color w:val="000000"/>
          <w:kern w:val="0"/>
          <w:sz w:val="32"/>
        </w:rPr>
      </w:pPr>
    </w:p>
    <w:p>
      <w:pPr>
        <w:adjustRightInd w:val="0"/>
        <w:snapToGrid w:val="0"/>
        <w:spacing w:line="594" w:lineRule="exact"/>
        <w:rPr>
          <w:rFonts w:hint="eastAsia" w:ascii="黑体" w:hAnsi="黑体" w:eastAsia="黑体"/>
          <w:snapToGrid w:val="0"/>
          <w:color w:val="000000"/>
          <w:kern w:val="0"/>
          <w:sz w:val="32"/>
        </w:rPr>
      </w:pPr>
    </w:p>
    <w:p>
      <w:pPr>
        <w:adjustRightInd w:val="0"/>
        <w:snapToGrid w:val="0"/>
        <w:spacing w:line="594" w:lineRule="exact"/>
        <w:rPr>
          <w:rFonts w:hint="eastAsia" w:ascii="黑体" w:hAnsi="黑体" w:eastAsia="黑体"/>
          <w:snapToGrid w:val="0"/>
          <w:color w:val="000000"/>
          <w:kern w:val="0"/>
          <w:sz w:val="32"/>
        </w:rPr>
      </w:pPr>
    </w:p>
    <w:p>
      <w:pPr>
        <w:adjustRightInd w:val="0"/>
        <w:snapToGrid w:val="0"/>
        <w:spacing w:line="594" w:lineRule="exact"/>
        <w:rPr>
          <w:rFonts w:hint="eastAsia" w:ascii="黑体" w:hAnsi="黑体" w:eastAsia="黑体"/>
          <w:snapToGrid w:val="0"/>
          <w:color w:val="000000"/>
          <w:kern w:val="0"/>
          <w:sz w:val="32"/>
        </w:rPr>
      </w:pPr>
    </w:p>
    <w:p>
      <w:pPr>
        <w:adjustRightInd w:val="0"/>
        <w:snapToGrid w:val="0"/>
        <w:spacing w:line="594" w:lineRule="exact"/>
        <w:rPr>
          <w:rFonts w:hint="eastAsia" w:ascii="黑体" w:hAnsi="黑体" w:eastAsia="黑体"/>
          <w:snapToGrid w:val="0"/>
          <w:color w:val="000000"/>
          <w:kern w:val="0"/>
          <w:sz w:val="32"/>
        </w:rPr>
      </w:pPr>
      <w:r>
        <w:rPr>
          <w:rFonts w:hint="eastAsia" w:ascii="黑体" w:hAnsi="黑体" w:eastAsia="黑体"/>
          <w:snapToGrid w:val="0"/>
          <w:color w:val="000000"/>
          <w:kern w:val="0"/>
          <w:sz w:val="32"/>
        </w:rPr>
        <w:t>附件2</w:t>
      </w:r>
    </w:p>
    <w:p>
      <w:pPr>
        <w:adjustRightInd w:val="0"/>
        <w:snapToGrid w:val="0"/>
        <w:spacing w:line="594" w:lineRule="exact"/>
        <w:rPr>
          <w:rFonts w:hint="eastAsia" w:ascii="仿宋_GB2312" w:hAnsi="Times New Roman" w:eastAsia="仿宋_GB2312"/>
          <w:b/>
          <w:snapToGrid w:val="0"/>
          <w:color w:val="000000"/>
          <w:kern w:val="0"/>
          <w:sz w:val="32"/>
        </w:rPr>
      </w:pPr>
    </w:p>
    <w:p>
      <w:pPr>
        <w:jc w:val="center"/>
        <w:rPr>
          <w:rFonts w:hint="eastAsia" w:ascii="宋体" w:hAnsi="宋体" w:eastAsia="宋体" w:cs="Times New Roman"/>
          <w:b w:val="0"/>
          <w:bCs/>
          <w:sz w:val="44"/>
          <w:szCs w:val="44"/>
        </w:rPr>
      </w:pPr>
      <w:r>
        <w:rPr>
          <w:rFonts w:hint="eastAsia" w:ascii="宋体" w:hAnsi="宋体" w:eastAsia="宋体" w:cs="Times New Roman"/>
          <w:b w:val="0"/>
          <w:bCs/>
          <w:sz w:val="44"/>
          <w:szCs w:val="44"/>
        </w:rPr>
        <w:t>辽宁省资源税特定情形减免具体办法</w:t>
      </w:r>
    </w:p>
    <w:p>
      <w:pPr>
        <w:adjustRightInd w:val="0"/>
        <w:snapToGrid w:val="0"/>
        <w:spacing w:line="594" w:lineRule="exact"/>
        <w:ind w:firstLine="872" w:firstLineChars="200"/>
        <w:rPr>
          <w:rFonts w:hint="eastAsia" w:ascii="Times New Roman" w:hAnsi="Times New Roman"/>
          <w:b/>
          <w:snapToGrid w:val="0"/>
          <w:kern w:val="0"/>
          <w:sz w:val="44"/>
        </w:rPr>
      </w:pPr>
    </w:p>
    <w:p>
      <w:pPr>
        <w:adjustRightInd w:val="0"/>
        <w:snapToGrid w:val="0"/>
        <w:spacing w:line="594" w:lineRule="exact"/>
        <w:ind w:firstLine="632" w:firstLineChars="200"/>
        <w:rPr>
          <w:rFonts w:hint="eastAsia" w:ascii="仿宋_GB2312" w:hAnsi="Times New Roman" w:eastAsia="仿宋_GB2312"/>
          <w:snapToGrid w:val="0"/>
          <w:kern w:val="0"/>
          <w:sz w:val="32"/>
        </w:rPr>
      </w:pPr>
      <w:r>
        <w:rPr>
          <w:rFonts w:hint="eastAsia" w:ascii="黑体" w:hAnsi="黑体" w:eastAsia="黑体"/>
          <w:snapToGrid w:val="0"/>
          <w:kern w:val="0"/>
          <w:sz w:val="32"/>
        </w:rPr>
        <w:t>第一条</w:t>
      </w:r>
      <w:r>
        <w:rPr>
          <w:rFonts w:hint="eastAsia" w:ascii="仿宋_GB2312" w:hAnsi="Times New Roman" w:eastAsia="仿宋_GB2312"/>
          <w:snapToGrid w:val="0"/>
          <w:kern w:val="0"/>
          <w:sz w:val="32"/>
        </w:rPr>
        <w:t xml:space="preserve">  为加强和规范资源税减免税管理，根据《中华人民共和国资源税法》第七条规定，结合我省实际，制定本办法。</w:t>
      </w:r>
    </w:p>
    <w:p>
      <w:pPr>
        <w:adjustRightInd w:val="0"/>
        <w:snapToGrid w:val="0"/>
        <w:spacing w:line="594" w:lineRule="exact"/>
        <w:ind w:firstLine="632" w:firstLineChars="200"/>
        <w:rPr>
          <w:rFonts w:hint="eastAsia" w:ascii="仿宋_GB2312" w:hAnsi="Times New Roman" w:eastAsia="仿宋_GB2312"/>
          <w:snapToGrid w:val="0"/>
          <w:kern w:val="0"/>
          <w:sz w:val="32"/>
        </w:rPr>
      </w:pPr>
      <w:r>
        <w:rPr>
          <w:rFonts w:hint="eastAsia" w:ascii="黑体" w:hAnsi="黑体" w:eastAsia="黑体"/>
          <w:snapToGrid w:val="0"/>
          <w:kern w:val="0"/>
          <w:sz w:val="32"/>
        </w:rPr>
        <w:t>第二条</w:t>
      </w:r>
      <w:r>
        <w:rPr>
          <w:rFonts w:hint="eastAsia" w:ascii="仿宋_GB2312" w:hAnsi="Times New Roman" w:eastAsia="仿宋_GB2312"/>
          <w:snapToGrid w:val="0"/>
          <w:kern w:val="0"/>
          <w:sz w:val="32"/>
        </w:rPr>
        <w:t xml:space="preserve">  有下列特定情形之一的，给予免征或者减征资源税：</w:t>
      </w:r>
    </w:p>
    <w:p>
      <w:pPr>
        <w:adjustRightInd w:val="0"/>
        <w:snapToGrid w:val="0"/>
        <w:spacing w:line="594" w:lineRule="exact"/>
        <w:ind w:firstLine="632" w:firstLineChars="200"/>
        <w:rPr>
          <w:rFonts w:hint="eastAsia" w:ascii="仿宋_GB2312" w:hAnsi="Times New Roman" w:eastAsia="仿宋_GB2312"/>
          <w:snapToGrid w:val="0"/>
          <w:kern w:val="0"/>
          <w:sz w:val="32"/>
        </w:rPr>
      </w:pPr>
      <w:r>
        <w:rPr>
          <w:rFonts w:hint="eastAsia" w:ascii="仿宋_GB2312" w:hAnsi="Times New Roman" w:eastAsia="仿宋_GB2312"/>
          <w:snapToGrid w:val="0"/>
          <w:kern w:val="0"/>
          <w:sz w:val="32"/>
        </w:rPr>
        <w:t>（一）开采或者生产应税产品过程中，因自然灾害或者意外事故等原因遭受重大损失的，</w:t>
      </w:r>
      <w:r>
        <w:rPr>
          <w:rFonts w:hint="eastAsia" w:ascii="仿宋_GB2312" w:eastAsia="仿宋_GB2312"/>
          <w:snapToGrid w:val="0"/>
          <w:kern w:val="0"/>
          <w:sz w:val="32"/>
        </w:rPr>
        <w:t>自企业恢复生产次月起12个月内，按其应纳税额的50%减征资源税，且减税金额最高不超过</w:t>
      </w:r>
      <w:r>
        <w:rPr>
          <w:rFonts w:hint="eastAsia" w:ascii="仿宋_GB2312" w:hAnsi="Times New Roman" w:eastAsia="仿宋_GB2312"/>
          <w:snapToGrid w:val="0"/>
          <w:kern w:val="0"/>
          <w:sz w:val="32"/>
        </w:rPr>
        <w:t>3000</w:t>
      </w:r>
      <w:r>
        <w:rPr>
          <w:rFonts w:hint="eastAsia" w:ascii="仿宋_GB2312" w:eastAsia="仿宋_GB2312"/>
          <w:snapToGrid w:val="0"/>
          <w:kern w:val="0"/>
          <w:sz w:val="32"/>
        </w:rPr>
        <w:t>万元</w:t>
      </w:r>
      <w:r>
        <w:rPr>
          <w:rFonts w:hint="eastAsia" w:ascii="仿宋_GB2312" w:hAnsi="Times New Roman" w:eastAsia="仿宋_GB2312"/>
          <w:snapToGrid w:val="0"/>
          <w:kern w:val="0"/>
          <w:sz w:val="32"/>
        </w:rPr>
        <w:t>。</w:t>
      </w:r>
    </w:p>
    <w:p>
      <w:pPr>
        <w:adjustRightInd w:val="0"/>
        <w:snapToGrid w:val="0"/>
        <w:spacing w:line="594" w:lineRule="exact"/>
        <w:ind w:firstLine="632" w:firstLineChars="200"/>
        <w:rPr>
          <w:rFonts w:hint="eastAsia" w:ascii="仿宋_GB2312" w:hAnsi="Times New Roman" w:eastAsia="仿宋_GB2312"/>
          <w:snapToGrid w:val="0"/>
          <w:kern w:val="0"/>
          <w:sz w:val="32"/>
          <w:u w:val="single"/>
        </w:rPr>
      </w:pPr>
      <w:r>
        <w:rPr>
          <w:rFonts w:hint="eastAsia" w:ascii="仿宋_GB2312" w:hAnsi="Times New Roman" w:eastAsia="仿宋_GB2312"/>
          <w:snapToGrid w:val="0"/>
          <w:kern w:val="0"/>
          <w:sz w:val="32"/>
        </w:rPr>
        <w:t>（二）开采共生矿，共生矿与主矿产品销售额分开核算的，对共生矿按其应纳税额的20%减征资源税。</w:t>
      </w:r>
    </w:p>
    <w:p>
      <w:pPr>
        <w:adjustRightInd w:val="0"/>
        <w:snapToGrid w:val="0"/>
        <w:spacing w:line="594" w:lineRule="exact"/>
        <w:ind w:firstLine="632" w:firstLineChars="200"/>
        <w:rPr>
          <w:rFonts w:hint="eastAsia" w:ascii="仿宋_GB2312" w:hAnsi="Times New Roman" w:eastAsia="仿宋_GB2312"/>
          <w:snapToGrid w:val="0"/>
          <w:kern w:val="0"/>
          <w:sz w:val="32"/>
        </w:rPr>
      </w:pPr>
      <w:r>
        <w:rPr>
          <w:rFonts w:hint="eastAsia" w:ascii="仿宋_GB2312" w:hAnsi="Times New Roman" w:eastAsia="仿宋_GB2312"/>
          <w:snapToGrid w:val="0"/>
          <w:kern w:val="0"/>
          <w:sz w:val="32"/>
        </w:rPr>
        <w:t>（三）开采伴生矿，伴生矿与主矿产品销售额分开核算的，对伴生矿按其应纳税额的20%减征资源税。</w:t>
      </w:r>
    </w:p>
    <w:p>
      <w:pPr>
        <w:adjustRightInd w:val="0"/>
        <w:snapToGrid w:val="0"/>
        <w:spacing w:line="594" w:lineRule="exact"/>
        <w:ind w:firstLine="632" w:firstLineChars="200"/>
        <w:rPr>
          <w:rFonts w:hint="eastAsia" w:ascii="仿宋_GB2312" w:hAnsi="Times New Roman" w:eastAsia="仿宋_GB2312"/>
          <w:snapToGrid w:val="0"/>
          <w:kern w:val="0"/>
          <w:sz w:val="32"/>
        </w:rPr>
      </w:pPr>
      <w:r>
        <w:rPr>
          <w:rFonts w:hint="eastAsia" w:ascii="仿宋_GB2312" w:hAnsi="Times New Roman" w:eastAsia="仿宋_GB2312"/>
          <w:snapToGrid w:val="0"/>
          <w:kern w:val="0"/>
          <w:sz w:val="32"/>
        </w:rPr>
        <w:t>（四）开采低品位矿，不予减征或免征资源税。</w:t>
      </w:r>
    </w:p>
    <w:p>
      <w:pPr>
        <w:adjustRightInd w:val="0"/>
        <w:snapToGrid w:val="0"/>
        <w:spacing w:line="594" w:lineRule="exact"/>
        <w:ind w:firstLine="632" w:firstLineChars="200"/>
        <w:rPr>
          <w:rFonts w:hint="eastAsia" w:ascii="仿宋_GB2312" w:hAnsi="Times New Roman" w:eastAsia="仿宋_GB2312"/>
          <w:snapToGrid w:val="0"/>
          <w:kern w:val="0"/>
          <w:sz w:val="32"/>
        </w:rPr>
      </w:pPr>
      <w:r>
        <w:rPr>
          <w:rFonts w:hint="eastAsia" w:ascii="仿宋_GB2312" w:hAnsi="Times New Roman" w:eastAsia="仿宋_GB2312"/>
          <w:snapToGrid w:val="0"/>
          <w:kern w:val="0"/>
          <w:sz w:val="32"/>
        </w:rPr>
        <w:t>（五）开采尾矿，从尾矿提取的矿产品与主矿产品销售额分开核算的，对具有矿山地质环境恢复治理能力并纳入国家级或省级绿色矿山名录的单个矿山开采尾矿提取的矿产品免征资源税。</w:t>
      </w:r>
    </w:p>
    <w:p>
      <w:pPr>
        <w:adjustRightInd w:val="0"/>
        <w:snapToGrid w:val="0"/>
        <w:spacing w:line="594" w:lineRule="exact"/>
        <w:ind w:firstLine="632" w:firstLineChars="200"/>
        <w:rPr>
          <w:rFonts w:hint="eastAsia" w:ascii="仿宋_GB2312" w:hAnsi="Times New Roman" w:eastAsia="仿宋_GB2312"/>
          <w:snapToGrid w:val="0"/>
          <w:kern w:val="0"/>
          <w:sz w:val="32"/>
        </w:rPr>
      </w:pPr>
      <w:r>
        <w:rPr>
          <w:rFonts w:hint="eastAsia" w:ascii="黑体" w:hAnsi="黑体" w:eastAsia="黑体"/>
          <w:snapToGrid w:val="0"/>
          <w:kern w:val="0"/>
          <w:sz w:val="32"/>
        </w:rPr>
        <w:t>第三条</w:t>
      </w:r>
      <w:r>
        <w:rPr>
          <w:rFonts w:hint="eastAsia" w:ascii="仿宋_GB2312" w:hAnsi="Times New Roman" w:eastAsia="仿宋_GB2312"/>
          <w:snapToGrid w:val="0"/>
          <w:kern w:val="0"/>
          <w:sz w:val="32"/>
        </w:rPr>
        <w:t xml:space="preserve">  自然灾害或者意外事故的具体情形由县级以上人民政府主管部门根据权限认定。</w:t>
      </w:r>
    </w:p>
    <w:p>
      <w:pPr>
        <w:adjustRightInd w:val="0"/>
        <w:snapToGrid w:val="0"/>
        <w:spacing w:line="594" w:lineRule="exact"/>
        <w:ind w:firstLine="632" w:firstLineChars="200"/>
        <w:rPr>
          <w:rFonts w:hint="eastAsia" w:ascii="仿宋_GB2312" w:hAnsi="Times New Roman" w:eastAsia="仿宋_GB2312"/>
          <w:snapToGrid w:val="0"/>
          <w:kern w:val="0"/>
          <w:sz w:val="32"/>
        </w:rPr>
      </w:pPr>
      <w:r>
        <w:rPr>
          <w:rFonts w:hint="eastAsia" w:ascii="黑体" w:hAnsi="黑体" w:eastAsia="黑体"/>
          <w:snapToGrid w:val="0"/>
          <w:kern w:val="0"/>
          <w:sz w:val="32"/>
        </w:rPr>
        <w:t>第四条</w:t>
      </w:r>
      <w:r>
        <w:rPr>
          <w:rFonts w:hint="eastAsia" w:ascii="仿宋_GB2312" w:hAnsi="Times New Roman" w:eastAsia="仿宋_GB2312"/>
          <w:snapToGrid w:val="0"/>
          <w:kern w:val="0"/>
          <w:sz w:val="32"/>
        </w:rPr>
        <w:t xml:space="preserve">  符合本办法第二条规定的减免税情形的，由纳税人申报享受各项优惠政策，相关资料留存备查。</w:t>
      </w:r>
    </w:p>
    <w:p>
      <w:pPr>
        <w:adjustRightInd w:val="0"/>
        <w:snapToGrid w:val="0"/>
        <w:spacing w:line="594" w:lineRule="exact"/>
        <w:ind w:firstLine="632" w:firstLineChars="200"/>
        <w:rPr>
          <w:rFonts w:hint="eastAsia" w:ascii="仿宋_GB2312" w:hAnsi="Times New Roman" w:eastAsia="仿宋_GB2312"/>
          <w:snapToGrid w:val="0"/>
          <w:kern w:val="0"/>
          <w:sz w:val="32"/>
        </w:rPr>
      </w:pPr>
      <w:r>
        <w:rPr>
          <w:rFonts w:hint="eastAsia" w:ascii="黑体" w:hAnsi="黑体" w:eastAsia="黑体"/>
          <w:snapToGrid w:val="0"/>
          <w:kern w:val="0"/>
          <w:sz w:val="32"/>
        </w:rPr>
        <w:t>第五条</w:t>
      </w:r>
      <w:r>
        <w:rPr>
          <w:rFonts w:hint="eastAsia" w:ascii="仿宋_GB2312" w:hAnsi="Times New Roman" w:eastAsia="仿宋_GB2312"/>
          <w:snapToGrid w:val="0"/>
          <w:kern w:val="0"/>
          <w:sz w:val="32"/>
        </w:rPr>
        <w:t xml:space="preserve">  纳税人申报本办法第二条第（一）项规定减征项目的，应当同时符合以下两项条件：</w:t>
      </w:r>
    </w:p>
    <w:p>
      <w:pPr>
        <w:adjustRightInd w:val="0"/>
        <w:snapToGrid w:val="0"/>
        <w:spacing w:line="594" w:lineRule="exact"/>
        <w:ind w:firstLine="632" w:firstLineChars="200"/>
        <w:rPr>
          <w:rFonts w:hint="eastAsia" w:ascii="仿宋_GB2312" w:hAnsi="Times New Roman" w:eastAsia="仿宋_GB2312"/>
          <w:snapToGrid w:val="0"/>
          <w:kern w:val="0"/>
          <w:sz w:val="32"/>
        </w:rPr>
      </w:pPr>
      <w:r>
        <w:rPr>
          <w:rFonts w:hint="eastAsia" w:ascii="仿宋_GB2312" w:hAnsi="Times New Roman" w:eastAsia="仿宋_GB2312"/>
          <w:snapToGrid w:val="0"/>
          <w:kern w:val="0"/>
          <w:sz w:val="32"/>
        </w:rPr>
        <w:t>（一）矿产开采或者生产企业由于地震，以及水旱灾害，台风、冰雹、雪、沙尘暴等气象灾害，山体崩塌、滑坡、泥石流等地质灾害，森林草原火灾和重大生物灾害等自然灾害遭受重大损失；或者生产经营单位自身原因以外，不能预见、不能避免、不能克服的其他意外原因遭受重大损失。对生产经营单位防范措施不落实或未按规定采取停产停工等安全生产措施，导致发生造成人员伤亡或者直接经济损失的生产安全事故除外。</w:t>
      </w:r>
    </w:p>
    <w:p>
      <w:pPr>
        <w:adjustRightInd w:val="0"/>
        <w:snapToGrid w:val="0"/>
        <w:spacing w:line="594" w:lineRule="exact"/>
        <w:ind w:firstLine="632" w:firstLineChars="200"/>
        <w:rPr>
          <w:rFonts w:hint="eastAsia" w:ascii="仿宋_GB2312" w:hAnsi="Times New Roman" w:eastAsia="仿宋_GB2312"/>
          <w:snapToGrid w:val="0"/>
          <w:kern w:val="0"/>
          <w:sz w:val="32"/>
        </w:rPr>
      </w:pPr>
      <w:r>
        <w:rPr>
          <w:rFonts w:hint="eastAsia" w:ascii="仿宋_GB2312" w:hAnsi="Times New Roman" w:eastAsia="仿宋_GB2312"/>
          <w:snapToGrid w:val="0"/>
          <w:kern w:val="0"/>
          <w:sz w:val="32"/>
        </w:rPr>
        <w:t>（二）自然灾害或者意外事故给矿产企业带来的直接经济损失不低于3000万元。</w:t>
      </w:r>
    </w:p>
    <w:p>
      <w:pPr>
        <w:adjustRightInd w:val="0"/>
        <w:snapToGrid w:val="0"/>
        <w:spacing w:line="594" w:lineRule="exact"/>
        <w:ind w:firstLine="632" w:firstLineChars="200"/>
        <w:rPr>
          <w:rFonts w:hint="eastAsia" w:ascii="仿宋_GB2312" w:hAnsi="Times New Roman" w:eastAsia="仿宋_GB2312"/>
          <w:snapToGrid w:val="0"/>
          <w:kern w:val="0"/>
          <w:sz w:val="32"/>
        </w:rPr>
      </w:pPr>
      <w:r>
        <w:rPr>
          <w:rFonts w:hint="eastAsia" w:ascii="黑体" w:hAnsi="黑体" w:eastAsia="黑体"/>
          <w:snapToGrid w:val="0"/>
          <w:kern w:val="0"/>
          <w:sz w:val="32"/>
        </w:rPr>
        <w:t>第六条</w:t>
      </w:r>
      <w:r>
        <w:rPr>
          <w:rFonts w:hint="eastAsia" w:ascii="仿宋_GB2312" w:hAnsi="Times New Roman" w:eastAsia="仿宋_GB2312"/>
          <w:snapToGrid w:val="0"/>
          <w:kern w:val="0"/>
          <w:sz w:val="32"/>
        </w:rPr>
        <w:t xml:space="preserve">  纳税人申报本办法第二条第（一）项规定减征项目的，应当留存以下资料：</w:t>
      </w:r>
    </w:p>
    <w:p>
      <w:pPr>
        <w:adjustRightInd w:val="0"/>
        <w:snapToGrid w:val="0"/>
        <w:spacing w:line="594" w:lineRule="exact"/>
        <w:ind w:firstLine="632" w:firstLineChars="200"/>
        <w:rPr>
          <w:rFonts w:hint="eastAsia" w:ascii="仿宋_GB2312" w:hAnsi="Times New Roman" w:eastAsia="仿宋_GB2312"/>
          <w:snapToGrid w:val="0"/>
          <w:kern w:val="0"/>
          <w:sz w:val="32"/>
        </w:rPr>
      </w:pPr>
      <w:r>
        <w:rPr>
          <w:rFonts w:hint="eastAsia" w:ascii="仿宋_GB2312" w:hAnsi="Times New Roman" w:eastAsia="仿宋_GB2312"/>
          <w:snapToGrid w:val="0"/>
          <w:kern w:val="0"/>
          <w:sz w:val="32"/>
        </w:rPr>
        <w:t>（一）事故调查组或授权（委托）相关部门公布的自然灾害或者意外事故调查报告，以及有关部门出具的企业事故性质认定材料。</w:t>
      </w:r>
    </w:p>
    <w:p>
      <w:pPr>
        <w:adjustRightInd w:val="0"/>
        <w:snapToGrid w:val="0"/>
        <w:spacing w:line="594" w:lineRule="exact"/>
        <w:ind w:firstLine="632" w:firstLineChars="200"/>
        <w:rPr>
          <w:rFonts w:hint="eastAsia" w:ascii="仿宋_GB2312" w:hAnsi="Times New Roman" w:eastAsia="仿宋_GB2312"/>
          <w:snapToGrid w:val="0"/>
          <w:kern w:val="0"/>
          <w:sz w:val="32"/>
        </w:rPr>
      </w:pPr>
      <w:r>
        <w:rPr>
          <w:rFonts w:hint="eastAsia" w:ascii="仿宋_GB2312" w:hAnsi="Times New Roman" w:eastAsia="仿宋_GB2312"/>
          <w:snapToGrid w:val="0"/>
          <w:kern w:val="0"/>
          <w:sz w:val="32"/>
        </w:rPr>
        <w:t>（二）经统计部门审批或备案的或依法设立第三方认定机构出具的，直接经济损失统计结果。</w:t>
      </w:r>
    </w:p>
    <w:p>
      <w:pPr>
        <w:adjustRightInd w:val="0"/>
        <w:snapToGrid w:val="0"/>
        <w:spacing w:line="594" w:lineRule="exact"/>
        <w:ind w:firstLine="632" w:firstLineChars="200"/>
        <w:rPr>
          <w:rFonts w:hint="eastAsia" w:ascii="仿宋_GB2312" w:hAnsi="Times New Roman" w:eastAsia="仿宋_GB2312"/>
          <w:snapToGrid w:val="0"/>
          <w:kern w:val="0"/>
          <w:sz w:val="32"/>
        </w:rPr>
      </w:pPr>
      <w:r>
        <w:rPr>
          <w:rFonts w:hint="eastAsia" w:ascii="黑体" w:hAnsi="黑体" w:eastAsia="黑体"/>
          <w:snapToGrid w:val="0"/>
          <w:kern w:val="0"/>
          <w:sz w:val="32"/>
        </w:rPr>
        <w:t xml:space="preserve">第七条 </w:t>
      </w:r>
      <w:r>
        <w:rPr>
          <w:rFonts w:hint="eastAsia" w:ascii="仿宋_GB2312" w:hAnsi="Times New Roman" w:eastAsia="仿宋_GB2312"/>
          <w:snapToGrid w:val="0"/>
          <w:kern w:val="0"/>
          <w:sz w:val="32"/>
        </w:rPr>
        <w:t xml:space="preserve"> 纳税人申报本办法第二条第（二）项、第（三）项、第（五）项规定减免项目的，应当留存以下资料：</w:t>
      </w:r>
    </w:p>
    <w:p>
      <w:pPr>
        <w:adjustRightInd w:val="0"/>
        <w:snapToGrid w:val="0"/>
        <w:spacing w:line="594" w:lineRule="exact"/>
        <w:ind w:firstLine="632" w:firstLineChars="200"/>
        <w:rPr>
          <w:rFonts w:hint="eastAsia" w:ascii="仿宋_GB2312" w:hAnsi="黑体" w:eastAsia="仿宋_GB2312"/>
          <w:snapToGrid w:val="0"/>
          <w:color w:val="000000"/>
          <w:kern w:val="0"/>
          <w:sz w:val="32"/>
        </w:rPr>
      </w:pPr>
      <w:r>
        <w:rPr>
          <w:rFonts w:hint="eastAsia" w:ascii="仿宋_GB2312" w:hAnsi="黑体" w:eastAsia="仿宋_GB2312"/>
          <w:snapToGrid w:val="0"/>
          <w:color w:val="000000"/>
          <w:kern w:val="0"/>
          <w:sz w:val="32"/>
        </w:rPr>
        <w:t>（一）采矿许可证；</w:t>
      </w:r>
    </w:p>
    <w:p>
      <w:pPr>
        <w:adjustRightInd w:val="0"/>
        <w:snapToGrid w:val="0"/>
        <w:spacing w:line="594" w:lineRule="exact"/>
        <w:ind w:firstLine="632" w:firstLineChars="200"/>
        <w:rPr>
          <w:rFonts w:hint="eastAsia" w:ascii="仿宋_GB2312" w:hAnsi="黑体" w:eastAsia="仿宋_GB2312"/>
          <w:snapToGrid w:val="0"/>
          <w:color w:val="000000"/>
          <w:kern w:val="0"/>
          <w:sz w:val="32"/>
        </w:rPr>
      </w:pPr>
      <w:r>
        <w:rPr>
          <w:rFonts w:hint="eastAsia" w:ascii="仿宋_GB2312" w:hAnsi="黑体" w:eastAsia="仿宋_GB2312"/>
          <w:snapToGrid w:val="0"/>
          <w:color w:val="000000"/>
          <w:kern w:val="0"/>
          <w:sz w:val="32"/>
        </w:rPr>
        <w:t>（二）经自然资源主管部门备案的《矿产资源储量核实报告》评审意见书及相关备案文件;</w:t>
      </w:r>
    </w:p>
    <w:p>
      <w:pPr>
        <w:adjustRightInd w:val="0"/>
        <w:snapToGrid w:val="0"/>
        <w:spacing w:line="594" w:lineRule="exact"/>
        <w:ind w:firstLine="632" w:firstLineChars="200"/>
        <w:rPr>
          <w:rFonts w:hint="eastAsia" w:ascii="仿宋_GB2312" w:hAnsi="黑体" w:eastAsia="仿宋_GB2312"/>
          <w:snapToGrid w:val="0"/>
          <w:color w:val="000000"/>
          <w:kern w:val="0"/>
          <w:sz w:val="32"/>
        </w:rPr>
      </w:pPr>
      <w:r>
        <w:rPr>
          <w:rFonts w:hint="eastAsia" w:ascii="仿宋_GB2312" w:hAnsi="黑体" w:eastAsia="仿宋_GB2312"/>
          <w:snapToGrid w:val="0"/>
          <w:color w:val="000000"/>
          <w:kern w:val="0"/>
          <w:sz w:val="32"/>
        </w:rPr>
        <w:t>（三）《矿产资源开发利用方案》及审查意见书；</w:t>
      </w:r>
    </w:p>
    <w:p>
      <w:pPr>
        <w:adjustRightInd w:val="0"/>
        <w:snapToGrid w:val="0"/>
        <w:spacing w:line="594" w:lineRule="exact"/>
        <w:ind w:firstLine="632" w:firstLineChars="200"/>
        <w:rPr>
          <w:rFonts w:hint="eastAsia" w:ascii="仿宋_GB2312" w:hAnsi="Times New Roman" w:eastAsia="仿宋_GB2312"/>
          <w:snapToGrid w:val="0"/>
          <w:color w:val="000000"/>
          <w:kern w:val="0"/>
          <w:sz w:val="32"/>
        </w:rPr>
      </w:pPr>
      <w:r>
        <w:rPr>
          <w:rFonts w:hint="eastAsia" w:ascii="仿宋_GB2312" w:hAnsi="Times New Roman" w:eastAsia="仿宋_GB2312"/>
          <w:snapToGrid w:val="0"/>
          <w:color w:val="000000"/>
          <w:kern w:val="0"/>
          <w:sz w:val="32"/>
        </w:rPr>
        <w:t>（四）销售有关凭证；</w:t>
      </w:r>
    </w:p>
    <w:p>
      <w:pPr>
        <w:adjustRightInd w:val="0"/>
        <w:snapToGrid w:val="0"/>
        <w:spacing w:line="594" w:lineRule="exact"/>
        <w:ind w:firstLine="632" w:firstLineChars="200"/>
        <w:rPr>
          <w:rFonts w:hint="eastAsia" w:ascii="仿宋_GB2312" w:hAnsi="黑体" w:eastAsia="仿宋_GB2312"/>
          <w:snapToGrid w:val="0"/>
          <w:kern w:val="0"/>
          <w:sz w:val="32"/>
        </w:rPr>
      </w:pPr>
      <w:r>
        <w:rPr>
          <w:rFonts w:hint="eastAsia" w:ascii="仿宋_GB2312" w:hAnsi="黑体" w:eastAsia="仿宋_GB2312"/>
          <w:snapToGrid w:val="0"/>
          <w:kern w:val="0"/>
          <w:sz w:val="32"/>
        </w:rPr>
        <w:t>（五）有开采配额限制的矿产品，开采配额审批资料；</w:t>
      </w:r>
    </w:p>
    <w:p>
      <w:pPr>
        <w:adjustRightInd w:val="0"/>
        <w:snapToGrid w:val="0"/>
        <w:spacing w:line="594" w:lineRule="exact"/>
        <w:ind w:firstLine="632" w:firstLineChars="200"/>
        <w:rPr>
          <w:rFonts w:hint="eastAsia" w:ascii="仿宋_GB2312" w:hAnsi="黑体" w:eastAsia="仿宋_GB2312"/>
          <w:snapToGrid w:val="0"/>
          <w:kern w:val="0"/>
          <w:sz w:val="32"/>
        </w:rPr>
      </w:pPr>
      <w:r>
        <w:rPr>
          <w:rFonts w:hint="eastAsia" w:ascii="仿宋_GB2312" w:hAnsi="黑体" w:eastAsia="仿宋_GB2312"/>
          <w:snapToGrid w:val="0"/>
          <w:kern w:val="0"/>
          <w:sz w:val="32"/>
        </w:rPr>
        <w:t>（六）主管税务机关要求的其他资料。</w:t>
      </w:r>
    </w:p>
    <w:p>
      <w:pPr>
        <w:adjustRightInd w:val="0"/>
        <w:snapToGrid w:val="0"/>
        <w:spacing w:line="594" w:lineRule="exact"/>
        <w:ind w:firstLine="632" w:firstLineChars="200"/>
        <w:rPr>
          <w:rFonts w:hint="eastAsia" w:ascii="仿宋_GB2312" w:hAnsi="Times New Roman" w:eastAsia="仿宋_GB2312"/>
          <w:snapToGrid w:val="0"/>
          <w:kern w:val="0"/>
          <w:sz w:val="32"/>
        </w:rPr>
      </w:pPr>
      <w:r>
        <w:rPr>
          <w:rFonts w:hint="eastAsia" w:ascii="黑体" w:hAnsi="黑体" w:eastAsia="黑体"/>
          <w:snapToGrid w:val="0"/>
          <w:kern w:val="0"/>
          <w:sz w:val="32"/>
        </w:rPr>
        <w:t>第八条</w:t>
      </w:r>
      <w:r>
        <w:rPr>
          <w:rFonts w:hint="eastAsia" w:ascii="仿宋_GB2312" w:hAnsi="Times New Roman" w:eastAsia="仿宋_GB2312"/>
          <w:snapToGrid w:val="0"/>
          <w:kern w:val="0"/>
          <w:sz w:val="32"/>
        </w:rPr>
        <w:t xml:space="preserve">  共生矿、伴生矿、尾矿的减免税政策不适用于原油、天然气、煤、稀土、钨、钼，上述资源有关优惠政策按照国家相关规定执行。</w:t>
      </w:r>
    </w:p>
    <w:p>
      <w:pPr>
        <w:adjustRightInd w:val="0"/>
        <w:snapToGrid w:val="0"/>
        <w:spacing w:line="594" w:lineRule="exact"/>
        <w:ind w:firstLine="632" w:firstLineChars="200"/>
        <w:rPr>
          <w:rFonts w:hint="eastAsia" w:ascii="仿宋_GB2312" w:hAnsi="Times New Roman" w:eastAsia="仿宋_GB2312"/>
          <w:snapToGrid w:val="0"/>
          <w:kern w:val="0"/>
          <w:sz w:val="32"/>
        </w:rPr>
      </w:pPr>
      <w:r>
        <w:rPr>
          <w:rFonts w:hint="eastAsia" w:ascii="黑体" w:hAnsi="黑体" w:eastAsia="黑体"/>
          <w:snapToGrid w:val="0"/>
          <w:kern w:val="0"/>
          <w:sz w:val="32"/>
        </w:rPr>
        <w:t>第九条</w:t>
      </w:r>
      <w:r>
        <w:rPr>
          <w:rFonts w:hint="eastAsia" w:ascii="仿宋_GB2312" w:hAnsi="Times New Roman" w:eastAsia="仿宋_GB2312"/>
          <w:snapToGrid w:val="0"/>
          <w:kern w:val="0"/>
          <w:sz w:val="32"/>
        </w:rPr>
        <w:t xml:space="preserve">  税务机关与自然资源、应急管理、水利等部门应当建立工作配合机制。根据工作需要，主管税务机关可请当地自然资源主管部门提供共生矿、伴生矿、尾矿等应税矿产品的认定情况以及与减免税相关的其他信息，自然资源主管部门应予以协助支持。</w:t>
      </w:r>
    </w:p>
    <w:p>
      <w:pPr>
        <w:topLinePunct/>
        <w:adjustRightInd w:val="0"/>
        <w:snapToGrid w:val="0"/>
        <w:spacing w:line="594" w:lineRule="exact"/>
        <w:ind w:firstLine="632" w:firstLineChars="200"/>
        <w:rPr>
          <w:rFonts w:hint="eastAsia" w:ascii="宋体" w:hAnsi="宋体"/>
          <w:b/>
          <w:color w:val="000000"/>
          <w:kern w:val="0"/>
          <w:sz w:val="22"/>
        </w:rPr>
      </w:pPr>
      <w:r>
        <w:rPr>
          <w:rFonts w:hint="eastAsia" w:ascii="黑体" w:hAnsi="黑体" w:eastAsia="黑体"/>
          <w:snapToGrid w:val="0"/>
          <w:kern w:val="0"/>
          <w:sz w:val="32"/>
        </w:rPr>
        <w:t>第十条</w:t>
      </w:r>
      <w:r>
        <w:rPr>
          <w:rFonts w:hint="eastAsia" w:ascii="仿宋_GB2312" w:hAnsi="Times New Roman" w:eastAsia="仿宋_GB2312"/>
          <w:snapToGrid w:val="0"/>
          <w:kern w:val="0"/>
          <w:sz w:val="32"/>
        </w:rPr>
        <w:t xml:space="preserve">  本办法自2020年9月1日起执行。</w:t>
      </w:r>
    </w:p>
    <w:p>
      <w:pPr>
        <w:jc w:val="center"/>
        <w:rPr>
          <w:rFonts w:hint="eastAsia" w:ascii="宋体" w:hAnsi="宋体" w:eastAsia="宋体" w:cs="Times New Roman"/>
          <w:b w:val="0"/>
          <w:bCs/>
          <w:sz w:val="44"/>
          <w:szCs w:val="44"/>
        </w:rPr>
      </w:pPr>
    </w:p>
    <w:p>
      <w:pPr>
        <w:jc w:val="center"/>
        <w:rPr>
          <w:rFonts w:hint="eastAsia" w:ascii="宋体" w:hAnsi="宋体" w:eastAsia="宋体" w:cs="Times New Roman"/>
          <w:b w:val="0"/>
          <w:bCs/>
          <w:sz w:val="44"/>
          <w:szCs w:val="44"/>
        </w:rPr>
      </w:pPr>
    </w:p>
    <w:p>
      <w:pPr>
        <w:keepNext w:val="0"/>
        <w:keepLines w:val="0"/>
        <w:pageBreakBefore w:val="0"/>
        <w:widowControl w:val="0"/>
        <w:kinsoku/>
        <w:wordWrap/>
        <w:overflowPunct/>
        <w:topLinePunct w:val="0"/>
        <w:autoSpaceDE/>
        <w:autoSpaceDN/>
        <w:bidi w:val="0"/>
        <w:adjustRightInd/>
        <w:snapToGrid/>
        <w:spacing w:line="578" w:lineRule="exact"/>
        <w:textAlignment w:val="auto"/>
        <w:rPr>
          <w:rFonts w:ascii="宋体" w:hAnsi="宋体" w:eastAsia="仿宋_GB2312" w:cs="仿宋_GB2312"/>
          <w:sz w:val="32"/>
          <w:szCs w:val="32"/>
        </w:rPr>
      </w:pPr>
      <w:bookmarkStart w:id="1" w:name="_GoBack"/>
      <w:bookmarkEnd w:id="1"/>
    </w:p>
    <w:sectPr>
      <w:footerReference r:id="rId3" w:type="default"/>
      <w:pgSz w:w="11906" w:h="16838"/>
      <w:pgMar w:top="2098" w:right="1474" w:bottom="1984" w:left="1587" w:header="851" w:footer="1587" w:gutter="0"/>
      <w:pgNumType w:fmt="decimal"/>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444"/>
        <w:tab w:val="clear" w:pos="4153"/>
      </w:tabs>
      <w:rPr>
        <w:rFonts w:hint="eastAsia" w:asciiTheme="minorEastAsia" w:hAnsiTheme="minorEastAsia" w:eastAsiaTheme="minorEastAsia" w:cstheme="minorEastAsia"/>
        <w:sz w:val="28"/>
        <w:szCs w:val="28"/>
      </w:rP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-21590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仿宋_GB2312"/>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default" w:ascii="Times New Roman" w:hAnsi="Times New Roman" w:cs="Times New Roman" w:eastAsiaTheme="minorEastAsia"/>
                              <w:sz w:val="28"/>
                              <w:szCs w:val="28"/>
                              <w:lang w:eastAsia="zh-CN"/>
                            </w:rPr>
                            <w:fldChar w:fldCharType="begin"/>
                          </w:r>
                          <w:r>
                            <w:rPr>
                              <w:rFonts w:hint="default" w:ascii="Times New Roman" w:hAnsi="Times New Roman" w:cs="Times New Roman" w:eastAsiaTheme="minorEastAsia"/>
                              <w:sz w:val="28"/>
                              <w:szCs w:val="28"/>
                              <w:lang w:eastAsia="zh-CN"/>
                            </w:rPr>
                            <w:instrText xml:space="preserve"> PAGE  \* MERGEFORMAT </w:instrText>
                          </w:r>
                          <w:r>
                            <w:rPr>
                              <w:rFonts w:hint="default" w:ascii="Times New Roman" w:hAnsi="Times New Roman" w:cs="Times New Roman" w:eastAsiaTheme="minorEastAsia"/>
                              <w:sz w:val="28"/>
                              <w:szCs w:val="28"/>
                              <w:lang w:eastAsia="zh-CN"/>
                            </w:rPr>
                            <w:fldChar w:fldCharType="separate"/>
                          </w:r>
                          <w:r>
                            <w:rPr>
                              <w:rFonts w:hint="default" w:ascii="Times New Roman" w:hAnsi="Times New Roman" w:cs="Times New Roman" w:eastAsiaTheme="minorEastAsia"/>
                              <w:sz w:val="28"/>
                              <w:szCs w:val="28"/>
                              <w:lang w:eastAsia="zh-CN"/>
                            </w:rPr>
                            <w:t>- 1 -</w:t>
                          </w:r>
                          <w:r>
                            <w:rPr>
                              <w:rFonts w:hint="default" w:ascii="Times New Roman" w:hAnsi="Times New Roman" w:cs="Times New Roman" w:eastAsiaTheme="minorEastAsia"/>
                              <w:sz w:val="28"/>
                              <w:szCs w:val="28"/>
                              <w:lang w:eastAsia="zh-CN"/>
                            </w:rPr>
                            <w:fldChar w:fldCharType="end"/>
                          </w:r>
                          <w:r>
                            <w:rPr>
                              <w:rFonts w:hint="eastAsia" w:ascii="Times New Roman" w:hAnsi="Times New Roman" w:cs="Times New Roman" w:eastAsiaTheme="minorEastAsia"/>
                              <w:sz w:val="28"/>
                              <w:szCs w:val="28"/>
                              <w:lang w:val="en-US" w:eastAsia="zh-CN"/>
                            </w:rPr>
                            <w:t xml:space="preserve"> </w:t>
                          </w:r>
                          <w:r>
                            <w:rPr>
                              <w:rFonts w:hint="eastAsia" w:ascii="仿宋" w:hAnsi="仿宋" w:eastAsia="仿宋" w:cs="仿宋"/>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1.7pt;height:144pt;width:144pt;mso-position-horizontal:outside;mso-position-horizontal-relative:margin;mso-wrap-style:none;z-index:251659264;mso-width-relative:page;mso-height-relative:page;" filled="f" stroked="f" coordsize="21600,21600" o:gfxdata="UEsDBAoAAAAAAIdO4kAAAAAAAAAAAAAAAAAEAAAAZHJzL1BLAwQUAAAACACHTuJAuagYAdUAAAAH&#10;AQAADwAAAGRycy9kb3ducmV2LnhtbE2PQU/DMAyF70j8h8hI3LZ0WzVVpekkJspxEusOHLPWtIXE&#10;qZKsK/9+3glufn7We5+L3WyNmNCHwZGC1TIBgdS4dqBOwamuFhmIEDW12jhCBb8YYFc+PhQ6b92V&#10;PnA6xk5wCIVcK+hjHHMpQ9Oj1WHpRiT2vpy3OrL0nWy9vnK4NXKdJFtp9UDc0OsR9z02P8eLVbCv&#10;6tpPGLz5xPdq8314TfFtVur5aZW8gIg4x79juOMzOpTMdHYXaoMwCviRqGCxSUGwu84yXpzvQ7oF&#10;WRbyP395A1BLAwQUAAAACACHTuJABdxysBMCAAATBAAADgAAAGRycy9lMm9Eb2MueG1srVNNjtMw&#10;FN4jcQfLe5q0iFFVNR2VGRUhVcxIBbF2HbuxZPtZttukHABuwIoNe87Vc/DsJB0ErBAb54vf//c+&#10;L287o8lJ+KDAVnQ6KSkRlkOt7KGiH95vXswpCZHZmmmwoqJnEejt6vmzZesWYgYN6Fp4gklsWLSu&#10;ok2MblEUgTfCsDABJywaJXjDIv76Q1F71mJ2o4tZWd4ULfjaeeAiBLy97410lfNLKXh8kDKISHRF&#10;sbeYT5/PfTqL1ZItDp65RvGhDfYPXRimLBa9prpnkZGjV3+kMop7CCDjhIMpQErFRZ4Bp5mWv02z&#10;a5gTeRYkJ7grTeH/peXvTo+eqLqiM0osM7iiy9cvl28/Lt8/k1mip3VhgV47h36xew0drnm8D3iZ&#10;pu6kN+mL8xC0I9HnK7mii4SnoPlsPi/RxNE2/mD+4inc+RDfCDAkgYp63F4mlZ22Ifauo0uqZmGj&#10;tM4b1Ja0Fb15+arMAVcLJtcWa6Qh+mYTit2+GybbQ33GwTz0ygiObxQW37IQH5lHKWDDKO/4gIfU&#10;gEVgQJQ04D/97T7544bQSkmL0qqoRe1Tot9a3FxS4Qj8CPYjsEdzB6jVKT4bxzPEAB/1CKUH8xE1&#10;v0410MQsx0oVjSO8i7288c1wsV5np6Pz6tD0Aag7x+LW7hxPZRKRwa2PEcnMHCeCelYG3lB5eUvD&#10;K0nS/vU/ez295d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uagYAdUAAAAHAQAADwAAAAAAAAAB&#10;ACAAAAAiAAAAZHJzL2Rvd25yZXYueG1sUEsBAhQAFAAAAAgAh07iQAXccrATAgAAEwQAAA4AAAAA&#10;AAAAAQAgAAAAJAEAAGRycy9lMm9Eb2MueG1sUEsFBgAAAAAGAAYAWQEAAKk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仿宋_GB2312"/>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default" w:ascii="Times New Roman" w:hAnsi="Times New Roman" w:cs="Times New Roman" w:eastAsiaTheme="minorEastAsia"/>
                        <w:sz w:val="28"/>
                        <w:szCs w:val="28"/>
                        <w:lang w:eastAsia="zh-CN"/>
                      </w:rPr>
                      <w:fldChar w:fldCharType="begin"/>
                    </w:r>
                    <w:r>
                      <w:rPr>
                        <w:rFonts w:hint="default" w:ascii="Times New Roman" w:hAnsi="Times New Roman" w:cs="Times New Roman" w:eastAsiaTheme="minorEastAsia"/>
                        <w:sz w:val="28"/>
                        <w:szCs w:val="28"/>
                        <w:lang w:eastAsia="zh-CN"/>
                      </w:rPr>
                      <w:instrText xml:space="preserve"> PAGE  \* MERGEFORMAT </w:instrText>
                    </w:r>
                    <w:r>
                      <w:rPr>
                        <w:rFonts w:hint="default" w:ascii="Times New Roman" w:hAnsi="Times New Roman" w:cs="Times New Roman" w:eastAsiaTheme="minorEastAsia"/>
                        <w:sz w:val="28"/>
                        <w:szCs w:val="28"/>
                        <w:lang w:eastAsia="zh-CN"/>
                      </w:rPr>
                      <w:fldChar w:fldCharType="separate"/>
                    </w:r>
                    <w:r>
                      <w:rPr>
                        <w:rFonts w:hint="default" w:ascii="Times New Roman" w:hAnsi="Times New Roman" w:cs="Times New Roman" w:eastAsiaTheme="minorEastAsia"/>
                        <w:sz w:val="28"/>
                        <w:szCs w:val="28"/>
                        <w:lang w:eastAsia="zh-CN"/>
                      </w:rPr>
                      <w:t>- 1 -</w:t>
                    </w:r>
                    <w:r>
                      <w:rPr>
                        <w:rFonts w:hint="default" w:ascii="Times New Roman" w:hAnsi="Times New Roman" w:cs="Times New Roman" w:eastAsiaTheme="minorEastAsia"/>
                        <w:sz w:val="28"/>
                        <w:szCs w:val="28"/>
                        <w:lang w:eastAsia="zh-CN"/>
                      </w:rPr>
                      <w:fldChar w:fldCharType="end"/>
                    </w:r>
                    <w:r>
                      <w:rPr>
                        <w:rFonts w:hint="eastAsia" w:ascii="Times New Roman" w:hAnsi="Times New Roman" w:cs="Times New Roman" w:eastAsiaTheme="minorEastAsia"/>
                        <w:sz w:val="28"/>
                        <w:szCs w:val="28"/>
                        <w:lang w:val="en-US" w:eastAsia="zh-CN"/>
                      </w:rPr>
                      <w:t xml:space="preserve"> </w:t>
                    </w:r>
                    <w:r>
                      <w:rPr>
                        <w:rFonts w:hint="eastAsia" w:ascii="仿宋" w:hAnsi="仿宋" w:eastAsia="仿宋" w:cs="仿宋"/>
                        <w:sz w:val="28"/>
                        <w:szCs w:val="28"/>
                        <w:lang w:eastAsia="zh-CN"/>
                      </w:rPr>
                      <w:t>—</w:t>
                    </w:r>
                  </w:p>
                </w:txbxContent>
              </v:textbox>
            </v:shape>
          </w:pict>
        </mc:Fallback>
      </mc:AlternateContent>
    </w: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仿宋_GB2312"/>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仿宋_GB2312"/>
                        <w:lang w:eastAsia="zh-CN"/>
                      </w:rPr>
                    </w:pPr>
                  </w:p>
                </w:txbxContent>
              </v:textbox>
            </v:shape>
          </w:pict>
        </mc:Fallback>
      </mc:AlternateContent>
    </w:r>
    <w:r>
      <w:rPr>
        <w:rFonts w:hint="eastAsia"/>
        <w:lang w:eastAsia="zh-CN"/>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D277F4"/>
    <w:rsid w:val="00403B46"/>
    <w:rsid w:val="00730248"/>
    <w:rsid w:val="00C950E6"/>
    <w:rsid w:val="01E71071"/>
    <w:rsid w:val="04284B0A"/>
    <w:rsid w:val="0FC83007"/>
    <w:rsid w:val="11763BBB"/>
    <w:rsid w:val="1A3462F0"/>
    <w:rsid w:val="1F0E6564"/>
    <w:rsid w:val="210E55B1"/>
    <w:rsid w:val="22B42F70"/>
    <w:rsid w:val="249F3CBB"/>
    <w:rsid w:val="2B677CD1"/>
    <w:rsid w:val="2DD277F4"/>
    <w:rsid w:val="2E2300E0"/>
    <w:rsid w:val="34D8055D"/>
    <w:rsid w:val="388A7FC4"/>
    <w:rsid w:val="399A5028"/>
    <w:rsid w:val="3C63501C"/>
    <w:rsid w:val="47C64783"/>
    <w:rsid w:val="50E7137D"/>
    <w:rsid w:val="59584D65"/>
    <w:rsid w:val="5D65588C"/>
    <w:rsid w:val="690A31C3"/>
    <w:rsid w:val="69C23663"/>
    <w:rsid w:val="6CB31C70"/>
    <w:rsid w:val="741902F1"/>
    <w:rsid w:val="74DF1822"/>
    <w:rsid w:val="7DAA53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仿宋_GB2312"/>
      <w:kern w:val="2"/>
      <w:sz w:val="32"/>
      <w:szCs w:val="32"/>
      <w:lang w:val="en-US" w:eastAsia="zh-CN" w:bidi="ar-SA"/>
    </w:rPr>
  </w:style>
  <w:style w:type="character" w:default="1" w:styleId="6">
    <w:name w:val="Default Paragraph Font"/>
    <w:link w:val="7"/>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unhideWhenUsed/>
    <w:uiPriority w:val="99"/>
    <w:pPr>
      <w:spacing w:beforeAutospacing="1" w:afterAutospacing="1"/>
      <w:jc w:val="left"/>
    </w:pPr>
    <w:rPr>
      <w:rFonts w:hint="eastAsia"/>
      <w:sz w:val="24"/>
    </w:rPr>
  </w:style>
  <w:style w:type="paragraph" w:customStyle="1" w:styleId="7">
    <w:name w:val="Char1"/>
    <w:basedOn w:val="1"/>
    <w:link w:val="6"/>
    <w:qFormat/>
    <w:uiPriority w:val="0"/>
  </w:style>
  <w:style w:type="character" w:styleId="8">
    <w:name w:val="page number"/>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680</Words>
  <Characters>3881</Characters>
  <Lines>32</Lines>
  <Paragraphs>9</Paragraphs>
  <TotalTime>1</TotalTime>
  <ScaleCrop>false</ScaleCrop>
  <LinksUpToDate>false</LinksUpToDate>
  <CharactersWithSpaces>4552</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2020-04-30T08:08:00Z</dcterms:created>
  <dc:creator>admin</dc:creator>
  <cp:lastModifiedBy>lenovo</cp:lastModifiedBy>
  <cp:lastPrinted>2020-05-12T08:39:00Z</cp:lastPrinted>
  <dcterms:modified xsi:type="dcterms:W3CDTF">2020-08-17T02:07:00Z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