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鞍山市城市管理综合行政执法条例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bookmarkStart w:id="7" w:name="_GoBack"/>
      <w:bookmarkEnd w:id="7"/>
      <w:r>
        <w:rPr>
          <w:rFonts w:hint="eastAsia" w:ascii="楷体" w:hAnsi="楷体" w:eastAsia="楷体" w:cs="楷体"/>
          <w:kern w:val="2"/>
          <w:sz w:val="32"/>
          <w:szCs w:val="32"/>
          <w:lang w:val="en-US" w:eastAsia="zh-CN" w:bidi="ar"/>
        </w:rPr>
        <w:t>（2011年10月28日鞍山市第十四届人民代表大会常务委员会第二十六次会议通过  2011年11月24日辽宁省第十一届人民代表大会常务委员会第二十六次会议批准）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_Toc28445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_Toc616 </w:instrText>
      </w:r>
      <w:r>
        <w:rPr>
          <w:rFonts w:hint="eastAsia"/>
          <w:lang w:val="en-US" w:eastAsia="zh-CN"/>
        </w:rPr>
        <w:fldChar w:fldCharType="separate"/>
      </w:r>
      <w:r>
        <w:rPr>
          <w:rFonts w:hint="eastAsia"/>
          <w:lang w:val="en-US" w:eastAsia="zh-CN"/>
        </w:rPr>
        <w:t>第二章  执法职责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_Toc32351 </w:instrText>
      </w:r>
      <w:r>
        <w:rPr>
          <w:rFonts w:hint="eastAsia"/>
          <w:lang w:val="en-US" w:eastAsia="zh-CN"/>
        </w:rPr>
        <w:fldChar w:fldCharType="separate"/>
      </w:r>
      <w:r>
        <w:rPr>
          <w:rFonts w:hint="eastAsia"/>
          <w:lang w:val="en-US" w:eastAsia="zh-CN"/>
        </w:rPr>
        <w:t>第三章  执法规范</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_Toc15332 </w:instrText>
      </w:r>
      <w:r>
        <w:rPr>
          <w:rFonts w:hint="eastAsia"/>
          <w:lang w:val="en-US" w:eastAsia="zh-CN"/>
        </w:rPr>
        <w:fldChar w:fldCharType="separate"/>
      </w:r>
      <w:r>
        <w:rPr>
          <w:rFonts w:hint="eastAsia"/>
          <w:lang w:val="en-US" w:eastAsia="zh-CN"/>
        </w:rPr>
        <w:t>第四章  执法协作</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_Toc13900 </w:instrText>
      </w:r>
      <w:r>
        <w:rPr>
          <w:rFonts w:hint="eastAsia"/>
          <w:lang w:val="en-US" w:eastAsia="zh-CN"/>
        </w:rPr>
        <w:fldChar w:fldCharType="separate"/>
      </w:r>
      <w:r>
        <w:rPr>
          <w:rFonts w:hint="eastAsia"/>
          <w:lang w:val="en-US" w:eastAsia="zh-CN"/>
        </w:rPr>
        <w:t>第五章  执法监督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_Toc6300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_Toc32194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8445"/>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为了规范城市管理综合行政执法行为，提高城市管理综合行政执法水平，保护公民、法人和其他组织的合法权益，根据《中华人民共和国行政处罚法》等有关法律、法规，结合我市实际，制定本条例。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本条例适用于本市市区内城市管理综合行政执法活动。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市城市管理综合行政执法部门（以下简称市城管执法部门）是市人民政府实施城市管理综合行政执法的部门，负责城市管理综合行政执法工作。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规划、城建、房产、公用事业、民政、工商、环保、公安等相关部门，应当按照各自职责分工，配合做好城市管理综合行政执法工作。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城市管理综合行政执法应当坚持执法与教育、疏导、服务相结合，遵循合法、合理、公正、公开的原则。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市城市管理综合行政执法人员（以下简称市城管执法人员）执行公务时，应当主动宣传法律法规，恪守职业道德，规范执法，文明执法，自觉接受社会和有关国家机关的监督。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公民、法人和其他组织应当支持、配合市城管执法部门和人员依法行使职权。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市人民政府应当建立城市管理综合行政执法保障机制，将城市管理综合行政执法工作经费列入本级人民政府财政预算。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616"/>
      <w:r>
        <w:rPr>
          <w:rFonts w:hint="eastAsia"/>
          <w:lang w:val="en-US" w:eastAsia="zh-CN"/>
        </w:rPr>
        <w:t>第二章  执法职责</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市城管执法部门集中行使下列具体职权：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（一）城市规划管理方面的法律、法规、规章规定的行政处罚权；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（二）市容环境卫生管理方面的法律、法规、规章规定的行政处罚权，依法强制拆除违法的建筑物、构筑物或者设施；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（三）市政管理方面的法律、法规、规章规定的行政处罚权；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（四）房产管理方面的法律、法规、规章规定的行政处罚权；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（五）城市园林绿化管理方面的法律、法规、规章规定的行政处罚权；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（六）公用事业管理方面的法律、法规、规章规定的行政处罚权；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（七）城市客运（含客运出租汽车）管理方面的法律、法规、规章规定的行政处罚权；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（八）民政殡葬管理方面的法律、法规、规章规定的对户外搭灵棚、设灵堂，高音播放或者吹奏哀乐、抛撒纸钱，销售封建迷信殡葬用品的违法行为的行政处罚权；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（九）工商行政管理方面法律、法规、规章规定的对侵占道路无照商贩的违法行为的行政处罚权；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环境保护方面的法律、法规、规章规定的对在人口集中地区焚烧沥青、油毡、橡胶、皮革、垃圾产生有毒有害烟尘、恶臭气体的违法行为的行政处罚权；对施工噪声、社会生活噪声、加工行业噪声污染的违法行为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（十一）公安交通管理方面的法律、法规、规章规定的对机动车乱停乱放侵占人行道的违法行为的行政处罚权；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（十二）法律、法规确定的其他行政处罚权和行政强制。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经国务院或者省人民政府决定，市城管执法部门新确定和调整的行政处罚职责，由市人民政府向社会公布。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行政处罚权相对集中后，原行政管理部门不得再行使。再行使的，其作出的行政处罚决定无效。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行政管理部门不因行政处罚权的相对集中行使而改变或者放弃其他应当依法履行的行政管理和监督职责。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2351"/>
      <w:r>
        <w:rPr>
          <w:rFonts w:hint="eastAsia"/>
          <w:lang w:val="en-US" w:eastAsia="zh-CN"/>
        </w:rPr>
        <w:t>第三章  执法规范</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市城管执法部门应当依照相关法律、法规规定的条件、程序实施行政处罚、行政强制等行政执法行为。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市城管执法部门应当建立和完善日常巡查制度，及时发现、纠正和查处违反城市管理法律、法规、规章规定的行为。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城管执法部门查处违法案件时，依法适用简易程序进行处罚的，可以当场作出处罚决定；适用一般程序进行处罚的，应当自立案之日起30日内作出处罚决定。因特殊情况需要延长办案期限的，经市城管执法部门负责人批准，可以延长30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市城管执法部门应当根据违法行为的事实、性质、情节以及社会危害程度，在法定幅度内实施行政处罚；对违法行为轻微并及时纠正，未造成危害后果的，不予行政处罚。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市城管执法部门依法实施行政强制措施的，应当正确适用法律法规，选择法定方式，最大限度地减少当事人的损失。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违法行为情节显著轻微或者没有明显社会危害的，可以不采取行政强制措施。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市城管执法部门依法作出涉及当事人权利和义务的决定前，应当告知当事人享有陈述权、申辩权和依法要求举行听证的权利；作出决定时，应当告知当事人享有依法申请行政复议或者提起行政诉讼的权利。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5332"/>
      <w:r>
        <w:rPr>
          <w:rFonts w:hint="eastAsia"/>
          <w:lang w:val="en-US" w:eastAsia="zh-CN"/>
        </w:rPr>
        <w:t>第四章  执法协作</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市人民政府应当建立健全城市管理综合行政执法协调机制，协调解决城市管理综合行政执法工作中的重大事项。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各区人民政府、市政府设立的管委会应当按照各自职责，支持、配合本区域内城市管理综合行政执法工作。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街道办事处、社区居民委员会应当在调查取证、文书送达、宣传教育、社区服务等方面支持和配合市城管执法部门进行城市管理综合行政执法。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市人民政府应当将城市管理综合行政执法协作情况纳入绩效考核体系，实行绩效考核。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市城管执法部门与相关行政管理部门应当建立健全信息共享机制，互相通报下列行政管理信息：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（一）相关行政管理部门实施与城市管理综合行政执法有关的行政许可事项和监督管理信息；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（二）市城管执法部门实施行政处罚的情况和在执法中发现应当告知相关行政管理部门的信息；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（三）与市城市管理综合行政执法有关的专项整治行动信息；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（四）其他需要共享的重要信息。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前款第（一）项、第（二）项行政管理信息的通报应当在信息获取或者具体行政行为结束后的3日内完成。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市城管执法部门查处违法行为需要查询有关资料的，相关行政管理部门应当依法提供，并不得收取费用。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需要相关行政管理部门提供专业意见的，相关行政管理部门应当自收到协助通知之日起5日内出具书面意见；案情复杂，需要延期的，应当以书面形式向市城管执法部门说明理由并明确答复期限。相关行政管理部门出具书面意见前需要市城管执法部门补充资料的，应当一次性告知，补充资料所用时间不计入答复期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对城市管理综合行政执法中的重要专项行动，市城管执法部门需要相关行政管理部门配合的，相关行政管理部门应当依法配合。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城管执法部门行使行政处罚权时，当事人拒绝配合调查取证、拒绝履行行政决定，严重影响行政管理秩序的，市城管执法部门可以将有关情况告知相关行政管理部门，相关行政管理部门应当依法采取措施督促当事人履行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市城管执法部门在执法过程中，发现违法行为不属于本部门管辖范围的，应当告知或者移送有管辖权的部门处理。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相关行政管理部门在执法过程中，发现违法行为属于市城管执法部门或者其他有管辖权部门的管辖范围的，应当告知或者移送处理。</w:t>
      </w:r>
    </w:p>
    <w:p>
      <w:pPr>
        <w:pStyle w:val="2"/>
        <w:rPr>
          <w:rFonts w:hint="eastAsia"/>
          <w:lang w:val="en-US" w:eastAsia="zh-CN"/>
        </w:rPr>
      </w:pPr>
      <w:bookmarkStart w:id="4" w:name="_Toc13900"/>
    </w:p>
    <w:p>
      <w:pPr>
        <w:pStyle w:val="2"/>
        <w:rPr>
          <w:rFonts w:hint="eastAsia"/>
          <w:lang w:val="en-US"/>
        </w:rPr>
      </w:pPr>
      <w:r>
        <w:rPr>
          <w:rFonts w:hint="eastAsia"/>
          <w:lang w:val="en-US" w:eastAsia="zh-CN"/>
        </w:rPr>
        <w:t>第五章  执法监督</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市人民政府应当依照行政执法监督的有关规定对城市管理综合行政执法进行监督检查。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相关行政管理部门发现市城管执法部门有违法或者不履行法定职责等行为，应当向其提出书面建议，或者提请市人民政府予以纠正。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市城管执法部门发现相关行政管理部门有不配合执法或者不履行法定职责等行为，应当向其提出书面建议，或者提请市人民政府予以纠正。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市城管执法部门应当将职责范围、执法依据、执法程序、处罚标准以及监督电话等予以公开，接受社会监督。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公民、法人和其他组织发现市城管执法人员不严格执法或者有违法违纪行为的，有权向有关机关检举、控告。受理机关应当依法受理，并将处理结果告知检举、控告人。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市城管执法部门应当建立和完善内部行政执法监督机制，实行行政执法监督检查、评议考核、督办督察、责任追究等监督制度，保障和监督市城管执法部门及其执法人员依法履行职责。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对受理的检举、控告属于市城管执法部门职责范围的，市城管执法部门应当按照规定，及时核实处理，并反馈处理结果。</w:t>
      </w:r>
    </w:p>
    <w:p>
      <w:pPr>
        <w:pStyle w:val="2"/>
        <w:rPr>
          <w:rFonts w:hint="eastAsia"/>
          <w:lang w:val="en-US" w:eastAsia="zh-CN"/>
        </w:rPr>
      </w:pPr>
      <w:bookmarkStart w:id="5" w:name="_Toc6300"/>
    </w:p>
    <w:p>
      <w:pPr>
        <w:pStyle w:val="2"/>
        <w:rPr>
          <w:rFonts w:hint="eastAsia"/>
          <w:lang w:val="en-US"/>
        </w:rPr>
      </w:pPr>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市城管执法部门及其执法人员有下列行为之一的，由其所在单位或者上级行政机关对相关责任人员依法给予行政处分；给公民、法人和其他组织造成损害的，依法承担赔偿责任；构成犯罪的，依法追究刑事责任：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（一）无法定依据或者不遵守法定程序实施行政处罚的；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（二）无法定事由或者违反法定程序擅自改变已作出的行政处罚决定的；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（三）不履行巡查职责，未能及时发现违法行为，或者发现后不制止，造成后果的；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（四）粗暴执法，给公民人身或者财产造成损害、给法人或者其他组织造成损失的；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（五）未经举报人同意，泄露举报人信息的；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（六）利用职务上的便利，索取或者收受他人财物的；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（七）帮助违法行为人逃避查处的；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（八）将没收、查封、扣押的违法所得或者财物以及罚款截留、私分或者变相私分的；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（九）对应当予以制止或者处罚的违法行为不制止、不处罚，致使公民、法人或者其他组织的合法权益、公共利益遭受损害的；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（十）其他应当依法追究法律责任的行为。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相关行政管理部门违反本条例，仍行使已由市城管执法部门集中行使的行政处罚权的，由上级行政机关或者监察机关对直接负责的主管人员和其他责任人员依法给予行政处分。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阻碍市城管执法人员依法执行公务，违反治安管理规定的，由公安机关依照《中华人民共和国治安管理处罚法》的规定处理；构成犯罪的，依法追究刑事责任。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城管执法部门以及相关行政管理部门违反本条例，拒不履行执法协作职责以及改变或者放弃依法应当履行的行政管理和监督职责的，由上级行政机关或者监察机关对直接负责的主管人员和其他责任人员依法给予行政处分。</w:t>
      </w:r>
    </w:p>
    <w:p>
      <w:pPr>
        <w:pStyle w:val="2"/>
        <w:rPr>
          <w:rFonts w:hint="eastAsia"/>
          <w:lang w:val="en-US"/>
        </w:rPr>
      </w:pPr>
      <w:bookmarkStart w:id="6" w:name="_Toc32194"/>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本条例自2012年1月1日起施行。实行城市管理综合行政执法的县（市），可以参照执行本条例。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C07012"/>
    <w:rsid w:val="07C466F9"/>
    <w:rsid w:val="07F10DC0"/>
    <w:rsid w:val="07FE6FB6"/>
    <w:rsid w:val="08031E69"/>
    <w:rsid w:val="080D3997"/>
    <w:rsid w:val="08241A15"/>
    <w:rsid w:val="082A37BE"/>
    <w:rsid w:val="08355216"/>
    <w:rsid w:val="087A2421"/>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0D09"/>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2017-02-16T16:35:34Z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