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鞍山市非税收入管理条例</w:t>
      </w:r>
    </w:p>
    <w:p>
      <w:pPr>
        <w:pStyle w:val="7"/>
        <w:rPr>
          <w:rFonts w:hint="eastAsia"/>
          <w:lang w:val="en-US" w:eastAsia="zh-CN"/>
        </w:rPr>
      </w:pPr>
    </w:p>
    <w:p>
      <w:pPr>
        <w:pStyle w:val="7"/>
        <w:rPr>
          <w:rFonts w:hint="eastAsia"/>
          <w:lang w:val="en-US" w:eastAsia="zh-CN"/>
        </w:rPr>
      </w:pPr>
      <w:bookmarkStart w:id="6" w:name="_GoBack"/>
      <w:bookmarkEnd w:id="6"/>
      <w:r>
        <w:rPr>
          <w:rFonts w:hint="eastAsia"/>
          <w:lang w:val="en-US" w:eastAsia="zh-CN"/>
        </w:rPr>
        <w:t>（2010年8月24日鞍山市第十四届人民代表大会常务委员会第十八次会议通过  2010年9月29日辽宁省第十一届人民代表大会常务委员会第十九次会议批准）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楷体" w:hAnsi="楷体" w:eastAsia="楷体" w:cs="楷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r>
        <w:rPr>
          <w:rFonts w:hint="eastAsia" w:ascii="楷体" w:hAnsi="楷体" w:eastAsia="楷体" w:cs="楷体"/>
          <w:kern w:val="2"/>
          <w:sz w:val="32"/>
          <w:szCs w:val="32"/>
          <w:lang w:val="en-US" w:eastAsia="zh-CN" w:bidi="ar"/>
        </w:rPr>
        <w:t>目    录</w:t>
      </w:r>
    </w:p>
    <w:p>
      <w:pPr>
        <w:keepNext w:val="0"/>
        <w:keepLines w:val="0"/>
        <w:widowControl w:val="0"/>
        <w:suppressLineNumbers w:val="0"/>
        <w:spacing w:before="0" w:beforeAutospacing="0" w:after="0" w:afterAutospacing="0" w:line="560" w:lineRule="exact"/>
        <w:ind w:left="0" w:right="0" w:firstLine="640" w:firstLineChars="200"/>
        <w:jc w:val="center"/>
        <w:rPr>
          <w:rFonts w:hint="eastAsia" w:ascii="楷体" w:hAnsi="楷体" w:eastAsia="楷体" w:cs="楷体"/>
          <w:kern w:val="2"/>
          <w:sz w:val="32"/>
          <w:szCs w:val="32"/>
          <w:lang w:val="en-US" w:eastAsia="zh-CN" w:bidi="ar"/>
        </w:rPr>
      </w:pPr>
    </w:p>
    <w:p>
      <w:pPr>
        <w:pStyle w:val="10"/>
      </w:pPr>
      <w:r>
        <w:rPr>
          <w:rFonts w:hint="eastAsia"/>
          <w:lang w:val="en-US" w:eastAsia="zh-CN"/>
        </w:rPr>
        <w:fldChar w:fldCharType="begin"/>
      </w:r>
      <w:r>
        <w:rPr>
          <w:rFonts w:hint="eastAsia"/>
          <w:lang w:val="en-US" w:eastAsia="zh-CN"/>
        </w:rPr>
        <w:instrText xml:space="preserve">TOC \o "1-1" \n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_Toc1133 </w:instrText>
      </w:r>
      <w:r>
        <w:rPr>
          <w:rFonts w:hint="eastAsia"/>
          <w:lang w:val="en-US" w:eastAsia="zh-CN"/>
        </w:rPr>
        <w:fldChar w:fldCharType="separate"/>
      </w:r>
      <w:r>
        <w:rPr>
          <w:rFonts w:hint="eastAsia"/>
          <w:lang w:val="en-US" w:eastAsia="zh-CN"/>
        </w:rPr>
        <w:t>第一章  总    则</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_Toc31989 </w:instrText>
      </w:r>
      <w:r>
        <w:rPr>
          <w:rFonts w:hint="eastAsia"/>
          <w:lang w:val="en-US" w:eastAsia="zh-CN"/>
        </w:rPr>
        <w:fldChar w:fldCharType="separate"/>
      </w:r>
      <w:r>
        <w:rPr>
          <w:rFonts w:hint="eastAsia"/>
          <w:lang w:val="en-US" w:eastAsia="zh-CN"/>
        </w:rPr>
        <w:t>第二章  征收管理</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_Toc27639 </w:instrText>
      </w:r>
      <w:r>
        <w:rPr>
          <w:rFonts w:hint="eastAsia"/>
          <w:lang w:val="en-US" w:eastAsia="zh-CN"/>
        </w:rPr>
        <w:fldChar w:fldCharType="separate"/>
      </w:r>
      <w:r>
        <w:rPr>
          <w:rFonts w:hint="eastAsia"/>
          <w:lang w:val="en-US" w:eastAsia="zh-CN"/>
        </w:rPr>
        <w:t>第三章  票据管理</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_Toc30033 </w:instrText>
      </w:r>
      <w:r>
        <w:rPr>
          <w:rFonts w:hint="eastAsia"/>
          <w:lang w:val="en-US" w:eastAsia="zh-CN"/>
        </w:rPr>
        <w:fldChar w:fldCharType="separate"/>
      </w:r>
      <w:r>
        <w:rPr>
          <w:rFonts w:hint="eastAsia"/>
          <w:lang w:val="en-US" w:eastAsia="zh-CN"/>
        </w:rPr>
        <w:t>第四章  监督检查</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_Toc30097 </w:instrText>
      </w:r>
      <w:r>
        <w:rPr>
          <w:rFonts w:hint="eastAsia"/>
          <w:lang w:val="en-US" w:eastAsia="zh-CN"/>
        </w:rPr>
        <w:fldChar w:fldCharType="separate"/>
      </w:r>
      <w:r>
        <w:rPr>
          <w:rFonts w:hint="eastAsia"/>
          <w:lang w:val="en-US" w:eastAsia="zh-CN"/>
        </w:rPr>
        <w:t>第五章  法律责任</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_Toc410 </w:instrText>
      </w:r>
      <w:r>
        <w:rPr>
          <w:rFonts w:hint="eastAsia"/>
          <w:lang w:val="en-US" w:eastAsia="zh-CN"/>
        </w:rPr>
        <w:fldChar w:fldCharType="separate"/>
      </w:r>
      <w:r>
        <w:rPr>
          <w:rFonts w:hint="eastAsia"/>
          <w:lang w:val="en-US" w:eastAsia="zh-CN"/>
        </w:rPr>
        <w:t>第六章  附    则</w:t>
      </w:r>
      <w:r>
        <w:rPr>
          <w:rFonts w:hint="eastAsia"/>
          <w:lang w:val="en-US" w:eastAsia="zh-CN"/>
        </w:rPr>
        <w:fldChar w:fldCharType="end"/>
      </w:r>
    </w:p>
    <w:p>
      <w:pPr>
        <w:pStyle w:val="10"/>
        <w:rPr>
          <w:rFonts w:hint="eastAsia" w:ascii="楷体" w:hAnsi="楷体" w:eastAsia="楷体" w:cs="楷体"/>
          <w:kern w:val="2"/>
          <w:szCs w:val="32"/>
          <w:lang w:val="en-US" w:eastAsia="zh-CN" w:bidi="ar"/>
        </w:rPr>
      </w:pPr>
      <w:r>
        <w:rPr>
          <w:rFonts w:hint="eastAsia"/>
          <w:lang w:val="en-US" w:eastAsia="zh-CN"/>
        </w:rPr>
        <w:fldChar w:fldCharType="end"/>
      </w:r>
    </w:p>
    <w:p>
      <w:pPr>
        <w:pStyle w:val="2"/>
        <w:rPr>
          <w:rFonts w:hint="eastAsia"/>
          <w:lang w:val="en-US"/>
        </w:rPr>
      </w:pPr>
      <w:bookmarkStart w:id="0" w:name="_Toc1133"/>
      <w:r>
        <w:rPr>
          <w:rFonts w:hint="eastAsia"/>
          <w:lang w:val="en-US" w:eastAsia="zh-CN"/>
        </w:rPr>
        <w:t>第一章  总    则</w:t>
      </w:r>
      <w:bookmarkEnd w:id="0"/>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为了规范非税收入管理，优化经济发展环境，增强政府调控和公共服务能力，根据有关法律、法规，结合本市实际，制定本条例。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本条例所称非税收入，是指除税收以外，由各级政府、国家机关、事业单位、代行政府职能的社会团体及其他组织依法利用政府权力、政府信誉、国家资源、国有资产或者提供特定公共服务、准公共服务取得并用于满足社会公共需要或者准公共需要的财政收入。包括下列各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（一）行政事业性收费；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（二）政府性基金；</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（三）国有资源有偿使用收入；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（四）国有资产有偿使用收入；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（五）国有资本经营收益；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（六）彩票公益金；</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（七）罚没收入；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（八）以政府名义接受的捐赠收入；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（九）主管部门集中收入；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（十）政府财政资金产生的利息收入；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（十一）其他非税收入。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社会保险基金、住房公积金不纳入非税收入管理范围。</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第三条 </w:t>
      </w:r>
      <w:r>
        <w:rPr>
          <w:rFonts w:hint="eastAsia" w:ascii="仿宋" w:hAnsi="仿宋" w:eastAsia="仿宋" w:cs="仿宋"/>
          <w:kern w:val="2"/>
          <w:sz w:val="32"/>
          <w:szCs w:val="32"/>
          <w:lang w:val="en-US" w:eastAsia="zh-CN" w:bidi="ar"/>
        </w:rPr>
        <w:t xml:space="preserve"> 本市行政区域内非税收入管理适用本条例。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第四条</w:t>
      </w:r>
      <w:r>
        <w:rPr>
          <w:rFonts w:hint="eastAsia" w:ascii="仿宋" w:hAnsi="仿宋" w:eastAsia="仿宋" w:cs="仿宋"/>
          <w:kern w:val="2"/>
          <w:sz w:val="32"/>
          <w:szCs w:val="32"/>
          <w:lang w:val="en-US" w:eastAsia="zh-CN" w:bidi="ar"/>
        </w:rPr>
        <w:t xml:space="preserve">  市、县（市）区财政部门是非税收入的主管部门，其所属的非税收入管理机构负责具体工作，并对违反本条例的行为实施行政处罚。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市非税收入管理机构负责对县（市）区非税收入管理工作实施监督和指导。</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价格、审计、监察等有关部门按照各自职责，依法做好非税收入的监督工作。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第五条</w:t>
      </w:r>
      <w:r>
        <w:rPr>
          <w:rFonts w:hint="eastAsia" w:ascii="仿宋" w:hAnsi="仿宋" w:eastAsia="仿宋" w:cs="仿宋"/>
          <w:kern w:val="2"/>
          <w:sz w:val="32"/>
          <w:szCs w:val="32"/>
          <w:lang w:val="en-US" w:eastAsia="zh-CN" w:bidi="ar"/>
        </w:rPr>
        <w:t xml:space="preserve">  非税收入是财政收入的组成部分，应当纳入财政预算，实行收支两条线管理。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市、县（市）区人民政府应当建立非税收入征收管理考核制度，依法征收、应收尽收，制止乱收费、乱罚款。对在非税收入管理工作中作出突出贡献的、举报违法问题有功的单位和个人，应当给予表彰、奖励。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1" w:name="_Toc31989"/>
      <w:r>
        <w:rPr>
          <w:rFonts w:hint="eastAsia"/>
          <w:lang w:val="en-US" w:eastAsia="zh-CN"/>
        </w:rPr>
        <w:t>第二章  征收管理</w:t>
      </w:r>
      <w:bookmarkEnd w:id="1"/>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非税收入的设定和征收应当按照法律、法规以及国家、省、市的有关规定执行。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任何单位不得擅自设立非税收入项目，提高或者降低非税收入征收标准。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第八条  </w:t>
      </w:r>
      <w:r>
        <w:rPr>
          <w:rFonts w:hint="eastAsia" w:ascii="仿宋" w:hAnsi="仿宋" w:eastAsia="仿宋" w:cs="仿宋"/>
          <w:kern w:val="2"/>
          <w:sz w:val="32"/>
          <w:szCs w:val="32"/>
          <w:lang w:val="en-US" w:eastAsia="zh-CN" w:bidi="ar"/>
        </w:rPr>
        <w:t>非税收入由法律、法规规定的部门、单位征收；法律、法规未规定征收部门、单位的，由本级非税收入管理机构直接征收，或者委托有关部门、单位征收。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第九条</w:t>
      </w:r>
      <w:r>
        <w:rPr>
          <w:rFonts w:hint="eastAsia" w:ascii="仿宋" w:hAnsi="仿宋" w:eastAsia="仿宋" w:cs="仿宋"/>
          <w:kern w:val="2"/>
          <w:sz w:val="32"/>
          <w:szCs w:val="32"/>
          <w:lang w:val="en-US" w:eastAsia="zh-CN" w:bidi="ar"/>
        </w:rPr>
        <w:t xml:space="preserve">  征收部门、单位和受委托单位（以下统称执收单位），应当到本级非税收入管理机构办理《非税收入征收委托证》，未办理《非税收入征收委托证》的，不得从事征收非税收入行为，未经本级非税收入管理机构同意不得转委托。《非税收入征收委托证》实行年度审验制度，执收单位应当定期到本级非税收入管理机构办理年审手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第十条 </w:t>
      </w:r>
      <w:r>
        <w:rPr>
          <w:rFonts w:hint="eastAsia" w:ascii="仿宋" w:hAnsi="仿宋" w:eastAsia="仿宋" w:cs="仿宋"/>
          <w:kern w:val="2"/>
          <w:sz w:val="32"/>
          <w:szCs w:val="32"/>
          <w:lang w:val="en-US" w:eastAsia="zh-CN" w:bidi="ar"/>
        </w:rPr>
        <w:t xml:space="preserve"> 非税收入管理机构应当编制并向社会公布年度执行的非税收入项目目录。</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执收单位应当在征收场所公示其负责征收的非税收入项目及其依据、对象、范围、标准、期限、程序等信息。</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执收单位应当规范征收行为，加强对执收人员的管理，不得以承包等形式将执收工作交由个人承担。</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非税收入缴纳应当以缴款方式履行，但有下列情形之一的，可以以实物抵费：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（一）缴款义务人因破产、撤并无力以货币形式履行缴费义务的；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（二）当时不收取实物，事后难以收取的；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（三）缴款义务人无资金来源，不能以货币形式缴费的。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以实物抵费的，须经非税收入管理机构审核，报同级人民政府批准，并由执收单位在财政部门指定的拍卖机构对抵费物品进行拍卖，拍卖款项缴入非税收入财政专户。拍卖所得价款不足缴费额的，缴款义务人应当继续履行缴费义务；拍卖所得价款超出缴费额的，执收单位应当将超出款项及时退付缴款义务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第十四条</w:t>
      </w:r>
      <w:r>
        <w:rPr>
          <w:rFonts w:hint="eastAsia" w:ascii="仿宋" w:hAnsi="仿宋" w:eastAsia="仿宋" w:cs="仿宋"/>
          <w:kern w:val="2"/>
          <w:sz w:val="32"/>
          <w:szCs w:val="32"/>
          <w:lang w:val="en-US" w:eastAsia="zh-CN" w:bidi="ar"/>
        </w:rPr>
        <w:t xml:space="preserve">  非税收入实行“单位开票、银行代收、财政统管”的收缴分离制度。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除法律、法规另有规定外，作出罚款决定的执收单位不得当场收取现款。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执收单位当场收取款项的，应当在规定时间内，到财政部门指定的代收银行办理缴款。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第十五条</w:t>
      </w:r>
      <w:r>
        <w:rPr>
          <w:rFonts w:hint="eastAsia" w:ascii="仿宋" w:hAnsi="仿宋" w:eastAsia="仿宋" w:cs="仿宋"/>
          <w:kern w:val="2"/>
          <w:sz w:val="32"/>
          <w:szCs w:val="32"/>
          <w:lang w:val="en-US" w:eastAsia="zh-CN" w:bidi="ar"/>
        </w:rPr>
        <w:t xml:space="preserve">  非税收入管理机构应当在代收银行开设非税收入财政专户，用于归集、记录、核算非税收入款项。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第十六条</w:t>
      </w:r>
      <w:r>
        <w:rPr>
          <w:rFonts w:hint="eastAsia" w:ascii="仿宋" w:hAnsi="仿宋" w:eastAsia="仿宋" w:cs="仿宋"/>
          <w:kern w:val="2"/>
          <w:sz w:val="32"/>
          <w:szCs w:val="32"/>
          <w:lang w:val="en-US" w:eastAsia="zh-CN" w:bidi="ar"/>
        </w:rPr>
        <w:t xml:space="preserve">  执收单位不得将非税收入款项存入非税收入财政专户以外的账户，不得</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隐瞒、截留、坐支、挪用、私分或者变相私分非税收入款项。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xml:space="preserve">  任何单位不得擅自缓征、减征、免征非税收入。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根据有关规定确需缓征、减征、免征非税收入的，应当依法履行审批手续。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第十八条</w:t>
      </w:r>
      <w:r>
        <w:rPr>
          <w:rFonts w:hint="eastAsia" w:ascii="仿宋" w:hAnsi="仿宋" w:eastAsia="仿宋" w:cs="仿宋"/>
          <w:kern w:val="2"/>
          <w:sz w:val="32"/>
          <w:szCs w:val="32"/>
          <w:lang w:val="en-US" w:eastAsia="zh-CN" w:bidi="ar"/>
        </w:rPr>
        <w:t xml:space="preserve">  执收单位对罚没物品应当填写省财政部门印制的罚没物品清单，并建立登记、核收、保管、交接、注销制度。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依法能够变现形成非税收入的罚没物品，执收单位应当自填写罚没物品清单5个工作日内全部上交本级非税收入管理机构，由本级非税收入管理机构按照有关规定处理，并将变现收入上缴非税收入财政专户。其他罚没物品按照国家有关规定处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需要销毁的罚没物品，应当经本级非税收入管理机构审核并现场监督销毁。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第十九条</w:t>
      </w:r>
      <w:r>
        <w:rPr>
          <w:rFonts w:hint="eastAsia" w:ascii="仿宋" w:hAnsi="仿宋" w:eastAsia="仿宋" w:cs="仿宋"/>
          <w:kern w:val="2"/>
          <w:sz w:val="32"/>
          <w:szCs w:val="32"/>
          <w:lang w:val="en-US" w:eastAsia="zh-CN" w:bidi="ar"/>
        </w:rPr>
        <w:t xml:space="preserve">  执收单位应当在规定时间内向财政部门报送本单位年度非税收入征收计划，并同时抄送本级非税收入管理机构。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任何部门和单位不得下达或者变相下达罚没收入指标。</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第二十条</w:t>
      </w:r>
      <w:r>
        <w:rPr>
          <w:rFonts w:hint="eastAsia" w:ascii="仿宋" w:hAnsi="仿宋" w:eastAsia="仿宋" w:cs="仿宋"/>
          <w:kern w:val="2"/>
          <w:sz w:val="32"/>
          <w:szCs w:val="32"/>
          <w:lang w:val="en-US" w:eastAsia="zh-CN" w:bidi="ar"/>
        </w:rPr>
        <w:t xml:space="preserve">  按照国家和省规定实行分成结算的非税收入，由本级非税收入管理机构按照规定的分成比例通过非税收入财政专户定期划解、结算。</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执收单位不得以任何形式将非税收入款项直接上解其上级执收单位或者拨付其下级执收单位。</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第二十一条</w:t>
      </w:r>
      <w:r>
        <w:rPr>
          <w:rFonts w:hint="eastAsia" w:ascii="仿宋" w:hAnsi="仿宋" w:eastAsia="仿宋" w:cs="仿宋"/>
          <w:kern w:val="2"/>
          <w:sz w:val="32"/>
          <w:szCs w:val="32"/>
          <w:lang w:val="en-US" w:eastAsia="zh-CN" w:bidi="ar"/>
        </w:rPr>
        <w:t xml:space="preserve">  缴入非税收入财政专户的资金符合下列条件之一的，经本级非税收入管理机构审核确认后，由执收单位按照非税收入管理机构确定的数额、时限退付缴款义务人：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（一）因调整非税收入征收项目或者标准需要退付已收款项的；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（二）经依法确认属于误缴误征、多缴多征的；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（三）符合其他退付条件的。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2" w:name="_Toc27639"/>
      <w:r>
        <w:rPr>
          <w:rFonts w:hint="eastAsia"/>
          <w:lang w:val="en-US" w:eastAsia="zh-CN"/>
        </w:rPr>
        <w:t>第三章  票据管理</w:t>
      </w:r>
      <w:bookmarkEnd w:id="2"/>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第二十二条</w:t>
      </w:r>
      <w:r>
        <w:rPr>
          <w:rFonts w:hint="eastAsia" w:ascii="仿宋" w:hAnsi="仿宋" w:eastAsia="仿宋" w:cs="仿宋"/>
          <w:kern w:val="2"/>
          <w:sz w:val="32"/>
          <w:szCs w:val="32"/>
          <w:lang w:val="en-US" w:eastAsia="zh-CN" w:bidi="ar"/>
        </w:rPr>
        <w:t xml:space="preserve">  非税收入管理机构应当依法建立健全非税收入票据管理制度，统一管理非税收入票据，做好非税收入票据的保管、发放、使用、核销、销毁等管理工作。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第二十三条</w:t>
      </w:r>
      <w:r>
        <w:rPr>
          <w:rFonts w:hint="eastAsia" w:ascii="仿宋" w:hAnsi="仿宋" w:eastAsia="仿宋" w:cs="仿宋"/>
          <w:kern w:val="2"/>
          <w:sz w:val="32"/>
          <w:szCs w:val="32"/>
          <w:lang w:val="en-US" w:eastAsia="zh-CN" w:bidi="ar"/>
        </w:rPr>
        <w:t xml:space="preserve">  执收单位凭《非税收入征收委托证》到本级非税收入管理机构申领或者购领非税收入票据。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执收单位应当建立健全非税收入票据领用、保管和审核等工作制度，并指定专人负责管理，保证票据安全。遗失非税收入票据的，应当及时书面报告本级非税收入管理机构，并公告作废。</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第二十四条 </w:t>
      </w:r>
      <w:r>
        <w:rPr>
          <w:rFonts w:hint="eastAsia" w:ascii="仿宋" w:hAnsi="仿宋" w:eastAsia="仿宋" w:cs="仿宋"/>
          <w:kern w:val="2"/>
          <w:sz w:val="32"/>
          <w:szCs w:val="32"/>
          <w:lang w:val="en-US" w:eastAsia="zh-CN" w:bidi="ar"/>
        </w:rPr>
        <w:t xml:space="preserve"> 执收单位征收非税收入，应当向缴款义务人出具省财政部门印制的非税收入票据。不出具规定票据的，缴款义务人有权拒绝缴款。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第二十五条 </w:t>
      </w:r>
      <w:r>
        <w:rPr>
          <w:rFonts w:hint="eastAsia" w:ascii="仿宋" w:hAnsi="仿宋" w:eastAsia="仿宋" w:cs="仿宋"/>
          <w:kern w:val="2"/>
          <w:sz w:val="32"/>
          <w:szCs w:val="32"/>
          <w:lang w:val="en-US" w:eastAsia="zh-CN" w:bidi="ar"/>
        </w:rPr>
        <w:t xml:space="preserve"> 禁止下列违反票据管理的行为：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（一）违反规定印制非税收入票据；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（二）转借、串用、代开非税收入票据；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（三）伪造、变造、买卖、擅自销毁非税收入票据；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（四）伪造、使用伪造的非税收入票据监（印）制章；</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（五）其他违反非税收入票据管理规定的行为。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3" w:name="_Toc30033"/>
      <w:r>
        <w:rPr>
          <w:rFonts w:hint="eastAsia"/>
          <w:lang w:val="en-US" w:eastAsia="zh-CN"/>
        </w:rPr>
        <w:t>第四章  监督检查</w:t>
      </w:r>
      <w:bookmarkEnd w:id="3"/>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第二十六条  </w:t>
      </w:r>
      <w:r>
        <w:rPr>
          <w:rFonts w:hint="eastAsia" w:ascii="仿宋" w:hAnsi="仿宋" w:eastAsia="仿宋" w:cs="仿宋"/>
          <w:kern w:val="2"/>
          <w:sz w:val="32"/>
          <w:szCs w:val="32"/>
          <w:lang w:val="en-US" w:eastAsia="zh-CN" w:bidi="ar"/>
        </w:rPr>
        <w:t>财政部门应当加强项目管理、票据管理、资金管理等工作的监督，对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本级非税收入管理机构开展非税收入管理具体工作以及实施行政处罚的情况进行考核，发现违法违规行为，及时予以处理。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第二十七条</w:t>
      </w:r>
      <w:r>
        <w:rPr>
          <w:rFonts w:hint="eastAsia" w:ascii="仿宋" w:hAnsi="仿宋" w:eastAsia="仿宋" w:cs="仿宋"/>
          <w:kern w:val="2"/>
          <w:sz w:val="32"/>
          <w:szCs w:val="32"/>
          <w:lang w:val="en-US" w:eastAsia="zh-CN" w:bidi="ar"/>
        </w:rPr>
        <w:t xml:space="preserve">  非税收入管理机构应当建立健全非税收入监督管理制度，依法开展非税收入日常监督、专项检查和年度稽查，在职权范围内对非税收入违法违规行为作出处理、处罚决定。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第二十八条 </w:t>
      </w:r>
      <w:r>
        <w:rPr>
          <w:rFonts w:hint="eastAsia" w:ascii="仿宋" w:hAnsi="仿宋" w:eastAsia="仿宋" w:cs="仿宋"/>
          <w:kern w:val="2"/>
          <w:sz w:val="32"/>
          <w:szCs w:val="32"/>
          <w:lang w:val="en-US" w:eastAsia="zh-CN" w:bidi="ar"/>
        </w:rPr>
        <w:t xml:space="preserve"> 非税收入管理机构应当利用广播、电视、报纸、网络等媒体向社会公开非税收入管理工作相关的法律、法规和政策，接受社会监督。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第二十九条  </w:t>
      </w:r>
      <w:r>
        <w:rPr>
          <w:rFonts w:hint="eastAsia" w:ascii="仿宋" w:hAnsi="仿宋" w:eastAsia="仿宋" w:cs="仿宋"/>
          <w:kern w:val="2"/>
          <w:sz w:val="32"/>
          <w:szCs w:val="32"/>
          <w:lang w:val="en-US" w:eastAsia="zh-CN" w:bidi="ar"/>
        </w:rPr>
        <w:t>执收单位应当建立健全有关非税收入的内部财务审计制度，自觉接受非税收入管理机构和有关部门的监督检查，如实提供账册、报表、票据等有关资料，不得拒绝、阻碍监督、检查。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第三十条</w:t>
      </w:r>
      <w:r>
        <w:rPr>
          <w:rFonts w:hint="eastAsia" w:ascii="仿宋" w:hAnsi="仿宋" w:eastAsia="仿宋" w:cs="仿宋"/>
          <w:kern w:val="2"/>
          <w:sz w:val="32"/>
          <w:szCs w:val="32"/>
          <w:lang w:val="en-US" w:eastAsia="zh-CN" w:bidi="ar"/>
        </w:rPr>
        <w:t xml:space="preserve">  任何单位和个人有权监督和举报非税收入征收管理工作中的违法违规行为。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财政部门及其非税收入管理机构应当设立投诉、举报受理电话，接受对违反非税收入管理规定行为的投诉、举报，并对投诉、举报属实的问题及时予以答复和处理。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4" w:name="_Toc30097"/>
      <w:r>
        <w:rPr>
          <w:rFonts w:hint="eastAsia"/>
          <w:lang w:val="en-US" w:eastAsia="zh-CN"/>
        </w:rPr>
        <w:t>第五章  法律责任</w:t>
      </w:r>
      <w:bookmarkEnd w:id="4"/>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第三十一条</w:t>
      </w:r>
      <w:r>
        <w:rPr>
          <w:rFonts w:hint="eastAsia" w:ascii="仿宋" w:hAnsi="仿宋" w:eastAsia="仿宋" w:cs="仿宋"/>
          <w:kern w:val="2"/>
          <w:sz w:val="32"/>
          <w:szCs w:val="32"/>
          <w:lang w:val="en-US" w:eastAsia="zh-CN" w:bidi="ar"/>
        </w:rPr>
        <w:t xml:space="preserve">  违反本条例第十八条第二款规定，未在规定期限内上交罚没物品的，由非税收入管理机构责令限期改正；逾期未改的，处以2万元罚款。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第三十二条</w:t>
      </w:r>
      <w:r>
        <w:rPr>
          <w:rFonts w:hint="eastAsia" w:ascii="仿宋" w:hAnsi="仿宋" w:eastAsia="仿宋" w:cs="仿宋"/>
          <w:kern w:val="2"/>
          <w:sz w:val="32"/>
          <w:szCs w:val="32"/>
          <w:lang w:val="en-US" w:eastAsia="zh-CN" w:bidi="ar"/>
        </w:rPr>
        <w:t xml:space="preserve">  违反本条例第二十五条规定，有违反票据管理规定行为之一的，由非税收入管理机构销毁非法印制的票据，没收违法所得和作案工具。对单位处以5000元以上10万元以下的罚款；对直接负责的主管人员和其他直接责任人员处以3000元以上5万元以下的罚款。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第三十三条 </w:t>
      </w:r>
      <w:r>
        <w:rPr>
          <w:rFonts w:hint="eastAsia" w:ascii="仿宋" w:hAnsi="仿宋" w:eastAsia="仿宋" w:cs="仿宋"/>
          <w:kern w:val="2"/>
          <w:sz w:val="32"/>
          <w:szCs w:val="32"/>
          <w:lang w:val="en-US" w:eastAsia="zh-CN" w:bidi="ar"/>
        </w:rPr>
        <w:t xml:space="preserve"> 违反本条例规定，执收单位及其工作人员有下列违法行为之一的，由财政、审计、监察等部门责令改正，补收应当收取的非税收入，限期退还违法所得；对单位给予警告或者通报批评；对直接负责的主管人员和其他直接责任人员给予警告、记过或者记大过处分；情节严重的，给予降级或者撤职处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（一）未在征收场所公示负责征收的非税收入项目及其依据、对象、范围、标准、期限、程序等信息的；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（二）擅自允许缴款义务人以实物抵费的；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（三）当场收取款项未在规定时间内到代收银行办理缴款的；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（四）将非税收入资金直接上解其上级执收单位或者拨付其下级执收单位的；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（五）未如实提供账册、报表、票据等有关资料，拒绝、阻碍监督、检查的；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（六）将非税收入征收工作以承包等形式交由个人承担的；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（七）擅自缓征、减征、免征非税收入的；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（八）擅自设立非税收入项目、擅自改变非税收入征收标准的；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（九）隐瞒、截留、坐支、挪用、私分或者变相私分非税收入款项的。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第三十四条</w:t>
      </w:r>
      <w:r>
        <w:rPr>
          <w:rFonts w:hint="eastAsia" w:ascii="仿宋" w:hAnsi="仿宋" w:eastAsia="仿宋" w:cs="仿宋"/>
          <w:kern w:val="2"/>
          <w:sz w:val="32"/>
          <w:szCs w:val="32"/>
          <w:lang w:val="en-US" w:eastAsia="zh-CN" w:bidi="ar"/>
        </w:rPr>
        <w:t xml:space="preserve">  财政部门、非税收入管理机构和其他有关部门工作人员在非税收入监督管理工作中，有下列行为之一的，由所在单位或者上级主管部门依法给予行政处分；构成犯罪的，依法追究刑事责任：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（一）以行政处罚代替纠正违法行为的；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（二）从非税收入监督管理工作中获得非法利益的；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（三）包庇或者纵容违反非税收入管理行为的；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（四）打击、陷害或者报复举报人的；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（五）有其他徇私舞弊、滥用职权、玩忽职守行为的。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5" w:name="_Toc410"/>
      <w:r>
        <w:rPr>
          <w:rFonts w:hint="eastAsia"/>
          <w:lang w:val="en-US" w:eastAsia="zh-CN"/>
        </w:rPr>
        <w:t>第六章  附    则</w:t>
      </w:r>
      <w:bookmarkEnd w:id="5"/>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第三十五条</w:t>
      </w:r>
      <w:r>
        <w:rPr>
          <w:rFonts w:hint="eastAsia" w:ascii="仿宋" w:hAnsi="仿宋" w:eastAsia="仿宋" w:cs="仿宋"/>
          <w:kern w:val="2"/>
          <w:sz w:val="32"/>
          <w:szCs w:val="32"/>
          <w:lang w:val="en-US" w:eastAsia="zh-CN" w:bidi="ar"/>
        </w:rPr>
        <w:t xml:space="preserve">  本条例自2011年1月1日起施行。《鞍山市行政事业性收费管理条例》、《鞍山市罚款没收财物管理条例》和《鞍山市基金管理条例》同时废止。</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8360F"/>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119FC"/>
    <w:rsid w:val="02590758"/>
    <w:rsid w:val="026057B5"/>
    <w:rsid w:val="02706198"/>
    <w:rsid w:val="02BB10C4"/>
    <w:rsid w:val="02E335AF"/>
    <w:rsid w:val="034E4A22"/>
    <w:rsid w:val="037173F5"/>
    <w:rsid w:val="03984AE4"/>
    <w:rsid w:val="03E059D2"/>
    <w:rsid w:val="045007C8"/>
    <w:rsid w:val="04621BE5"/>
    <w:rsid w:val="046B7EF9"/>
    <w:rsid w:val="047562DE"/>
    <w:rsid w:val="04900C53"/>
    <w:rsid w:val="049722EE"/>
    <w:rsid w:val="04A15D3B"/>
    <w:rsid w:val="051A30BF"/>
    <w:rsid w:val="051B4077"/>
    <w:rsid w:val="052B53F4"/>
    <w:rsid w:val="053068BE"/>
    <w:rsid w:val="057C7341"/>
    <w:rsid w:val="05A91768"/>
    <w:rsid w:val="05BD73DC"/>
    <w:rsid w:val="05BF1B24"/>
    <w:rsid w:val="05DE22D0"/>
    <w:rsid w:val="05E10080"/>
    <w:rsid w:val="05F9677C"/>
    <w:rsid w:val="061B56B0"/>
    <w:rsid w:val="062F3584"/>
    <w:rsid w:val="06611DC8"/>
    <w:rsid w:val="066A7E49"/>
    <w:rsid w:val="06742669"/>
    <w:rsid w:val="068F1C88"/>
    <w:rsid w:val="06977847"/>
    <w:rsid w:val="06A52A2F"/>
    <w:rsid w:val="06BB1A3E"/>
    <w:rsid w:val="06D27684"/>
    <w:rsid w:val="06E1440D"/>
    <w:rsid w:val="06E9451C"/>
    <w:rsid w:val="06F47A3E"/>
    <w:rsid w:val="06FE4C7B"/>
    <w:rsid w:val="070E41BB"/>
    <w:rsid w:val="074F777F"/>
    <w:rsid w:val="07670C6A"/>
    <w:rsid w:val="076C2C7E"/>
    <w:rsid w:val="078F3005"/>
    <w:rsid w:val="07C07012"/>
    <w:rsid w:val="07C466F9"/>
    <w:rsid w:val="07F10DC0"/>
    <w:rsid w:val="07FE6FB6"/>
    <w:rsid w:val="08031E69"/>
    <w:rsid w:val="080D3997"/>
    <w:rsid w:val="08241A15"/>
    <w:rsid w:val="082A37BE"/>
    <w:rsid w:val="08355216"/>
    <w:rsid w:val="08834317"/>
    <w:rsid w:val="08935BC4"/>
    <w:rsid w:val="08B11146"/>
    <w:rsid w:val="08BC659E"/>
    <w:rsid w:val="08E64EDB"/>
    <w:rsid w:val="08F76E4E"/>
    <w:rsid w:val="091A30CD"/>
    <w:rsid w:val="09303886"/>
    <w:rsid w:val="094E2166"/>
    <w:rsid w:val="09545708"/>
    <w:rsid w:val="09B537A1"/>
    <w:rsid w:val="09D13761"/>
    <w:rsid w:val="0A814961"/>
    <w:rsid w:val="0A8C3D2E"/>
    <w:rsid w:val="0A8F66BA"/>
    <w:rsid w:val="0AAD4A9B"/>
    <w:rsid w:val="0AF62434"/>
    <w:rsid w:val="0B183D49"/>
    <w:rsid w:val="0B201CF0"/>
    <w:rsid w:val="0B2B11EE"/>
    <w:rsid w:val="0B4724B0"/>
    <w:rsid w:val="0B495601"/>
    <w:rsid w:val="0B5331CB"/>
    <w:rsid w:val="0B72272F"/>
    <w:rsid w:val="0BAC149A"/>
    <w:rsid w:val="0C320844"/>
    <w:rsid w:val="0C58755E"/>
    <w:rsid w:val="0C694B60"/>
    <w:rsid w:val="0C6E62A7"/>
    <w:rsid w:val="0C8669B2"/>
    <w:rsid w:val="0CAD576F"/>
    <w:rsid w:val="0CCF55A7"/>
    <w:rsid w:val="0CF668DE"/>
    <w:rsid w:val="0D350561"/>
    <w:rsid w:val="0D495165"/>
    <w:rsid w:val="0D516708"/>
    <w:rsid w:val="0D6A32B8"/>
    <w:rsid w:val="0D6B458F"/>
    <w:rsid w:val="0D705D65"/>
    <w:rsid w:val="0D970C3A"/>
    <w:rsid w:val="0D9859EA"/>
    <w:rsid w:val="0DD00CEA"/>
    <w:rsid w:val="0DD81319"/>
    <w:rsid w:val="0DDF6E30"/>
    <w:rsid w:val="0DE04D9C"/>
    <w:rsid w:val="0DEC1656"/>
    <w:rsid w:val="0E8E339D"/>
    <w:rsid w:val="0ECE5B29"/>
    <w:rsid w:val="0ED20DE6"/>
    <w:rsid w:val="0EDC6B1D"/>
    <w:rsid w:val="0EF8458F"/>
    <w:rsid w:val="0F0732D8"/>
    <w:rsid w:val="0F1A630E"/>
    <w:rsid w:val="0F2A4A63"/>
    <w:rsid w:val="0F79795F"/>
    <w:rsid w:val="0FDF3217"/>
    <w:rsid w:val="0FE52072"/>
    <w:rsid w:val="0FE65D02"/>
    <w:rsid w:val="101843A9"/>
    <w:rsid w:val="10627B38"/>
    <w:rsid w:val="107D7905"/>
    <w:rsid w:val="10836A79"/>
    <w:rsid w:val="10A646F2"/>
    <w:rsid w:val="10AA08E6"/>
    <w:rsid w:val="10BE7415"/>
    <w:rsid w:val="10C843FE"/>
    <w:rsid w:val="10F055B0"/>
    <w:rsid w:val="10FE2814"/>
    <w:rsid w:val="111E465C"/>
    <w:rsid w:val="113A565D"/>
    <w:rsid w:val="11574863"/>
    <w:rsid w:val="11A3282F"/>
    <w:rsid w:val="11BF194F"/>
    <w:rsid w:val="11CB0B43"/>
    <w:rsid w:val="11E526F8"/>
    <w:rsid w:val="11E564DB"/>
    <w:rsid w:val="12032FD1"/>
    <w:rsid w:val="120E7A00"/>
    <w:rsid w:val="121823E8"/>
    <w:rsid w:val="12270893"/>
    <w:rsid w:val="12501663"/>
    <w:rsid w:val="12511DE2"/>
    <w:rsid w:val="12921963"/>
    <w:rsid w:val="12976BF4"/>
    <w:rsid w:val="12F706F7"/>
    <w:rsid w:val="12FB32D9"/>
    <w:rsid w:val="131D114D"/>
    <w:rsid w:val="1348444C"/>
    <w:rsid w:val="13675AF7"/>
    <w:rsid w:val="13881CB2"/>
    <w:rsid w:val="13AF0DB0"/>
    <w:rsid w:val="13B84C12"/>
    <w:rsid w:val="13BF0201"/>
    <w:rsid w:val="13CF5E7E"/>
    <w:rsid w:val="13D6470E"/>
    <w:rsid w:val="14023069"/>
    <w:rsid w:val="14093F1B"/>
    <w:rsid w:val="140E03CB"/>
    <w:rsid w:val="14144223"/>
    <w:rsid w:val="14150597"/>
    <w:rsid w:val="14572D96"/>
    <w:rsid w:val="145936C5"/>
    <w:rsid w:val="14725DF3"/>
    <w:rsid w:val="14BA20EB"/>
    <w:rsid w:val="14C7106E"/>
    <w:rsid w:val="14E4537D"/>
    <w:rsid w:val="14FB057E"/>
    <w:rsid w:val="15046010"/>
    <w:rsid w:val="1512325B"/>
    <w:rsid w:val="152A714F"/>
    <w:rsid w:val="155916EE"/>
    <w:rsid w:val="15642EBA"/>
    <w:rsid w:val="15687072"/>
    <w:rsid w:val="156A2CF3"/>
    <w:rsid w:val="156D2257"/>
    <w:rsid w:val="156E041E"/>
    <w:rsid w:val="157F541E"/>
    <w:rsid w:val="15883D87"/>
    <w:rsid w:val="158A4D68"/>
    <w:rsid w:val="15952888"/>
    <w:rsid w:val="15A23DE4"/>
    <w:rsid w:val="15AE338E"/>
    <w:rsid w:val="15CA402E"/>
    <w:rsid w:val="15D26080"/>
    <w:rsid w:val="160C6692"/>
    <w:rsid w:val="163C18B2"/>
    <w:rsid w:val="166F2CEE"/>
    <w:rsid w:val="168439B6"/>
    <w:rsid w:val="168738C3"/>
    <w:rsid w:val="168C6C88"/>
    <w:rsid w:val="169C4C1E"/>
    <w:rsid w:val="16DE4F0A"/>
    <w:rsid w:val="17072161"/>
    <w:rsid w:val="171D4256"/>
    <w:rsid w:val="17305B1F"/>
    <w:rsid w:val="177C1231"/>
    <w:rsid w:val="1829607D"/>
    <w:rsid w:val="185D3EB2"/>
    <w:rsid w:val="18AD19C0"/>
    <w:rsid w:val="18F97311"/>
    <w:rsid w:val="19025465"/>
    <w:rsid w:val="192201FD"/>
    <w:rsid w:val="1930599F"/>
    <w:rsid w:val="19380A12"/>
    <w:rsid w:val="194467B3"/>
    <w:rsid w:val="194739B0"/>
    <w:rsid w:val="194E1DDE"/>
    <w:rsid w:val="19A9569B"/>
    <w:rsid w:val="19AE2C34"/>
    <w:rsid w:val="19BE4516"/>
    <w:rsid w:val="19C8553A"/>
    <w:rsid w:val="19EF167F"/>
    <w:rsid w:val="1A017312"/>
    <w:rsid w:val="1A06776F"/>
    <w:rsid w:val="1A0B1E27"/>
    <w:rsid w:val="1A21204B"/>
    <w:rsid w:val="1A234E77"/>
    <w:rsid w:val="1A2C240B"/>
    <w:rsid w:val="1A345DA6"/>
    <w:rsid w:val="1A415ACB"/>
    <w:rsid w:val="1A513FF9"/>
    <w:rsid w:val="1A74173A"/>
    <w:rsid w:val="1AA17ABC"/>
    <w:rsid w:val="1ACC509D"/>
    <w:rsid w:val="1ADB0DA2"/>
    <w:rsid w:val="1B06088A"/>
    <w:rsid w:val="1B0D7285"/>
    <w:rsid w:val="1B220777"/>
    <w:rsid w:val="1B2F77E9"/>
    <w:rsid w:val="1B551F9C"/>
    <w:rsid w:val="1B574B73"/>
    <w:rsid w:val="1B676744"/>
    <w:rsid w:val="1B6E7320"/>
    <w:rsid w:val="1B944026"/>
    <w:rsid w:val="1BC13337"/>
    <w:rsid w:val="1BF6420E"/>
    <w:rsid w:val="1C367E97"/>
    <w:rsid w:val="1C3E231F"/>
    <w:rsid w:val="1C5E3770"/>
    <w:rsid w:val="1C5F71DC"/>
    <w:rsid w:val="1C625228"/>
    <w:rsid w:val="1C6540F3"/>
    <w:rsid w:val="1CAC6918"/>
    <w:rsid w:val="1CB53191"/>
    <w:rsid w:val="1CD220F0"/>
    <w:rsid w:val="1CEB540E"/>
    <w:rsid w:val="1D5E4B71"/>
    <w:rsid w:val="1D7C1444"/>
    <w:rsid w:val="1DFF5892"/>
    <w:rsid w:val="1E1B06B9"/>
    <w:rsid w:val="1E6C6F86"/>
    <w:rsid w:val="1E6F4DD0"/>
    <w:rsid w:val="1EBF613B"/>
    <w:rsid w:val="1EC36185"/>
    <w:rsid w:val="1ECB1820"/>
    <w:rsid w:val="1ED42985"/>
    <w:rsid w:val="1F066F3C"/>
    <w:rsid w:val="1F435EC9"/>
    <w:rsid w:val="1F503903"/>
    <w:rsid w:val="1F786767"/>
    <w:rsid w:val="1FA4765D"/>
    <w:rsid w:val="1FB16189"/>
    <w:rsid w:val="1FCF4B1D"/>
    <w:rsid w:val="1FD646DD"/>
    <w:rsid w:val="1FE2166B"/>
    <w:rsid w:val="201D7FEC"/>
    <w:rsid w:val="20263347"/>
    <w:rsid w:val="20357325"/>
    <w:rsid w:val="20416678"/>
    <w:rsid w:val="204C24C3"/>
    <w:rsid w:val="205160B2"/>
    <w:rsid w:val="2066457B"/>
    <w:rsid w:val="20702194"/>
    <w:rsid w:val="20836BD8"/>
    <w:rsid w:val="209E68F7"/>
    <w:rsid w:val="20D005C2"/>
    <w:rsid w:val="21553C7F"/>
    <w:rsid w:val="2196289F"/>
    <w:rsid w:val="21B46EA8"/>
    <w:rsid w:val="21E06AFD"/>
    <w:rsid w:val="21EB4141"/>
    <w:rsid w:val="21F552AA"/>
    <w:rsid w:val="220E3ECE"/>
    <w:rsid w:val="222D2EDD"/>
    <w:rsid w:val="22320694"/>
    <w:rsid w:val="22765CA7"/>
    <w:rsid w:val="228E1A7C"/>
    <w:rsid w:val="22941ED8"/>
    <w:rsid w:val="22FD42DA"/>
    <w:rsid w:val="23087A91"/>
    <w:rsid w:val="23471EE9"/>
    <w:rsid w:val="2352717F"/>
    <w:rsid w:val="23621009"/>
    <w:rsid w:val="23660A05"/>
    <w:rsid w:val="237041E3"/>
    <w:rsid w:val="237431B0"/>
    <w:rsid w:val="23876B4F"/>
    <w:rsid w:val="239A7398"/>
    <w:rsid w:val="242068A3"/>
    <w:rsid w:val="245C61A7"/>
    <w:rsid w:val="24633C82"/>
    <w:rsid w:val="247316FD"/>
    <w:rsid w:val="24887EA6"/>
    <w:rsid w:val="248A17D3"/>
    <w:rsid w:val="249204FC"/>
    <w:rsid w:val="24A5050B"/>
    <w:rsid w:val="24C83D3A"/>
    <w:rsid w:val="24D25A92"/>
    <w:rsid w:val="24DE5DC5"/>
    <w:rsid w:val="251353A8"/>
    <w:rsid w:val="25865479"/>
    <w:rsid w:val="259B1E7E"/>
    <w:rsid w:val="25A97E94"/>
    <w:rsid w:val="261B3B07"/>
    <w:rsid w:val="265018D5"/>
    <w:rsid w:val="265165AD"/>
    <w:rsid w:val="268F05CC"/>
    <w:rsid w:val="26AD20A2"/>
    <w:rsid w:val="26C61BA8"/>
    <w:rsid w:val="27411DBA"/>
    <w:rsid w:val="27544B9D"/>
    <w:rsid w:val="2770139F"/>
    <w:rsid w:val="277D11D6"/>
    <w:rsid w:val="27B71403"/>
    <w:rsid w:val="28144C54"/>
    <w:rsid w:val="284A4E31"/>
    <w:rsid w:val="28505BE9"/>
    <w:rsid w:val="2859370C"/>
    <w:rsid w:val="28803835"/>
    <w:rsid w:val="28AD7753"/>
    <w:rsid w:val="28CC55C8"/>
    <w:rsid w:val="28DC0C88"/>
    <w:rsid w:val="29070618"/>
    <w:rsid w:val="29770C01"/>
    <w:rsid w:val="29E66142"/>
    <w:rsid w:val="2A024F82"/>
    <w:rsid w:val="2A162E6E"/>
    <w:rsid w:val="2A251D94"/>
    <w:rsid w:val="2A5D5C10"/>
    <w:rsid w:val="2A76755E"/>
    <w:rsid w:val="2A7D5117"/>
    <w:rsid w:val="2AB252CF"/>
    <w:rsid w:val="2ADF3094"/>
    <w:rsid w:val="2B21610A"/>
    <w:rsid w:val="2B2E0921"/>
    <w:rsid w:val="2B387BF0"/>
    <w:rsid w:val="2B4A014F"/>
    <w:rsid w:val="2B6C5A5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24654"/>
    <w:rsid w:val="2CF6672E"/>
    <w:rsid w:val="2D1C3B68"/>
    <w:rsid w:val="2D2229B2"/>
    <w:rsid w:val="2D56073B"/>
    <w:rsid w:val="2D89799F"/>
    <w:rsid w:val="2DA962AC"/>
    <w:rsid w:val="2DEB50E8"/>
    <w:rsid w:val="2DED3F13"/>
    <w:rsid w:val="2E2B3406"/>
    <w:rsid w:val="2E4A7336"/>
    <w:rsid w:val="2E4A7B35"/>
    <w:rsid w:val="2E4E5033"/>
    <w:rsid w:val="2E6B578C"/>
    <w:rsid w:val="2EE372C3"/>
    <w:rsid w:val="2EEB4AED"/>
    <w:rsid w:val="2F1A1FC9"/>
    <w:rsid w:val="2F8C6908"/>
    <w:rsid w:val="2F943E4B"/>
    <w:rsid w:val="2FC7793C"/>
    <w:rsid w:val="2FF2314C"/>
    <w:rsid w:val="2FFB0F18"/>
    <w:rsid w:val="300D3841"/>
    <w:rsid w:val="3024185D"/>
    <w:rsid w:val="30413FCE"/>
    <w:rsid w:val="304A1A07"/>
    <w:rsid w:val="30617443"/>
    <w:rsid w:val="30B803EA"/>
    <w:rsid w:val="30C5468C"/>
    <w:rsid w:val="310A600B"/>
    <w:rsid w:val="31394B6D"/>
    <w:rsid w:val="31551730"/>
    <w:rsid w:val="318F3095"/>
    <w:rsid w:val="31D234F3"/>
    <w:rsid w:val="321F669A"/>
    <w:rsid w:val="322054E2"/>
    <w:rsid w:val="32696861"/>
    <w:rsid w:val="326C7A3A"/>
    <w:rsid w:val="32FD4595"/>
    <w:rsid w:val="33040922"/>
    <w:rsid w:val="33146930"/>
    <w:rsid w:val="334B77F9"/>
    <w:rsid w:val="335B5D3E"/>
    <w:rsid w:val="335D2947"/>
    <w:rsid w:val="3366636F"/>
    <w:rsid w:val="33907B65"/>
    <w:rsid w:val="33B15E67"/>
    <w:rsid w:val="33B77020"/>
    <w:rsid w:val="340269D0"/>
    <w:rsid w:val="342577F2"/>
    <w:rsid w:val="34412505"/>
    <w:rsid w:val="345A10EB"/>
    <w:rsid w:val="349174EF"/>
    <w:rsid w:val="34D53C58"/>
    <w:rsid w:val="350202EE"/>
    <w:rsid w:val="350D0E7D"/>
    <w:rsid w:val="353D501C"/>
    <w:rsid w:val="35687CE4"/>
    <w:rsid w:val="356B2B08"/>
    <w:rsid w:val="356C67F4"/>
    <w:rsid w:val="35F641ED"/>
    <w:rsid w:val="362C35A8"/>
    <w:rsid w:val="363B2896"/>
    <w:rsid w:val="364F58B6"/>
    <w:rsid w:val="3681181F"/>
    <w:rsid w:val="36911E77"/>
    <w:rsid w:val="36932EDB"/>
    <w:rsid w:val="36B46682"/>
    <w:rsid w:val="36E567E2"/>
    <w:rsid w:val="371B3C0C"/>
    <w:rsid w:val="37620260"/>
    <w:rsid w:val="3764581F"/>
    <w:rsid w:val="37A72B8A"/>
    <w:rsid w:val="37AD74D3"/>
    <w:rsid w:val="37BA5750"/>
    <w:rsid w:val="37CD16BE"/>
    <w:rsid w:val="37E9301C"/>
    <w:rsid w:val="38114365"/>
    <w:rsid w:val="38C01169"/>
    <w:rsid w:val="38C0367A"/>
    <w:rsid w:val="38D67C8C"/>
    <w:rsid w:val="38F47BC9"/>
    <w:rsid w:val="39023EF6"/>
    <w:rsid w:val="39256A34"/>
    <w:rsid w:val="39353471"/>
    <w:rsid w:val="39401552"/>
    <w:rsid w:val="396534FD"/>
    <w:rsid w:val="39877ADA"/>
    <w:rsid w:val="39AD746C"/>
    <w:rsid w:val="39C27E4A"/>
    <w:rsid w:val="39CE6967"/>
    <w:rsid w:val="39DF650B"/>
    <w:rsid w:val="39EA2C12"/>
    <w:rsid w:val="3A144156"/>
    <w:rsid w:val="3A175EE4"/>
    <w:rsid w:val="3A3502DB"/>
    <w:rsid w:val="3A7A48F4"/>
    <w:rsid w:val="3A9D7607"/>
    <w:rsid w:val="3AA724BE"/>
    <w:rsid w:val="3B113C56"/>
    <w:rsid w:val="3B166EF3"/>
    <w:rsid w:val="3B2A1697"/>
    <w:rsid w:val="3B357729"/>
    <w:rsid w:val="3B5703E6"/>
    <w:rsid w:val="3B6303A3"/>
    <w:rsid w:val="3B970652"/>
    <w:rsid w:val="3BF6496C"/>
    <w:rsid w:val="3C1057D6"/>
    <w:rsid w:val="3C2A10CC"/>
    <w:rsid w:val="3C2C68F7"/>
    <w:rsid w:val="3C63749C"/>
    <w:rsid w:val="3C6C6120"/>
    <w:rsid w:val="3C6C6A4A"/>
    <w:rsid w:val="3C734FE7"/>
    <w:rsid w:val="3C754F46"/>
    <w:rsid w:val="3C7C0AD9"/>
    <w:rsid w:val="3C9B16E5"/>
    <w:rsid w:val="3C9E67E5"/>
    <w:rsid w:val="3CA27920"/>
    <w:rsid w:val="3CAF6491"/>
    <w:rsid w:val="3CB25365"/>
    <w:rsid w:val="3CB66EDA"/>
    <w:rsid w:val="3CBE72C5"/>
    <w:rsid w:val="3CC61459"/>
    <w:rsid w:val="3D090FF5"/>
    <w:rsid w:val="3D266F20"/>
    <w:rsid w:val="3D6E0ED6"/>
    <w:rsid w:val="3D8C7D9E"/>
    <w:rsid w:val="3DA25C10"/>
    <w:rsid w:val="3DC54FB1"/>
    <w:rsid w:val="3DDC1CCC"/>
    <w:rsid w:val="3E062AFC"/>
    <w:rsid w:val="3E474407"/>
    <w:rsid w:val="3E5C4F83"/>
    <w:rsid w:val="3E5E374E"/>
    <w:rsid w:val="3E7E165F"/>
    <w:rsid w:val="3E8E2AF3"/>
    <w:rsid w:val="3E9A3708"/>
    <w:rsid w:val="3EB96119"/>
    <w:rsid w:val="3EBF12C6"/>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8667C"/>
    <w:rsid w:val="406D3CCC"/>
    <w:rsid w:val="40BD4D08"/>
    <w:rsid w:val="40E206DE"/>
    <w:rsid w:val="40F456D3"/>
    <w:rsid w:val="411A6716"/>
    <w:rsid w:val="411F3664"/>
    <w:rsid w:val="41501BFC"/>
    <w:rsid w:val="41674852"/>
    <w:rsid w:val="41715365"/>
    <w:rsid w:val="417F330F"/>
    <w:rsid w:val="418774A7"/>
    <w:rsid w:val="41B36892"/>
    <w:rsid w:val="41CD5AEA"/>
    <w:rsid w:val="42305A6F"/>
    <w:rsid w:val="423D0E1A"/>
    <w:rsid w:val="4259540F"/>
    <w:rsid w:val="427A0EC3"/>
    <w:rsid w:val="42A77643"/>
    <w:rsid w:val="42A9012B"/>
    <w:rsid w:val="42BB3568"/>
    <w:rsid w:val="430E331D"/>
    <w:rsid w:val="43340DB7"/>
    <w:rsid w:val="433618E3"/>
    <w:rsid w:val="434906EF"/>
    <w:rsid w:val="43521963"/>
    <w:rsid w:val="436A1D85"/>
    <w:rsid w:val="43902F92"/>
    <w:rsid w:val="43BB5864"/>
    <w:rsid w:val="43D47283"/>
    <w:rsid w:val="44015158"/>
    <w:rsid w:val="44034AA6"/>
    <w:rsid w:val="443F6670"/>
    <w:rsid w:val="446964C0"/>
    <w:rsid w:val="44AD30E8"/>
    <w:rsid w:val="44CA5BA2"/>
    <w:rsid w:val="44D65C21"/>
    <w:rsid w:val="45272B0A"/>
    <w:rsid w:val="455F48D6"/>
    <w:rsid w:val="45741C31"/>
    <w:rsid w:val="457B6D5D"/>
    <w:rsid w:val="457F1C35"/>
    <w:rsid w:val="459E1C7A"/>
    <w:rsid w:val="45B17D82"/>
    <w:rsid w:val="45BD5D2A"/>
    <w:rsid w:val="45FE7DDA"/>
    <w:rsid w:val="46185497"/>
    <w:rsid w:val="465C21EF"/>
    <w:rsid w:val="46A94114"/>
    <w:rsid w:val="46D23591"/>
    <w:rsid w:val="4747483B"/>
    <w:rsid w:val="4752024C"/>
    <w:rsid w:val="479D34DA"/>
    <w:rsid w:val="47AC7F44"/>
    <w:rsid w:val="47B20C30"/>
    <w:rsid w:val="48252E1B"/>
    <w:rsid w:val="48384FF9"/>
    <w:rsid w:val="48771BED"/>
    <w:rsid w:val="48AB1CA7"/>
    <w:rsid w:val="48B2607D"/>
    <w:rsid w:val="48B4556B"/>
    <w:rsid w:val="48D15C4E"/>
    <w:rsid w:val="491A529B"/>
    <w:rsid w:val="494D0BC6"/>
    <w:rsid w:val="49741C41"/>
    <w:rsid w:val="4985592B"/>
    <w:rsid w:val="4A0B2CD5"/>
    <w:rsid w:val="4A312D13"/>
    <w:rsid w:val="4A431B58"/>
    <w:rsid w:val="4A642301"/>
    <w:rsid w:val="4B1F35D3"/>
    <w:rsid w:val="4B2847BE"/>
    <w:rsid w:val="4B4C2CD2"/>
    <w:rsid w:val="4B697359"/>
    <w:rsid w:val="4B726BBC"/>
    <w:rsid w:val="4B991742"/>
    <w:rsid w:val="4BAE407C"/>
    <w:rsid w:val="4BB23436"/>
    <w:rsid w:val="4BC5027F"/>
    <w:rsid w:val="4BDF5445"/>
    <w:rsid w:val="4C4654A4"/>
    <w:rsid w:val="4C4C1D0E"/>
    <w:rsid w:val="4C562BEC"/>
    <w:rsid w:val="4C9739DB"/>
    <w:rsid w:val="4C9A4880"/>
    <w:rsid w:val="4CAF2D12"/>
    <w:rsid w:val="4CB9174D"/>
    <w:rsid w:val="4CDA369E"/>
    <w:rsid w:val="4CEC67F7"/>
    <w:rsid w:val="4CF2108F"/>
    <w:rsid w:val="4CFF5A9E"/>
    <w:rsid w:val="4D1433F5"/>
    <w:rsid w:val="4D3D6F9B"/>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4F7399"/>
    <w:rsid w:val="4F5F3126"/>
    <w:rsid w:val="4F7D7854"/>
    <w:rsid w:val="4F7F7588"/>
    <w:rsid w:val="4FA82626"/>
    <w:rsid w:val="4FB8418D"/>
    <w:rsid w:val="4FC90041"/>
    <w:rsid w:val="4FD218EA"/>
    <w:rsid w:val="4FEE3C8F"/>
    <w:rsid w:val="4FF84140"/>
    <w:rsid w:val="501A2A30"/>
    <w:rsid w:val="501C3144"/>
    <w:rsid w:val="50343626"/>
    <w:rsid w:val="50344FAD"/>
    <w:rsid w:val="50992961"/>
    <w:rsid w:val="5099693A"/>
    <w:rsid w:val="50D12B41"/>
    <w:rsid w:val="50D504DE"/>
    <w:rsid w:val="50E047CF"/>
    <w:rsid w:val="50ED316C"/>
    <w:rsid w:val="50EF7D38"/>
    <w:rsid w:val="50F13690"/>
    <w:rsid w:val="51100F7F"/>
    <w:rsid w:val="5110162C"/>
    <w:rsid w:val="5118102E"/>
    <w:rsid w:val="513F0AF6"/>
    <w:rsid w:val="514D4ED0"/>
    <w:rsid w:val="51582E03"/>
    <w:rsid w:val="516440E8"/>
    <w:rsid w:val="51AA3409"/>
    <w:rsid w:val="51CA1DCB"/>
    <w:rsid w:val="51DA2B4D"/>
    <w:rsid w:val="5212048B"/>
    <w:rsid w:val="52153B23"/>
    <w:rsid w:val="52234AFA"/>
    <w:rsid w:val="52503D47"/>
    <w:rsid w:val="5293415F"/>
    <w:rsid w:val="52BE2755"/>
    <w:rsid w:val="52C252CC"/>
    <w:rsid w:val="52D454F2"/>
    <w:rsid w:val="52E1320C"/>
    <w:rsid w:val="52FC7200"/>
    <w:rsid w:val="532E2091"/>
    <w:rsid w:val="537B6C22"/>
    <w:rsid w:val="542E3E3B"/>
    <w:rsid w:val="5454185E"/>
    <w:rsid w:val="5461053A"/>
    <w:rsid w:val="5466087F"/>
    <w:rsid w:val="546C79AD"/>
    <w:rsid w:val="548328D3"/>
    <w:rsid w:val="54970FD2"/>
    <w:rsid w:val="54A05FA4"/>
    <w:rsid w:val="54DD34AA"/>
    <w:rsid w:val="54E77D81"/>
    <w:rsid w:val="55226D07"/>
    <w:rsid w:val="552672F6"/>
    <w:rsid w:val="55A042E7"/>
    <w:rsid w:val="55A80DB5"/>
    <w:rsid w:val="55D10146"/>
    <w:rsid w:val="55E1405A"/>
    <w:rsid w:val="561E045F"/>
    <w:rsid w:val="5651155E"/>
    <w:rsid w:val="56625C16"/>
    <w:rsid w:val="56744513"/>
    <w:rsid w:val="56817C55"/>
    <w:rsid w:val="568277FC"/>
    <w:rsid w:val="56902235"/>
    <w:rsid w:val="572D5056"/>
    <w:rsid w:val="579322BC"/>
    <w:rsid w:val="57D824E7"/>
    <w:rsid w:val="57DC07AC"/>
    <w:rsid w:val="58250A7C"/>
    <w:rsid w:val="58383BC2"/>
    <w:rsid w:val="584F2333"/>
    <w:rsid w:val="585D0D73"/>
    <w:rsid w:val="5877287D"/>
    <w:rsid w:val="587E2B60"/>
    <w:rsid w:val="58890237"/>
    <w:rsid w:val="588A11FD"/>
    <w:rsid w:val="589C7904"/>
    <w:rsid w:val="58BF1CDD"/>
    <w:rsid w:val="59311537"/>
    <w:rsid w:val="594B1977"/>
    <w:rsid w:val="597A5615"/>
    <w:rsid w:val="598067D5"/>
    <w:rsid w:val="59866208"/>
    <w:rsid w:val="59910BB9"/>
    <w:rsid w:val="59965ABB"/>
    <w:rsid w:val="59CC6296"/>
    <w:rsid w:val="59D62AC4"/>
    <w:rsid w:val="5A540295"/>
    <w:rsid w:val="5A7523CD"/>
    <w:rsid w:val="5AC874F0"/>
    <w:rsid w:val="5AD47F37"/>
    <w:rsid w:val="5AE56123"/>
    <w:rsid w:val="5AF06C9D"/>
    <w:rsid w:val="5B0016E1"/>
    <w:rsid w:val="5B380045"/>
    <w:rsid w:val="5B407769"/>
    <w:rsid w:val="5B422CBB"/>
    <w:rsid w:val="5B8A1DAA"/>
    <w:rsid w:val="5BA0270B"/>
    <w:rsid w:val="5BB07EA3"/>
    <w:rsid w:val="5BD348FD"/>
    <w:rsid w:val="5BEA5A2F"/>
    <w:rsid w:val="5BFA516C"/>
    <w:rsid w:val="5C175839"/>
    <w:rsid w:val="5C2D2EFA"/>
    <w:rsid w:val="5C6C42DA"/>
    <w:rsid w:val="5C7C3080"/>
    <w:rsid w:val="5C9E45F5"/>
    <w:rsid w:val="5CAE184C"/>
    <w:rsid w:val="5CB45076"/>
    <w:rsid w:val="5CCC6C02"/>
    <w:rsid w:val="5CCD159B"/>
    <w:rsid w:val="5CCF3427"/>
    <w:rsid w:val="5CD958CD"/>
    <w:rsid w:val="5CED0B5C"/>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F2F4534"/>
    <w:rsid w:val="5F5B125C"/>
    <w:rsid w:val="5F767BF8"/>
    <w:rsid w:val="5F9E0A02"/>
    <w:rsid w:val="5FD5235B"/>
    <w:rsid w:val="5FEB55B3"/>
    <w:rsid w:val="5FF74ED1"/>
    <w:rsid w:val="602C263E"/>
    <w:rsid w:val="60307729"/>
    <w:rsid w:val="60325BBE"/>
    <w:rsid w:val="60337945"/>
    <w:rsid w:val="606E5643"/>
    <w:rsid w:val="607A1087"/>
    <w:rsid w:val="60B81D41"/>
    <w:rsid w:val="60BF0312"/>
    <w:rsid w:val="60BF7B30"/>
    <w:rsid w:val="60D60117"/>
    <w:rsid w:val="60DE1EFA"/>
    <w:rsid w:val="60E50712"/>
    <w:rsid w:val="614B7D32"/>
    <w:rsid w:val="61A17B3A"/>
    <w:rsid w:val="61BA336E"/>
    <w:rsid w:val="62086F38"/>
    <w:rsid w:val="620E1834"/>
    <w:rsid w:val="62281FEF"/>
    <w:rsid w:val="62492030"/>
    <w:rsid w:val="628871DB"/>
    <w:rsid w:val="62B2160A"/>
    <w:rsid w:val="62B37EF2"/>
    <w:rsid w:val="62C85A61"/>
    <w:rsid w:val="62D04E20"/>
    <w:rsid w:val="62D73A94"/>
    <w:rsid w:val="63194217"/>
    <w:rsid w:val="63305152"/>
    <w:rsid w:val="63460266"/>
    <w:rsid w:val="63463A8C"/>
    <w:rsid w:val="635427F3"/>
    <w:rsid w:val="63550450"/>
    <w:rsid w:val="63B63C60"/>
    <w:rsid w:val="63BC4201"/>
    <w:rsid w:val="6409630F"/>
    <w:rsid w:val="640F7137"/>
    <w:rsid w:val="64132B93"/>
    <w:rsid w:val="642C2990"/>
    <w:rsid w:val="64347265"/>
    <w:rsid w:val="64426ECA"/>
    <w:rsid w:val="64450612"/>
    <w:rsid w:val="646A1271"/>
    <w:rsid w:val="646E44A6"/>
    <w:rsid w:val="64B044DC"/>
    <w:rsid w:val="656D328E"/>
    <w:rsid w:val="65883AB5"/>
    <w:rsid w:val="65F50F8E"/>
    <w:rsid w:val="66312549"/>
    <w:rsid w:val="66397A67"/>
    <w:rsid w:val="667B3592"/>
    <w:rsid w:val="66875EE0"/>
    <w:rsid w:val="66A35F39"/>
    <w:rsid w:val="66C435DD"/>
    <w:rsid w:val="670F795C"/>
    <w:rsid w:val="67C00163"/>
    <w:rsid w:val="67E2057C"/>
    <w:rsid w:val="67F355AC"/>
    <w:rsid w:val="685A24C7"/>
    <w:rsid w:val="68710EE3"/>
    <w:rsid w:val="688D12C9"/>
    <w:rsid w:val="6891760E"/>
    <w:rsid w:val="6894097E"/>
    <w:rsid w:val="68B257B8"/>
    <w:rsid w:val="68E53A04"/>
    <w:rsid w:val="690E530F"/>
    <w:rsid w:val="69405CFD"/>
    <w:rsid w:val="69A5364A"/>
    <w:rsid w:val="69EC4C56"/>
    <w:rsid w:val="69F21940"/>
    <w:rsid w:val="69F42D6B"/>
    <w:rsid w:val="6A0C5365"/>
    <w:rsid w:val="6A5C7947"/>
    <w:rsid w:val="6A641A36"/>
    <w:rsid w:val="6A6D3308"/>
    <w:rsid w:val="6A88125A"/>
    <w:rsid w:val="6A9402CC"/>
    <w:rsid w:val="6AC55297"/>
    <w:rsid w:val="6AF6102C"/>
    <w:rsid w:val="6B075917"/>
    <w:rsid w:val="6B114C1A"/>
    <w:rsid w:val="6B2B4114"/>
    <w:rsid w:val="6B4A7646"/>
    <w:rsid w:val="6B521032"/>
    <w:rsid w:val="6B5E7080"/>
    <w:rsid w:val="6B7B5383"/>
    <w:rsid w:val="6B7F0D8F"/>
    <w:rsid w:val="6BB6752A"/>
    <w:rsid w:val="6BB85749"/>
    <w:rsid w:val="6BCE49B7"/>
    <w:rsid w:val="6BF72A6D"/>
    <w:rsid w:val="6C172A76"/>
    <w:rsid w:val="6C1B1768"/>
    <w:rsid w:val="6C8D303E"/>
    <w:rsid w:val="6CC163A1"/>
    <w:rsid w:val="6CC3097D"/>
    <w:rsid w:val="6CD65F16"/>
    <w:rsid w:val="6D065884"/>
    <w:rsid w:val="6D196946"/>
    <w:rsid w:val="6D1A28DE"/>
    <w:rsid w:val="6D7C2742"/>
    <w:rsid w:val="6DAC0B96"/>
    <w:rsid w:val="6DBE060E"/>
    <w:rsid w:val="6DF9485E"/>
    <w:rsid w:val="6E016683"/>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A225C0"/>
    <w:rsid w:val="70B21E47"/>
    <w:rsid w:val="70C715EC"/>
    <w:rsid w:val="70CB41CC"/>
    <w:rsid w:val="70E70743"/>
    <w:rsid w:val="710E3EF4"/>
    <w:rsid w:val="7118323A"/>
    <w:rsid w:val="71307C87"/>
    <w:rsid w:val="713D0CB0"/>
    <w:rsid w:val="715D6ACF"/>
    <w:rsid w:val="719E3EA6"/>
    <w:rsid w:val="72713E3F"/>
    <w:rsid w:val="72863E4F"/>
    <w:rsid w:val="728B3C94"/>
    <w:rsid w:val="72A67657"/>
    <w:rsid w:val="72BD34D1"/>
    <w:rsid w:val="72FF3300"/>
    <w:rsid w:val="73000CF9"/>
    <w:rsid w:val="73126A27"/>
    <w:rsid w:val="733534AA"/>
    <w:rsid w:val="73635474"/>
    <w:rsid w:val="73C94A09"/>
    <w:rsid w:val="73DC46E0"/>
    <w:rsid w:val="73E10EAB"/>
    <w:rsid w:val="73F03AA8"/>
    <w:rsid w:val="7404686E"/>
    <w:rsid w:val="74123FA8"/>
    <w:rsid w:val="74154608"/>
    <w:rsid w:val="741A26D9"/>
    <w:rsid w:val="74482738"/>
    <w:rsid w:val="746D05F1"/>
    <w:rsid w:val="746D4563"/>
    <w:rsid w:val="74731B85"/>
    <w:rsid w:val="747A630E"/>
    <w:rsid w:val="74C72EFA"/>
    <w:rsid w:val="74D27347"/>
    <w:rsid w:val="74E4025B"/>
    <w:rsid w:val="750E4E23"/>
    <w:rsid w:val="75342426"/>
    <w:rsid w:val="753D2315"/>
    <w:rsid w:val="755E7366"/>
    <w:rsid w:val="75615004"/>
    <w:rsid w:val="75722572"/>
    <w:rsid w:val="757B1C85"/>
    <w:rsid w:val="75AE72B7"/>
    <w:rsid w:val="75AF033D"/>
    <w:rsid w:val="75F3155B"/>
    <w:rsid w:val="75F718DD"/>
    <w:rsid w:val="761F0F2E"/>
    <w:rsid w:val="761F505D"/>
    <w:rsid w:val="76AE4031"/>
    <w:rsid w:val="76B07C6D"/>
    <w:rsid w:val="76E45852"/>
    <w:rsid w:val="76E85991"/>
    <w:rsid w:val="771C79F5"/>
    <w:rsid w:val="771D24E8"/>
    <w:rsid w:val="771D706E"/>
    <w:rsid w:val="77435056"/>
    <w:rsid w:val="77464ED6"/>
    <w:rsid w:val="77674D01"/>
    <w:rsid w:val="77857276"/>
    <w:rsid w:val="77F5038A"/>
    <w:rsid w:val="77F55783"/>
    <w:rsid w:val="78083786"/>
    <w:rsid w:val="78153E8C"/>
    <w:rsid w:val="78343CE1"/>
    <w:rsid w:val="785B2C70"/>
    <w:rsid w:val="788C033F"/>
    <w:rsid w:val="78BC72FB"/>
    <w:rsid w:val="78D13A33"/>
    <w:rsid w:val="78E21E4B"/>
    <w:rsid w:val="78EE2BB3"/>
    <w:rsid w:val="78F718E7"/>
    <w:rsid w:val="7971197F"/>
    <w:rsid w:val="79B33173"/>
    <w:rsid w:val="79B377E8"/>
    <w:rsid w:val="79BE26D1"/>
    <w:rsid w:val="79BE5BBE"/>
    <w:rsid w:val="79C52AA7"/>
    <w:rsid w:val="79E42E56"/>
    <w:rsid w:val="79EA5A5A"/>
    <w:rsid w:val="7A8E0F54"/>
    <w:rsid w:val="7A9B1178"/>
    <w:rsid w:val="7AD319F4"/>
    <w:rsid w:val="7AFA6374"/>
    <w:rsid w:val="7B150CBE"/>
    <w:rsid w:val="7B407803"/>
    <w:rsid w:val="7B5E1802"/>
    <w:rsid w:val="7B6332DF"/>
    <w:rsid w:val="7B642DC3"/>
    <w:rsid w:val="7B9E0270"/>
    <w:rsid w:val="7BBB3A1E"/>
    <w:rsid w:val="7BE729DC"/>
    <w:rsid w:val="7C25358F"/>
    <w:rsid w:val="7C2B5CBC"/>
    <w:rsid w:val="7C442459"/>
    <w:rsid w:val="7C7B6F55"/>
    <w:rsid w:val="7CA57D2B"/>
    <w:rsid w:val="7CAF622F"/>
    <w:rsid w:val="7CC30F06"/>
    <w:rsid w:val="7CEE78EB"/>
    <w:rsid w:val="7D08231F"/>
    <w:rsid w:val="7D2D1809"/>
    <w:rsid w:val="7D327789"/>
    <w:rsid w:val="7D496A70"/>
    <w:rsid w:val="7D607D01"/>
    <w:rsid w:val="7D966422"/>
    <w:rsid w:val="7DF221B0"/>
    <w:rsid w:val="7DFD0298"/>
    <w:rsid w:val="7DFE4C8D"/>
    <w:rsid w:val="7E1356DA"/>
    <w:rsid w:val="7EA3147C"/>
    <w:rsid w:val="7EB9366C"/>
    <w:rsid w:val="7ED37091"/>
    <w:rsid w:val="7EE73054"/>
    <w:rsid w:val="7EF1453B"/>
    <w:rsid w:val="7F2037BD"/>
    <w:rsid w:val="7F2944B0"/>
    <w:rsid w:val="7F321906"/>
    <w:rsid w:val="7F373388"/>
    <w:rsid w:val="7F6D21B7"/>
    <w:rsid w:val="7FBE5C1A"/>
    <w:rsid w:val="7FC53A36"/>
    <w:rsid w:val="7FDE3C9D"/>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640" w:firstLineChars="200"/>
      <w:jc w:val="both"/>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2017-02-16T16:34:35Z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