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Arial"/>
          <w:bCs/>
          <w:szCs w:val="32"/>
        </w:rPr>
      </w:pPr>
    </w:p>
    <w:p>
      <w:pPr>
        <w:rPr>
          <w:rFonts w:ascii="宋体" w:hAnsi="宋体" w:eastAsia="宋体" w:cs="Arial"/>
          <w:bCs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Arial"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Arial"/>
          <w:bCs/>
          <w:sz w:val="44"/>
          <w:szCs w:val="44"/>
          <w:lang w:val="en-US" w:eastAsia="zh-CN"/>
        </w:rPr>
        <w:t>秀山土家族苗族自治县人民代表大会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Arial"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Arial"/>
          <w:bCs/>
          <w:sz w:val="44"/>
          <w:szCs w:val="44"/>
          <w:lang w:val="en-US" w:eastAsia="zh-CN"/>
        </w:rPr>
        <w:t>关于修改《秀山土家族苗族自治县饮用水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  <w:lang w:val="en-US" w:eastAsia="zh-CN"/>
        </w:rPr>
        <w:t>水源保护条例》的决定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 w:firstLine="0" w:firstLineChars="0"/>
        <w:jc w:val="center"/>
        <w:textAlignment w:val="auto"/>
        <w:rPr>
          <w:rFonts w:hint="default" w:ascii="楷体_GB2312" w:hAnsi="Arial" w:eastAsia="楷体_GB2312" w:cs="Arial"/>
          <w:szCs w:val="32"/>
          <w:lang w:val="en-US" w:eastAsia="zh-CN"/>
        </w:rPr>
      </w:pPr>
      <w:r>
        <w:rPr>
          <w:rFonts w:hint="eastAsia" w:ascii="楷体_GB2312" w:hAnsi="Arial" w:eastAsia="楷体_GB2312" w:cs="Arial"/>
          <w:szCs w:val="32"/>
          <w:lang w:val="en-US" w:eastAsia="zh-CN"/>
        </w:rPr>
        <w:t>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2022年12月27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>日秀山土家族苗族自治县第十八届人民代表大会第二次会议通过</w:t>
      </w:r>
      <w:r>
        <w:rPr>
          <w:rFonts w:hint="eastAsia" w:ascii="楷体_GB2312" w:hAnsi="Arial" w:eastAsia="楷体_GB2312" w:cs="Arial"/>
          <w:szCs w:val="32"/>
        </w:rPr>
        <w:t>　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2023年3月30日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>重庆市第六届人民代表大会常务委员会第一次会议批准）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秀山土家族苗族自治县第十八届人民代表大会第二次会议决定，对《秀山土家族苗族自治县饮用水水源保护条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例》作出如下修改：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一、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将第二十五条第二款修改为：“自治县城市管理、卫生健康、水行政等部门应当按照职责分工，加强城乡二次供水管理工作，保证二次供水水质符合国家生活饮用水卫生标准。”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二、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将第三十四条修改为：“违反本条例第十七条第二款规定，损毁、涂改或者擅自移动饮用水水源保护区的地理界标、警示标志、隔离防护等设施的，由自治县生态环境主管部门责令恢复原状，对个人处二千元以上五千元以下的罚款，对单位处五千元以上二万元以下的罚款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三、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删除第三十七条。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四、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将第四十条修改为：“违反本条例第十九条第五项规定，设置水上经营性餐饮、娱乐设施和存放有毒有害物品的仓库、货栈的，由自治县生态环境主管部门责令停止违法行为，对单位处二万元以上十万元以下的罚款，对个人可以处五百元以下的罚款。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五、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将第四十六条修改为：“违反本条例规定，在饮用水水源一级、二级保护区、准保护区内从事其他污染饮用水水源活动的，由自治县生态环境主管部门责令停止违法行为，对单位处二万元以上十万元以下的罚款，对个人可以处五百元以下的罚款。”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  <w:t>六、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将第六条、第七条、第八条、第十条、第十二条、第二十三条、第二十五条、第二十九条、第三十条、第三十一条、第三十二条、第三十四条、第三十五条、第三十六条、第三十八条、第三十九条、第四十条、第四十一条、第四十二条、第四十三条、第四十四条、第四十五条、第四十六条、第四十九条中的“环境保护”修改为“生态环境”、“卫生”修改为“卫生健康”、“城乡建设”修改为“住房城乡建设”、“农业”修改为“农业农村”、“国土”和“规划”修改为“规划自然资源”、“安全生产”修改为“应急管理”、“旅游”修改为“文化旅游”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本决定报重庆市人民代表大会常务委员会批准后生效，自公布之日起施行。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outlineLvl w:val="9"/>
        <w:rPr>
          <w:rFonts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《秀山土家族苗族自治县饮用水水源保护条例》根据本决定作相应修改，重新公布。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ESI黑体-GB2312">
    <w:altName w:val="黑体"/>
    <w:panose1 w:val="02000500000000000000"/>
    <w:charset w:val="86"/>
    <w:family w:val="auto"/>
    <w:pitch w:val="default"/>
    <w:sig w:usb0="00000000" w:usb1="00000000" w:usb2="00000012" w:usb3="00000000" w:csb0="0004000F" w:csb1="00000000"/>
  </w:font>
  <w:font w:name="CESI楷体-GB2312">
    <w:altName w:val="宋体"/>
    <w:panose1 w:val="02000500000000000000"/>
    <w:charset w:val="86"/>
    <w:family w:val="auto"/>
    <w:pitch w:val="default"/>
    <w:sig w:usb0="00000000" w:usb1="00000000" w:usb2="00000012" w:usb3="00000000" w:csb0="0004000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方正黑体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C40DD"/>
    <w:rsid w:val="000E703F"/>
    <w:rsid w:val="000F7DA8"/>
    <w:rsid w:val="001007FD"/>
    <w:rsid w:val="00131BA9"/>
    <w:rsid w:val="0013352A"/>
    <w:rsid w:val="001C12CA"/>
    <w:rsid w:val="001C4316"/>
    <w:rsid w:val="002056B3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740"/>
    <w:rsid w:val="00867A37"/>
    <w:rsid w:val="00874984"/>
    <w:rsid w:val="00910245"/>
    <w:rsid w:val="00A87604"/>
    <w:rsid w:val="00B32293"/>
    <w:rsid w:val="00B759C5"/>
    <w:rsid w:val="00BA548B"/>
    <w:rsid w:val="00BB0938"/>
    <w:rsid w:val="00BF51CB"/>
    <w:rsid w:val="00C16EFC"/>
    <w:rsid w:val="00D0095F"/>
    <w:rsid w:val="00D1515A"/>
    <w:rsid w:val="00D36965"/>
    <w:rsid w:val="00D625F1"/>
    <w:rsid w:val="00D64B65"/>
    <w:rsid w:val="00DB7DE9"/>
    <w:rsid w:val="00DC4D4C"/>
    <w:rsid w:val="00ED3B70"/>
    <w:rsid w:val="00F352BC"/>
    <w:rsid w:val="00F72984"/>
    <w:rsid w:val="00FA7EE2"/>
    <w:rsid w:val="023C3F12"/>
    <w:rsid w:val="09B230C6"/>
    <w:rsid w:val="0E39209A"/>
    <w:rsid w:val="10340D0F"/>
    <w:rsid w:val="2EDA33C3"/>
    <w:rsid w:val="4D465962"/>
    <w:rsid w:val="5682086F"/>
    <w:rsid w:val="622A54EC"/>
    <w:rsid w:val="688A427F"/>
    <w:rsid w:val="6B852847"/>
    <w:rsid w:val="70D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rPr>
      <w:sz w:val="28"/>
      <w:szCs w:val="20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脚 字符"/>
    <w:link w:val="4"/>
    <w:qFormat/>
    <w:uiPriority w:val="99"/>
    <w:rPr>
      <w:sz w:val="18"/>
      <w:szCs w:val="18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5773</Words>
  <Characters>5781</Characters>
  <Lines>41</Lines>
  <Paragraphs>11</Paragraphs>
  <TotalTime>4</TotalTime>
  <ScaleCrop>false</ScaleCrop>
  <LinksUpToDate>false</LinksUpToDate>
  <CharactersWithSpaces>5781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2023-06-27T22:48:00Z</dcterms:created>
  <dc:creator>YF-INT6</dc:creator>
  <cp:lastModifiedBy>雷</cp:lastModifiedBy>
  <dcterms:modified xsi:type="dcterms:W3CDTF">2023-08-15T09:30:55Z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EFD2D30F566A46329AAC8165BB6E62C5</vt:lpwstr>
  </property>
  <property fmtid="{D5CDD505-2E9C-101B-9397-08002B2CF9AE}" pid="3" name="KSOProductBuildVer">
    <vt:lpwstr>2052-11.1.0.14309</vt:lpwstr>
  </property>
</Properties>
</file>