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szCs w:val="32"/>
          <w:lang w:eastAsia="zh-CN"/>
        </w:rPr>
      </w:pPr>
      <w:bookmarkStart w:id="0" w:name="_GoBack"/>
      <w:bookmarkEnd w:id="0"/>
    </w:p>
    <w:p>
      <w:pPr>
        <w:jc w:val="center"/>
        <w:rPr>
          <w:rFonts w:hint="eastAsia" w:ascii="宋体" w:hAnsi="宋体" w:eastAsia="宋体"/>
          <w:szCs w:val="32"/>
          <w:lang w:eastAsia="zh-CN"/>
        </w:rPr>
      </w:pPr>
    </w:p>
    <w:p>
      <w:pPr>
        <w:jc w:val="center"/>
        <w:rPr>
          <w:rFonts w:hint="eastAsia" w:ascii="宋体" w:hAnsi="宋体" w:eastAsia="宋体"/>
          <w:sz w:val="44"/>
          <w:szCs w:val="44"/>
          <w:lang w:eastAsia="zh-CN"/>
        </w:rPr>
      </w:pPr>
      <w:r>
        <w:rPr>
          <w:rFonts w:ascii="宋体" w:hAnsi="宋体" w:eastAsia="宋体"/>
          <w:sz w:val="44"/>
          <w:szCs w:val="44"/>
        </w:rPr>
        <w:t>西安市周丰镐、秦阿房宫、汉长安城</w:t>
      </w:r>
    </w:p>
    <w:p>
      <w:pPr>
        <w:jc w:val="center"/>
        <w:rPr>
          <w:rFonts w:ascii="宋体" w:hAnsi="宋体" w:eastAsia="宋体"/>
          <w:sz w:val="44"/>
          <w:szCs w:val="44"/>
        </w:rPr>
      </w:pPr>
      <w:r>
        <w:rPr>
          <w:rFonts w:ascii="宋体" w:hAnsi="宋体" w:eastAsia="宋体"/>
          <w:sz w:val="44"/>
          <w:szCs w:val="44"/>
        </w:rPr>
        <w:t>和唐大明宫遗址保护管理条例</w:t>
      </w:r>
    </w:p>
    <w:p>
      <w:pPr>
        <w:rPr>
          <w:rFonts w:ascii="宋体" w:hAnsi="宋体" w:eastAsia="宋体"/>
        </w:rPr>
      </w:pPr>
    </w:p>
    <w:p>
      <w:pPr>
        <w:ind w:left="632" w:leftChars="200" w:right="632" w:rightChars="200"/>
        <w:jc w:val="both"/>
        <w:rPr>
          <w:rFonts w:hint="eastAsia" w:ascii="楷体_GB2312" w:hAnsi="宋体" w:eastAsia="楷体_GB2312"/>
        </w:rPr>
      </w:pPr>
      <w:r>
        <w:rPr>
          <w:rFonts w:hint="eastAsia" w:ascii="楷体_GB2312" w:hAnsi="宋体" w:eastAsia="楷体_GB2312"/>
        </w:rPr>
        <w:t>（1995年6月15日西安市第十一届人民代表大会常务委员会第二十次会议通过</w:t>
      </w:r>
      <w:r>
        <w:rPr>
          <w:rFonts w:hint="eastAsia" w:ascii="楷体_GB2312" w:hAnsi="宋体" w:eastAsia="楷体_GB2312"/>
          <w:lang w:eastAsia="zh-CN"/>
        </w:rPr>
        <w:t>　</w:t>
      </w:r>
      <w:r>
        <w:rPr>
          <w:rFonts w:hint="eastAsia" w:ascii="楷体_GB2312" w:hAnsi="宋体" w:eastAsia="楷体_GB2312"/>
        </w:rPr>
        <w:t>1995年6月30日陕西省第八届人民代表大会常务委员会第十三次会议批准</w:t>
      </w:r>
    </w:p>
    <w:p>
      <w:pPr>
        <w:ind w:left="632" w:leftChars="200" w:right="632" w:rightChars="200"/>
        <w:jc w:val="both"/>
        <w:rPr>
          <w:rFonts w:hint="eastAsia" w:ascii="楷体_GB2312" w:hAnsi="宋体" w:eastAsia="楷体_GB2312"/>
        </w:rPr>
      </w:pPr>
      <w:r>
        <w:rPr>
          <w:rFonts w:hint="eastAsia" w:ascii="楷体_GB2312" w:hAnsi="宋体" w:eastAsia="楷体_GB2312"/>
        </w:rPr>
        <w:t>根据2010年7月15日西安市第十四届人民代表大会常务委员会第二十三次会议通过</w:t>
      </w:r>
      <w:r>
        <w:rPr>
          <w:rFonts w:hint="eastAsia" w:ascii="楷体_GB2312" w:hAnsi="宋体" w:eastAsia="楷体_GB2312"/>
          <w:lang w:eastAsia="zh-CN"/>
        </w:rPr>
        <w:t>　</w:t>
      </w:r>
      <w:r>
        <w:rPr>
          <w:rFonts w:hint="eastAsia" w:ascii="楷体_GB2312" w:hAnsi="宋体" w:eastAsia="楷体_GB2312"/>
        </w:rPr>
        <w:t>2010年9月29日陕西省第十一届人民代表大会常务委员会第十八次会议批准的《西安市人民代表大会常务委员会关于修改部分地方性法规的决定》修正）</w:t>
      </w:r>
    </w:p>
    <w:p>
      <w:pPr>
        <w:rPr>
          <w:rFonts w:hint="eastAsia" w:ascii="宋体" w:hAnsi="宋体" w:eastAsia="宋体"/>
          <w:lang w:eastAsia="zh-CN"/>
        </w:rPr>
      </w:pPr>
    </w:p>
    <w:p>
      <w:pPr>
        <w:jc w:val="center"/>
        <w:rPr>
          <w:rFonts w:hint="eastAsia" w:ascii="楷体_GB2312" w:hAnsi="宋体" w:eastAsia="楷体_GB2312"/>
          <w:lang w:eastAsia="zh-CN"/>
        </w:rPr>
      </w:pPr>
      <w:r>
        <w:rPr>
          <w:rFonts w:hint="eastAsia" w:ascii="楷体_GB2312" w:hAnsi="宋体" w:eastAsia="楷体_GB2312"/>
          <w:lang w:eastAsia="zh-CN"/>
        </w:rPr>
        <w:t>目　　录</w:t>
      </w:r>
    </w:p>
    <w:p>
      <w:pPr>
        <w:rPr>
          <w:rFonts w:hint="eastAsia" w:ascii="楷体_GB2312" w:eastAsia="楷体_GB2312"/>
        </w:rPr>
      </w:pPr>
      <w:r>
        <w:rPr>
          <w:rFonts w:hint="eastAsia" w:ascii="宋体" w:hAnsi="宋体" w:eastAsia="宋体"/>
          <w:lang w:eastAsia="zh-CN"/>
        </w:rPr>
        <w:t>　　</w:t>
      </w:r>
      <w:r>
        <w:rPr>
          <w:rFonts w:hint="eastAsia" w:ascii="楷体_GB2312" w:eastAsia="楷体_GB2312"/>
        </w:rPr>
        <w:t>第一章</w:t>
      </w:r>
      <w:r>
        <w:rPr>
          <w:rFonts w:hint="eastAsia" w:ascii="楷体_GB2312" w:eastAsia="楷体_GB2312"/>
          <w:lang w:eastAsia="zh-CN"/>
        </w:rPr>
        <w:t>　</w:t>
      </w:r>
      <w:r>
        <w:rPr>
          <w:rFonts w:hint="eastAsia" w:ascii="楷体_GB2312" w:eastAsia="楷体_GB2312"/>
        </w:rPr>
        <w:t>总则</w:t>
      </w:r>
    </w:p>
    <w:p>
      <w:pPr>
        <w:rPr>
          <w:rFonts w:hint="eastAsia" w:ascii="楷体_GB2312" w:eastAsia="楷体_GB2312"/>
        </w:rPr>
      </w:pPr>
      <w:r>
        <w:rPr>
          <w:rFonts w:hint="eastAsia" w:ascii="宋体" w:hAnsi="宋体" w:eastAsia="宋体"/>
          <w:lang w:eastAsia="zh-CN"/>
        </w:rPr>
        <w:t>　　</w:t>
      </w:r>
      <w:r>
        <w:rPr>
          <w:rFonts w:hint="eastAsia" w:ascii="楷体_GB2312" w:eastAsia="楷体_GB2312"/>
        </w:rPr>
        <w:t>第二章</w:t>
      </w:r>
      <w:r>
        <w:rPr>
          <w:rFonts w:hint="eastAsia" w:ascii="楷体_GB2312" w:eastAsia="楷体_GB2312"/>
          <w:lang w:eastAsia="zh-CN"/>
        </w:rPr>
        <w:t>　</w:t>
      </w:r>
      <w:r>
        <w:rPr>
          <w:rFonts w:hint="eastAsia" w:ascii="楷体_GB2312" w:eastAsia="楷体_GB2312"/>
        </w:rPr>
        <w:t>管理体制与经费</w:t>
      </w:r>
    </w:p>
    <w:p>
      <w:pPr>
        <w:rPr>
          <w:rFonts w:hint="eastAsia" w:ascii="楷体_GB2312" w:eastAsia="楷体_GB2312"/>
        </w:rPr>
      </w:pPr>
      <w:r>
        <w:rPr>
          <w:rFonts w:hint="eastAsia" w:ascii="宋体" w:hAnsi="宋体" w:eastAsia="宋体"/>
          <w:lang w:eastAsia="zh-CN"/>
        </w:rPr>
        <w:t>　　</w:t>
      </w:r>
      <w:r>
        <w:rPr>
          <w:rFonts w:hint="eastAsia" w:ascii="楷体_GB2312" w:eastAsia="楷体_GB2312"/>
        </w:rPr>
        <w:t>第三章</w:t>
      </w:r>
      <w:r>
        <w:rPr>
          <w:rFonts w:hint="eastAsia" w:ascii="楷体_GB2312" w:eastAsia="楷体_GB2312"/>
          <w:lang w:eastAsia="zh-CN"/>
        </w:rPr>
        <w:t>　</w:t>
      </w:r>
      <w:r>
        <w:rPr>
          <w:rFonts w:hint="eastAsia" w:ascii="楷体_GB2312" w:eastAsia="楷体_GB2312"/>
        </w:rPr>
        <w:t>保护管理</w:t>
      </w:r>
    </w:p>
    <w:p>
      <w:pPr>
        <w:rPr>
          <w:rFonts w:hint="eastAsia" w:ascii="楷体_GB2312" w:eastAsia="楷体_GB2312"/>
        </w:rPr>
      </w:pPr>
      <w:r>
        <w:rPr>
          <w:rFonts w:hint="eastAsia" w:ascii="宋体" w:hAnsi="宋体" w:eastAsia="宋体"/>
          <w:lang w:eastAsia="zh-CN"/>
        </w:rPr>
        <w:t>　　</w:t>
      </w:r>
      <w:r>
        <w:rPr>
          <w:rFonts w:hint="eastAsia" w:ascii="楷体_GB2312" w:eastAsia="楷体_GB2312"/>
        </w:rPr>
        <w:t>第四章</w:t>
      </w:r>
      <w:r>
        <w:rPr>
          <w:rFonts w:hint="eastAsia" w:ascii="楷体_GB2312" w:eastAsia="楷体_GB2312"/>
          <w:lang w:eastAsia="zh-CN"/>
        </w:rPr>
        <w:t>　</w:t>
      </w:r>
      <w:r>
        <w:rPr>
          <w:rFonts w:hint="eastAsia" w:ascii="楷体_GB2312" w:eastAsia="楷体_GB2312"/>
        </w:rPr>
        <w:t>奖励与处罚</w:t>
      </w:r>
    </w:p>
    <w:p>
      <w:pPr>
        <w:rPr>
          <w:rFonts w:hint="eastAsia" w:ascii="楷体_GB2312" w:eastAsia="楷体_GB2312"/>
        </w:rPr>
      </w:pPr>
      <w:r>
        <w:rPr>
          <w:rFonts w:hint="eastAsia" w:ascii="宋体" w:hAnsi="宋体" w:eastAsia="宋体"/>
          <w:lang w:eastAsia="zh-CN"/>
        </w:rPr>
        <w:t>　　</w:t>
      </w:r>
      <w:r>
        <w:rPr>
          <w:rFonts w:hint="eastAsia" w:ascii="楷体_GB2312" w:eastAsia="楷体_GB2312"/>
        </w:rPr>
        <w:t>第五章</w:t>
      </w:r>
      <w:r>
        <w:rPr>
          <w:rFonts w:hint="eastAsia" w:ascii="楷体_GB2312" w:eastAsia="楷体_GB2312"/>
          <w:lang w:eastAsia="zh-CN"/>
        </w:rPr>
        <w:t>　</w:t>
      </w:r>
      <w:r>
        <w:rPr>
          <w:rFonts w:hint="eastAsia" w:ascii="楷体_GB2312" w:eastAsia="楷体_GB2312"/>
        </w:rPr>
        <w:t>附则</w:t>
      </w:r>
    </w:p>
    <w:p>
      <w:pPr>
        <w:rPr>
          <w:rFonts w:hint="eastAsia" w:ascii="宋体" w:hAnsi="宋体" w:eastAsia="宋体"/>
          <w:lang w:eastAsia="zh-CN"/>
        </w:rPr>
      </w:pPr>
    </w:p>
    <w:p>
      <w:pPr>
        <w:jc w:val="center"/>
        <w:rPr>
          <w:rFonts w:ascii="黑体" w:hAnsi="黑体" w:eastAsia="黑体"/>
        </w:rPr>
      </w:pPr>
      <w:r>
        <w:rPr>
          <w:rFonts w:ascii="黑体" w:hAnsi="黑体" w:eastAsia="黑体"/>
        </w:rPr>
        <w:t>第一章</w:t>
      </w:r>
      <w:r>
        <w:rPr>
          <w:rFonts w:hint="eastAsia" w:ascii="黑体" w:hAnsi="黑体" w:eastAsia="黑体"/>
          <w:lang w:eastAsia="zh-CN"/>
        </w:rPr>
        <w:t>　</w:t>
      </w:r>
      <w:r>
        <w:rPr>
          <w:rFonts w:ascii="黑体" w:hAnsi="黑体" w:eastAsia="黑体"/>
        </w:rPr>
        <w:t>总则</w:t>
      </w:r>
    </w:p>
    <w:p/>
    <w:p>
      <w:r>
        <w:rPr>
          <w:rFonts w:hint="eastAsia"/>
          <w:lang w:eastAsia="zh-CN"/>
        </w:rPr>
        <w:t>　　</w:t>
      </w:r>
      <w:r>
        <w:rPr>
          <w:rFonts w:ascii="黑体" w:hAnsi="黑体" w:eastAsia="黑体"/>
        </w:rPr>
        <w:t>第一条</w:t>
      </w:r>
      <w:r>
        <w:rPr>
          <w:rFonts w:hint="eastAsia"/>
          <w:lang w:eastAsia="zh-CN"/>
        </w:rPr>
        <w:t>　</w:t>
      </w:r>
      <w:r>
        <w:t>为了加强对周丰镐、秦阿房宫、汉长安城和唐大明宫遗址（以下称遗址）的保护管理，继承历史文化遗产，发挥文物在社会主义建设中的作用，根据《中华人民共和国文物保护法》及有关法律、法规的规定，结合实际，制定本条例。</w:t>
      </w:r>
    </w:p>
    <w:p>
      <w:r>
        <w:rPr>
          <w:rFonts w:hint="eastAsia"/>
          <w:lang w:eastAsia="zh-CN"/>
        </w:rPr>
        <w:t>　　</w:t>
      </w:r>
      <w:r>
        <w:rPr>
          <w:rFonts w:ascii="黑体" w:hAnsi="黑体" w:eastAsia="黑体"/>
        </w:rPr>
        <w:t>第二条</w:t>
      </w:r>
      <w:r>
        <w:rPr>
          <w:rFonts w:hint="eastAsia"/>
          <w:lang w:eastAsia="zh-CN"/>
        </w:rPr>
        <w:t>　</w:t>
      </w:r>
      <w:r>
        <w:t>在遗址保护范围和建设控制地带内进行生产、生活及其他活动的一切单位和个人，必须遵守本条例。</w:t>
      </w:r>
    </w:p>
    <w:p>
      <w:r>
        <w:rPr>
          <w:rFonts w:hint="eastAsia"/>
          <w:lang w:eastAsia="zh-CN"/>
        </w:rPr>
        <w:t>　　</w:t>
      </w:r>
      <w:r>
        <w:rPr>
          <w:rFonts w:ascii="黑体" w:hAnsi="黑体" w:eastAsia="黑体"/>
        </w:rPr>
        <w:t>第三条</w:t>
      </w:r>
      <w:r>
        <w:rPr>
          <w:rFonts w:hint="eastAsia"/>
          <w:lang w:eastAsia="zh-CN"/>
        </w:rPr>
        <w:t>　</w:t>
      </w:r>
      <w:r>
        <w:t>遗址保护范围内的重点保护区和一般保护区及其周围的建设控制地带，按照省人民政府划定并公布的区域执行。</w:t>
      </w:r>
    </w:p>
    <w:p>
      <w:r>
        <w:rPr>
          <w:rFonts w:hint="eastAsia"/>
          <w:lang w:eastAsia="zh-CN"/>
        </w:rPr>
        <w:t>　　</w:t>
      </w:r>
      <w:r>
        <w:rPr>
          <w:rFonts w:ascii="黑体" w:hAnsi="黑体" w:eastAsia="黑体"/>
        </w:rPr>
        <w:t>第四条</w:t>
      </w:r>
      <w:r>
        <w:rPr>
          <w:rFonts w:hint="eastAsia"/>
          <w:lang w:eastAsia="zh-CN"/>
        </w:rPr>
        <w:t>　</w:t>
      </w:r>
      <w:r>
        <w:t>市人民政府及遗址所在地的人民政府应当把遗址的保护管理纳入社会经济发展计划，做到有效保护与科学利用相结合，继承历史文化遗产与发展经济相结合，专业管理与群众管理相结合。</w:t>
      </w:r>
    </w:p>
    <w:p>
      <w:pPr>
        <w:jc w:val="both"/>
      </w:pPr>
      <w:r>
        <w:rPr>
          <w:rFonts w:hint="eastAsia" w:hAnsi="黑体"/>
          <w:lang w:eastAsia="zh-CN"/>
        </w:rPr>
        <w:t>　　</w:t>
      </w:r>
      <w:r>
        <w:rPr>
          <w:rFonts w:ascii="黑体" w:hAnsi="黑体" w:eastAsia="黑体"/>
        </w:rPr>
        <w:t>第五条</w:t>
      </w:r>
      <w:r>
        <w:rPr>
          <w:rFonts w:hint="eastAsia" w:ascii="黑体" w:hAnsi="黑体" w:eastAsia="黑体"/>
          <w:lang w:eastAsia="zh-CN"/>
        </w:rPr>
        <w:t>　</w:t>
      </w:r>
      <w:r>
        <w:rPr>
          <w:spacing w:val="6"/>
        </w:rPr>
        <w:t>一切单位和个人都有保护遗址的义务，对破坏遗</w:t>
      </w:r>
      <w:r>
        <w:t>址、盗掘文物及其他有损于遗址保护的行为有权制止和检举。</w:t>
      </w:r>
    </w:p>
    <w:p/>
    <w:p>
      <w:pPr>
        <w:jc w:val="center"/>
        <w:rPr>
          <w:rFonts w:ascii="黑体" w:hAnsi="黑体" w:eastAsia="黑体"/>
        </w:rPr>
      </w:pPr>
      <w:r>
        <w:rPr>
          <w:rFonts w:ascii="黑体" w:hAnsi="黑体" w:eastAsia="黑体"/>
        </w:rPr>
        <w:t>第二章</w:t>
      </w:r>
      <w:r>
        <w:rPr>
          <w:rFonts w:hint="eastAsia" w:ascii="黑体" w:hAnsi="黑体" w:eastAsia="黑体"/>
          <w:lang w:eastAsia="zh-CN"/>
        </w:rPr>
        <w:t>　</w:t>
      </w:r>
      <w:r>
        <w:rPr>
          <w:rFonts w:ascii="黑体" w:hAnsi="黑体" w:eastAsia="黑体"/>
        </w:rPr>
        <w:t>管理体制与经费</w:t>
      </w:r>
    </w:p>
    <w:p/>
    <w:p>
      <w:pPr>
        <w:jc w:val="both"/>
      </w:pPr>
      <w:r>
        <w:rPr>
          <w:rFonts w:hint="eastAsia"/>
          <w:lang w:eastAsia="zh-CN"/>
        </w:rPr>
        <w:t>　　</w:t>
      </w:r>
      <w:r>
        <w:rPr>
          <w:rFonts w:ascii="黑体" w:hAnsi="黑体" w:eastAsia="黑体"/>
        </w:rPr>
        <w:t>第六条</w:t>
      </w:r>
      <w:r>
        <w:rPr>
          <w:rFonts w:hint="eastAsia"/>
          <w:lang w:eastAsia="zh-CN"/>
        </w:rPr>
        <w:t>　</w:t>
      </w:r>
      <w:r>
        <w:rPr>
          <w:spacing w:val="6"/>
        </w:rPr>
        <w:t>各级人民政府对遗址保护管理应当建立领导责任</w:t>
      </w:r>
      <w:r>
        <w:t>制，实行分级管理。</w:t>
      </w:r>
    </w:p>
    <w:p>
      <w:pPr>
        <w:ind w:firstLine="629"/>
        <w:jc w:val="distribute"/>
        <w:rPr>
          <w:rFonts w:hint="eastAsia"/>
        </w:rPr>
      </w:pPr>
      <w:r>
        <w:rPr>
          <w:rFonts w:ascii="黑体" w:hAnsi="黑体" w:eastAsia="黑体"/>
        </w:rPr>
        <w:t>第七条</w:t>
      </w:r>
      <w:r>
        <w:rPr>
          <w:rFonts w:hint="eastAsia"/>
          <w:lang w:eastAsia="zh-CN"/>
        </w:rPr>
        <w:t>　</w:t>
      </w:r>
      <w:r>
        <w:t>市文物行政管理部门是遗址保护管理工作的主管部门；区、县文物行政管理部门负责本辖区内遗址的保护管理工</w:t>
      </w:r>
    </w:p>
    <w:p>
      <w:pPr>
        <w:rPr>
          <w:rFonts w:hint="eastAsia"/>
          <w:lang w:eastAsia="zh-CN"/>
        </w:rPr>
      </w:pPr>
      <w:r>
        <w:t>作。</w:t>
      </w:r>
    </w:p>
    <w:p>
      <w:pPr>
        <w:rPr>
          <w:rFonts w:hint="eastAsia"/>
          <w:lang w:eastAsia="zh-CN"/>
        </w:rPr>
      </w:pPr>
      <w:r>
        <w:rPr>
          <w:rFonts w:hint="eastAsia"/>
          <w:lang w:eastAsia="zh-CN"/>
        </w:rPr>
        <w:t>　　</w:t>
      </w:r>
      <w:r>
        <w:t>乡、镇人民政府及街道办事处协助区、县文物行政管理部门</w:t>
      </w:r>
    </w:p>
    <w:p>
      <w:r>
        <w:t>和有关部门，负责本辖区内遗址的保护管理工作。</w:t>
      </w:r>
    </w:p>
    <w:p>
      <w:r>
        <w:rPr>
          <w:rFonts w:hint="eastAsia"/>
          <w:lang w:eastAsia="zh-CN"/>
        </w:rPr>
        <w:t>　　</w:t>
      </w:r>
      <w:r>
        <w:t>市和区、县的规划、国土资源、公安、环保、工商等行政管理部门按照法律、法规规定的职责，对遗址进行保护管理。</w:t>
      </w:r>
    </w:p>
    <w:p>
      <w:r>
        <w:rPr>
          <w:rFonts w:hint="eastAsia"/>
          <w:lang w:eastAsia="zh-CN"/>
        </w:rPr>
        <w:t>　　</w:t>
      </w:r>
      <w:r>
        <w:rPr>
          <w:rFonts w:ascii="黑体" w:hAnsi="黑体" w:eastAsia="黑体"/>
        </w:rPr>
        <w:t>第八条</w:t>
      </w:r>
      <w:r>
        <w:rPr>
          <w:rFonts w:hint="eastAsia"/>
          <w:lang w:eastAsia="zh-CN"/>
        </w:rPr>
        <w:t>　</w:t>
      </w:r>
      <w:r>
        <w:t>遗址所在地的村民委员会、居民委员会应当成立群众性的遗址保护组织，宣传文物保护法律、法规，协助有关部门做好遗址保护管理工作。</w:t>
      </w:r>
    </w:p>
    <w:p>
      <w:r>
        <w:rPr>
          <w:rFonts w:hint="eastAsia"/>
          <w:lang w:eastAsia="zh-CN"/>
        </w:rPr>
        <w:t>　　</w:t>
      </w:r>
      <w:r>
        <w:rPr>
          <w:rFonts w:ascii="黑体" w:hAnsi="黑体" w:eastAsia="黑体"/>
        </w:rPr>
        <w:t>第九条</w:t>
      </w:r>
      <w:r>
        <w:rPr>
          <w:rFonts w:hint="eastAsia"/>
          <w:lang w:eastAsia="zh-CN"/>
        </w:rPr>
        <w:t>　</w:t>
      </w:r>
      <w:r>
        <w:t>遗址文物保护经费纳入各级人民政府财政预算。</w:t>
      </w:r>
    </w:p>
    <w:p>
      <w:r>
        <w:rPr>
          <w:rFonts w:hint="eastAsia"/>
          <w:lang w:eastAsia="zh-CN"/>
        </w:rPr>
        <w:t>　　</w:t>
      </w:r>
      <w:r>
        <w:rPr>
          <w:rFonts w:ascii="黑体" w:hAnsi="黑体" w:eastAsia="黑体"/>
        </w:rPr>
        <w:t>第十条</w:t>
      </w:r>
      <w:r>
        <w:rPr>
          <w:rFonts w:hint="eastAsia"/>
          <w:lang w:eastAsia="zh-CN"/>
        </w:rPr>
        <w:t>　</w:t>
      </w:r>
      <w:r>
        <w:t>市人民政府应当组织社会财力设立遗址保护基金。鼓励和支持国内外组织和个人为遗址保护捐款、赞助。</w:t>
      </w:r>
    </w:p>
    <w:p>
      <w:r>
        <w:rPr>
          <w:rFonts w:hint="eastAsia"/>
          <w:lang w:eastAsia="zh-CN"/>
        </w:rPr>
        <w:t>　　</w:t>
      </w:r>
      <w:r>
        <w:t>遗址保护基金和捐赠、赞助的财物，应当用于遗址的保护事业，不得挪作他用。</w:t>
      </w:r>
    </w:p>
    <w:p/>
    <w:p>
      <w:pPr>
        <w:jc w:val="center"/>
        <w:rPr>
          <w:rFonts w:ascii="黑体" w:hAnsi="黑体" w:eastAsia="黑体"/>
        </w:rPr>
      </w:pPr>
      <w:r>
        <w:rPr>
          <w:rFonts w:ascii="黑体" w:hAnsi="黑体" w:eastAsia="黑体"/>
        </w:rPr>
        <w:t>第三章</w:t>
      </w:r>
      <w:r>
        <w:rPr>
          <w:rFonts w:hint="eastAsia" w:ascii="黑体" w:hAnsi="黑体" w:eastAsia="黑体"/>
          <w:lang w:eastAsia="zh-CN"/>
        </w:rPr>
        <w:t>　</w:t>
      </w:r>
      <w:r>
        <w:rPr>
          <w:rFonts w:ascii="黑体" w:hAnsi="黑体" w:eastAsia="黑体"/>
        </w:rPr>
        <w:t>保护管理</w:t>
      </w:r>
    </w:p>
    <w:p/>
    <w:p>
      <w:r>
        <w:rPr>
          <w:rFonts w:hint="eastAsia"/>
          <w:lang w:eastAsia="zh-CN"/>
        </w:rPr>
        <w:t>　　</w:t>
      </w:r>
      <w:r>
        <w:rPr>
          <w:rFonts w:ascii="黑体" w:hAnsi="黑体" w:eastAsia="黑体"/>
        </w:rPr>
        <w:t>第十一条</w:t>
      </w:r>
      <w:r>
        <w:rPr>
          <w:rFonts w:hint="eastAsia"/>
          <w:lang w:eastAsia="zh-CN"/>
        </w:rPr>
        <w:t>　</w:t>
      </w:r>
      <w:r>
        <w:t>市人民政府应当把遗址保护管理和开发利用规划纳入城市总体规划。</w:t>
      </w:r>
    </w:p>
    <w:p>
      <w:r>
        <w:rPr>
          <w:rFonts w:hint="eastAsia"/>
          <w:lang w:eastAsia="zh-CN"/>
        </w:rPr>
        <w:t>　　</w:t>
      </w:r>
      <w:r>
        <w:t>市文物行政管理部门会同市规划行政管理部门及其他有关部门，根据城市总体规划编制遗址保护管理和开发利用详细规划，报市人民政府及上级文物行政管理部门批准后实施。</w:t>
      </w:r>
    </w:p>
    <w:p>
      <w:pPr>
        <w:ind w:firstLine="630"/>
        <w:rPr>
          <w:rFonts w:hint="eastAsia"/>
          <w:lang w:eastAsia="zh-CN"/>
        </w:rPr>
      </w:pPr>
      <w:r>
        <w:rPr>
          <w:rFonts w:ascii="黑体" w:hAnsi="黑体" w:eastAsia="黑体"/>
        </w:rPr>
        <w:t>第十二条</w:t>
      </w:r>
      <w:r>
        <w:rPr>
          <w:rFonts w:hint="eastAsia"/>
          <w:lang w:eastAsia="zh-CN"/>
        </w:rPr>
        <w:t>　</w:t>
      </w:r>
      <w:r>
        <w:t>市文物行政管理部门在遗址的保护范围和建设控</w:t>
      </w:r>
    </w:p>
    <w:p>
      <w:r>
        <w:t>制地带设立标志说明、界桩和保护设施。</w:t>
      </w:r>
    </w:p>
    <w:p>
      <w:pPr>
        <w:rPr>
          <w:rFonts w:hint="eastAsia"/>
        </w:rPr>
      </w:pPr>
      <w:r>
        <w:rPr>
          <w:rFonts w:hint="eastAsia"/>
          <w:lang w:eastAsia="zh-CN"/>
        </w:rPr>
        <w:t>　　</w:t>
      </w:r>
      <w:r>
        <w:t>标志说明、界桩和保护设施损坏的，应当及时修复。</w:t>
      </w:r>
    </w:p>
    <w:p>
      <w:r>
        <w:rPr>
          <w:rFonts w:hint="eastAsia"/>
          <w:lang w:eastAsia="zh-CN"/>
        </w:rPr>
        <w:t>　　</w:t>
      </w:r>
      <w:r>
        <w:rPr>
          <w:rFonts w:ascii="黑体" w:hAnsi="黑体" w:eastAsia="黑体"/>
        </w:rPr>
        <w:t>第十三条</w:t>
      </w:r>
      <w:r>
        <w:rPr>
          <w:rFonts w:hint="eastAsia"/>
          <w:lang w:eastAsia="zh-CN"/>
        </w:rPr>
        <w:t>　</w:t>
      </w:r>
      <w:r>
        <w:t>在遗址重点保护区内，不得进行与遗址保护无关的建设工程，禁止挖沙、取土、挖建池塘或者从事其他有损于遗址保护的活动。</w:t>
      </w:r>
    </w:p>
    <w:p>
      <w:r>
        <w:rPr>
          <w:rFonts w:hint="eastAsia"/>
          <w:lang w:eastAsia="zh-CN"/>
        </w:rPr>
        <w:t>　　</w:t>
      </w:r>
      <w:r>
        <w:t>重点保护区内的单位和个人因生产、生活确需少量取土或者修建简易设施的，必须经市文物行政管理部门同意并报省文物行政管理部门备案，在指定的地点进行。</w:t>
      </w:r>
    </w:p>
    <w:p>
      <w:r>
        <w:rPr>
          <w:rFonts w:hint="eastAsia"/>
          <w:lang w:eastAsia="zh-CN"/>
        </w:rPr>
        <w:t>　　</w:t>
      </w:r>
      <w:r>
        <w:t>重点保护区内有碍遗址保护的现有建筑及其他设施按照国家计划，由区、县人民政府分期分批组织迁建或拆除，并按有关规定对被拆迁的村民、居民予以安置和补偿。</w:t>
      </w:r>
    </w:p>
    <w:p>
      <w:r>
        <w:rPr>
          <w:rFonts w:hint="eastAsia"/>
          <w:lang w:eastAsia="zh-CN"/>
        </w:rPr>
        <w:t>　　</w:t>
      </w:r>
      <w:r>
        <w:rPr>
          <w:rFonts w:ascii="黑体" w:hAnsi="黑体" w:eastAsia="黑体"/>
        </w:rPr>
        <w:t>第十四条</w:t>
      </w:r>
      <w:r>
        <w:rPr>
          <w:rFonts w:hint="eastAsia"/>
          <w:lang w:eastAsia="zh-CN"/>
        </w:rPr>
        <w:t>　</w:t>
      </w:r>
      <w:r>
        <w:t>在遗址一般保护区内，不得进行与遗址保护无关的大中型工程建设和有碍遗址环境风貌的小型工程建设，禁止大面积或者深层次挖沙、取土、挖建池塘。</w:t>
      </w:r>
    </w:p>
    <w:p>
      <w:r>
        <w:rPr>
          <w:rFonts w:hint="eastAsia"/>
          <w:lang w:eastAsia="zh-CN"/>
        </w:rPr>
        <w:t>　　</w:t>
      </w:r>
      <w:r>
        <w:t>一般保护区内的单位和个人因生产、生活确需修建房屋或者其他小型设施的，必须经市文物行政管理部门同意并报省文物行政管理部门备案，其建筑高度不得超过八米。</w:t>
      </w:r>
    </w:p>
    <w:p>
      <w:pPr>
        <w:rPr>
          <w:rFonts w:hint="eastAsia"/>
          <w:lang w:eastAsia="zh-CN"/>
        </w:rPr>
      </w:pPr>
      <w:r>
        <w:rPr>
          <w:rFonts w:hint="eastAsia"/>
          <w:lang w:eastAsia="zh-CN"/>
        </w:rPr>
        <w:t>　　</w:t>
      </w:r>
      <w:r>
        <w:t>一般保护区内的现有建筑和设施，不符合保护遗址及环境风貌要求的，应当分期分批进行改造或者拆迁，并按有关规定对被拆迁的村民、居民予以安置和补偿。</w:t>
      </w:r>
    </w:p>
    <w:p>
      <w:pPr>
        <w:ind w:firstLine="630"/>
        <w:rPr>
          <w:rFonts w:hint="eastAsia"/>
          <w:lang w:eastAsia="zh-CN"/>
        </w:rPr>
      </w:pPr>
      <w:r>
        <w:rPr>
          <w:rFonts w:ascii="黑体" w:hAnsi="黑体" w:eastAsia="黑体"/>
        </w:rPr>
        <w:t>第十五条</w:t>
      </w:r>
      <w:r>
        <w:rPr>
          <w:rFonts w:hint="eastAsia"/>
          <w:lang w:eastAsia="zh-CN"/>
        </w:rPr>
        <w:t>　</w:t>
      </w:r>
      <w:r>
        <w:t>在遗址保护范围内因特殊需要进行其他工程建设的，建设单位必须向市文物行政管理部门提出申请，经省人民政</w:t>
      </w:r>
    </w:p>
    <w:p>
      <w:r>
        <w:t>府和国家文物行政管理部门同意，方可办理建设规划审批手续。</w:t>
      </w:r>
    </w:p>
    <w:p>
      <w:r>
        <w:rPr>
          <w:rFonts w:hint="eastAsia"/>
          <w:lang w:eastAsia="zh-CN"/>
        </w:rPr>
        <w:t>　　</w:t>
      </w:r>
      <w:r>
        <w:t>在遗址建设控制地带内进行工程建设的，建设单位必须向市文物行政管理部门提出申请，经省文物行政管理部门同意，并报国家文物行政管理部门备案，方可办理建设项目规划审批手续。</w:t>
      </w:r>
    </w:p>
    <w:p>
      <w:r>
        <w:rPr>
          <w:rFonts w:hint="eastAsia"/>
          <w:lang w:eastAsia="zh-CN"/>
        </w:rPr>
        <w:t>　　</w:t>
      </w:r>
      <w:r>
        <w:rPr>
          <w:rFonts w:ascii="黑体" w:hAnsi="黑体" w:eastAsia="黑体"/>
        </w:rPr>
        <w:t>第十六条</w:t>
      </w:r>
      <w:r>
        <w:rPr>
          <w:rFonts w:hint="eastAsia"/>
          <w:lang w:eastAsia="zh-CN"/>
        </w:rPr>
        <w:t>　</w:t>
      </w:r>
      <w:r>
        <w:t>文物行政管理部门对同意进行工程建设的地段，应当及时进行考古勘探和清理发掘，所需费用由建设单位列入投资计划。</w:t>
      </w:r>
    </w:p>
    <w:p>
      <w:r>
        <w:rPr>
          <w:rFonts w:hint="eastAsia"/>
          <w:lang w:eastAsia="zh-CN"/>
        </w:rPr>
        <w:t>　　</w:t>
      </w:r>
      <w:r>
        <w:rPr>
          <w:rFonts w:ascii="黑体" w:hAnsi="黑体" w:eastAsia="黑体"/>
        </w:rPr>
        <w:t>第十七条</w:t>
      </w:r>
      <w:r>
        <w:rPr>
          <w:rFonts w:hint="eastAsia"/>
          <w:lang w:eastAsia="zh-CN"/>
        </w:rPr>
        <w:t>　</w:t>
      </w:r>
      <w:r>
        <w:t>在遗址建设控制地带内进行工程建设或者从事其他生产经营活动的，不得破坏遗址的环境风貌，不得污染环境，不得危及文物安全。</w:t>
      </w:r>
    </w:p>
    <w:p>
      <w:pPr>
        <w:jc w:val="both"/>
      </w:pPr>
      <w:r>
        <w:rPr>
          <w:rFonts w:hint="eastAsia"/>
          <w:lang w:eastAsia="zh-CN"/>
        </w:rPr>
        <w:t>　　</w:t>
      </w:r>
      <w:r>
        <w:rPr>
          <w:rFonts w:ascii="黑体" w:hAnsi="黑体" w:eastAsia="黑体"/>
        </w:rPr>
        <w:t>第十八条</w:t>
      </w:r>
      <w:r>
        <w:rPr>
          <w:rFonts w:hint="eastAsia"/>
          <w:lang w:eastAsia="zh-CN"/>
        </w:rPr>
        <w:t>　</w:t>
      </w:r>
      <w:r>
        <w:t>在遗址保护范围内，不得擅自修建道路和其他设施；不得污损、刻划或者擅自移动拆除文物保护设施；不得侵占、买卖或者以其他形式非法转让土地；不得设置垃圾堆放场地及其他有损于遗址保护的设施。</w:t>
      </w:r>
    </w:p>
    <w:p>
      <w:r>
        <w:rPr>
          <w:rFonts w:hint="eastAsia"/>
          <w:lang w:eastAsia="zh-CN"/>
        </w:rPr>
        <w:t>　　</w:t>
      </w:r>
      <w:r>
        <w:rPr>
          <w:rFonts w:ascii="黑体" w:hAnsi="黑体" w:eastAsia="黑体"/>
        </w:rPr>
        <w:t>第十九条</w:t>
      </w:r>
      <w:r>
        <w:rPr>
          <w:rFonts w:hint="eastAsia"/>
          <w:lang w:eastAsia="zh-CN"/>
        </w:rPr>
        <w:t>　</w:t>
      </w:r>
      <w:r>
        <w:t>在遗址保护范围内发现出土文物的，必须移交文物行政管理部门；发现文物遗存的，应当采取措施保护现场，立即报告文物行政管理部门处理。</w:t>
      </w:r>
    </w:p>
    <w:p>
      <w:pPr>
        <w:ind w:firstLine="630"/>
        <w:rPr>
          <w:rFonts w:hint="eastAsia"/>
          <w:lang w:eastAsia="zh-CN"/>
        </w:rPr>
      </w:pPr>
      <w:r>
        <w:rPr>
          <w:rFonts w:ascii="黑体" w:hAnsi="黑体" w:eastAsia="黑体"/>
        </w:rPr>
        <w:t>第二十条</w:t>
      </w:r>
      <w:r>
        <w:rPr>
          <w:rFonts w:hint="eastAsia"/>
          <w:lang w:eastAsia="zh-CN"/>
        </w:rPr>
        <w:t>　</w:t>
      </w:r>
      <w:r>
        <w:t>市人民政府及遗址所在地的各级人民政府应当根据城市总体规划，鼓励、支持在遗址保护范围和建设控制地带内从事有利于遗址保护的绿化、种植和旅游事业，提倡和支持在遗址保护范围内开发展示遗址格局和风貌、陈列出土文物、宣传历史文化等内容的项目。</w:t>
      </w:r>
    </w:p>
    <w:p>
      <w:pPr>
        <w:ind w:firstLine="630"/>
        <w:rPr>
          <w:rFonts w:hint="eastAsia"/>
          <w:lang w:eastAsia="zh-CN"/>
        </w:rPr>
      </w:pPr>
    </w:p>
    <w:p>
      <w:pPr>
        <w:jc w:val="center"/>
        <w:rPr>
          <w:rFonts w:ascii="黑体" w:hAnsi="黑体" w:eastAsia="黑体"/>
        </w:rPr>
      </w:pPr>
      <w:r>
        <w:rPr>
          <w:rFonts w:ascii="黑体" w:hAnsi="黑体" w:eastAsia="黑体"/>
        </w:rPr>
        <w:t>第四章</w:t>
      </w:r>
      <w:r>
        <w:rPr>
          <w:rFonts w:hint="eastAsia" w:ascii="黑体" w:hAnsi="黑体" w:eastAsia="黑体"/>
          <w:lang w:eastAsia="zh-CN"/>
        </w:rPr>
        <w:t>　</w:t>
      </w:r>
      <w:r>
        <w:rPr>
          <w:rFonts w:ascii="黑体" w:hAnsi="黑体" w:eastAsia="黑体"/>
        </w:rPr>
        <w:t>奖励与处罚</w:t>
      </w:r>
    </w:p>
    <w:p/>
    <w:p>
      <w:r>
        <w:rPr>
          <w:rFonts w:hint="eastAsia"/>
          <w:lang w:eastAsia="zh-CN"/>
        </w:rPr>
        <w:t>　　</w:t>
      </w:r>
      <w:r>
        <w:rPr>
          <w:rFonts w:ascii="黑体" w:hAnsi="黑体" w:eastAsia="黑体"/>
        </w:rPr>
        <w:t>第二十一条</w:t>
      </w:r>
      <w:r>
        <w:rPr>
          <w:rFonts w:hint="eastAsia"/>
          <w:lang w:eastAsia="zh-CN"/>
        </w:rPr>
        <w:t>　</w:t>
      </w:r>
      <w:r>
        <w:t>单位或者个人有下列情形之一的，由市、区、县人民政府或者文物行政管理部门给予表彰奖励：</w:t>
      </w:r>
    </w:p>
    <w:p>
      <w:r>
        <w:rPr>
          <w:rFonts w:hint="eastAsia"/>
          <w:lang w:eastAsia="zh-CN"/>
        </w:rPr>
        <w:t>　　</w:t>
      </w:r>
      <w:r>
        <w:t>（一）认真执行文物保护法律、法规和本条例，保护遗址成绩显著的；</w:t>
      </w:r>
    </w:p>
    <w:p>
      <w:pPr>
        <w:ind w:firstLine="630"/>
        <w:rPr>
          <w:rFonts w:hint="eastAsia"/>
          <w:lang w:eastAsia="zh-CN"/>
        </w:rPr>
      </w:pPr>
      <w:r>
        <w:t>（二）制止、检举破坏遗址行为有贡献的；</w:t>
      </w:r>
    </w:p>
    <w:p>
      <w:pPr>
        <w:ind w:firstLine="629"/>
        <w:jc w:val="both"/>
      </w:pPr>
      <w:r>
        <w:t>（三）在遗址、地下文物面临破坏危险时，进行抢救有功的；</w:t>
      </w:r>
    </w:p>
    <w:p>
      <w:pPr>
        <w:ind w:firstLine="630"/>
        <w:rPr>
          <w:rFonts w:hint="eastAsia"/>
          <w:lang w:eastAsia="zh-CN"/>
        </w:rPr>
      </w:pPr>
      <w:r>
        <w:t>（四）发现遗存文物及时保护、上报或者上交的；</w:t>
      </w:r>
    </w:p>
    <w:p>
      <w:pPr>
        <w:ind w:firstLine="630"/>
        <w:rPr>
          <w:rFonts w:hint="eastAsia"/>
          <w:lang w:eastAsia="zh-CN"/>
        </w:rPr>
      </w:pPr>
      <w:r>
        <w:t>（五）将个人收藏的文物上交给国家的；</w:t>
      </w:r>
    </w:p>
    <w:p>
      <w:pPr>
        <w:ind w:firstLine="630"/>
      </w:pPr>
      <w:r>
        <w:t>（六）为保护遗址做出其他贡献的。</w:t>
      </w:r>
    </w:p>
    <w:p>
      <w:r>
        <w:rPr>
          <w:rFonts w:hint="eastAsia"/>
          <w:lang w:eastAsia="zh-CN"/>
        </w:rPr>
        <w:t>　　</w:t>
      </w:r>
      <w:r>
        <w:rPr>
          <w:rFonts w:ascii="黑体" w:hAnsi="黑体" w:eastAsia="黑体"/>
        </w:rPr>
        <w:t>第二十二条</w:t>
      </w:r>
      <w:r>
        <w:rPr>
          <w:rFonts w:hint="eastAsia"/>
          <w:lang w:eastAsia="zh-CN"/>
        </w:rPr>
        <w:t>　</w:t>
      </w:r>
      <w:r>
        <w:t>违反本条例有下列行为之一的，由市或者区、县文物行政管理部门责令限期改正，恢复原状，赔偿损失，并处以罚款：</w:t>
      </w:r>
    </w:p>
    <w:p>
      <w:pPr>
        <w:ind w:firstLine="630"/>
        <w:rPr>
          <w:rFonts w:hint="eastAsia"/>
          <w:lang w:eastAsia="zh-CN"/>
        </w:rPr>
      </w:pPr>
      <w:r>
        <w:t>（一）刻划、污损保护标志说明的，处以二百元以下罚款；</w:t>
      </w:r>
    </w:p>
    <w:p>
      <w:pPr>
        <w:ind w:firstLine="630"/>
      </w:pPr>
      <w:r>
        <w:t>（二）擅自移动、拆除、损坏标志说明、界桩或者遗址保护设施的，处以五百元以上一千元以下罚款；</w:t>
      </w:r>
    </w:p>
    <w:p>
      <w:pPr>
        <w:rPr>
          <w:rFonts w:hint="eastAsia"/>
          <w:lang w:eastAsia="zh-CN"/>
        </w:rPr>
      </w:pPr>
      <w:r>
        <w:rPr>
          <w:rFonts w:hint="eastAsia"/>
          <w:lang w:eastAsia="zh-CN"/>
        </w:rPr>
        <w:t>　　</w:t>
      </w:r>
      <w:r>
        <w:t>（三）擅自在重点保护区内挖沙、取土、挖建池塘和打井修渠的，按挖掘量每立方米处以五十元罚款；</w:t>
      </w:r>
    </w:p>
    <w:p>
      <w:pPr>
        <w:ind w:firstLine="630"/>
        <w:rPr>
          <w:rFonts w:hint="eastAsia"/>
          <w:lang w:eastAsia="zh-CN"/>
        </w:rPr>
      </w:pPr>
      <w:r>
        <w:t>（四）在一般保护区大面积或者深层次挖沙、取土、挖建池</w:t>
      </w:r>
    </w:p>
    <w:p>
      <w:pPr>
        <w:rPr>
          <w:rFonts w:hint="eastAsia"/>
          <w:lang w:eastAsia="zh-CN"/>
        </w:rPr>
      </w:pPr>
      <w:r>
        <w:t>塘的，按挖掘量每立方米处以三十元罚款。</w:t>
      </w:r>
    </w:p>
    <w:p>
      <w:r>
        <w:rPr>
          <w:rFonts w:hint="eastAsia"/>
          <w:lang w:eastAsia="zh-CN"/>
        </w:rPr>
        <w:t>　　</w:t>
      </w:r>
      <w:r>
        <w:rPr>
          <w:rFonts w:ascii="黑体" w:hAnsi="黑体" w:eastAsia="黑体"/>
        </w:rPr>
        <w:t>第二十三条</w:t>
      </w:r>
      <w:r>
        <w:rPr>
          <w:rFonts w:hint="eastAsia"/>
          <w:lang w:eastAsia="zh-CN"/>
        </w:rPr>
        <w:t>　</w:t>
      </w:r>
      <w:r>
        <w:t>违反本条例规定，在遗址保护范围及建设控制地带内进行工程建设的，由规划行政管理部门或者由规划行政管理部门根据文物行政管理部门的意见责令停工，责令拆除违法修建的建筑物、构筑物，恢复原状或者处以罚款。</w:t>
      </w:r>
    </w:p>
    <w:p>
      <w:r>
        <w:rPr>
          <w:rFonts w:hint="eastAsia"/>
          <w:lang w:eastAsia="zh-CN"/>
        </w:rPr>
        <w:t>　　</w:t>
      </w:r>
      <w:r>
        <w:rPr>
          <w:rFonts w:ascii="黑体" w:hAnsi="黑体" w:eastAsia="黑体"/>
        </w:rPr>
        <w:t>第二十四条</w:t>
      </w:r>
      <w:r>
        <w:rPr>
          <w:rFonts w:hint="eastAsia"/>
          <w:lang w:eastAsia="zh-CN"/>
        </w:rPr>
        <w:t>　</w:t>
      </w:r>
      <w:r>
        <w:t>在遗址保护范围内，侵占、买卖、非法转让土地的，或者擅自设立垃圾堆放场地的，分别由国土资源行政管理部门、市容园林行政管理部门根据有关法律、法规的规定予以处罚。</w:t>
      </w:r>
    </w:p>
    <w:p>
      <w:r>
        <w:rPr>
          <w:rFonts w:hint="eastAsia"/>
          <w:lang w:eastAsia="zh-CN"/>
        </w:rPr>
        <w:t>　　</w:t>
      </w:r>
      <w:r>
        <w:rPr>
          <w:rFonts w:ascii="黑体" w:hAnsi="黑体" w:eastAsia="黑体"/>
        </w:rPr>
        <w:t>第二十五条</w:t>
      </w:r>
      <w:r>
        <w:rPr>
          <w:rFonts w:hint="eastAsia"/>
          <w:lang w:eastAsia="zh-CN"/>
        </w:rPr>
        <w:t>　</w:t>
      </w:r>
      <w:r>
        <w:t>盗掘古墓、非法收购文物或者有其他严重破坏遗址行为，构成犯罪的，由司法机关依法追究刑事责任。</w:t>
      </w:r>
    </w:p>
    <w:p>
      <w:r>
        <w:rPr>
          <w:rFonts w:hint="eastAsia"/>
          <w:lang w:eastAsia="zh-CN"/>
        </w:rPr>
        <w:t>　　</w:t>
      </w:r>
      <w:r>
        <w:rPr>
          <w:rFonts w:ascii="黑体" w:hAnsi="黑体" w:eastAsia="黑体"/>
        </w:rPr>
        <w:t>第二十六条</w:t>
      </w:r>
      <w:r>
        <w:rPr>
          <w:rFonts w:hint="eastAsia"/>
          <w:lang w:eastAsia="zh-CN"/>
        </w:rPr>
        <w:t>　</w:t>
      </w:r>
      <w:r>
        <w:t>单位或组织违反本条例规定的，除给予行政处罚外，对主管领导和直接责任人，由其所在单位、组织或者上级主管机关给予行政处分。</w:t>
      </w:r>
    </w:p>
    <w:p>
      <w:r>
        <w:rPr>
          <w:rFonts w:hint="eastAsia"/>
          <w:lang w:eastAsia="zh-CN"/>
        </w:rPr>
        <w:t>　　</w:t>
      </w:r>
      <w:r>
        <w:rPr>
          <w:rFonts w:ascii="黑体" w:hAnsi="黑体" w:eastAsia="黑体"/>
        </w:rPr>
        <w:t>第二十七条</w:t>
      </w:r>
      <w:r>
        <w:rPr>
          <w:rFonts w:hint="eastAsia"/>
          <w:lang w:eastAsia="zh-CN"/>
        </w:rPr>
        <w:t>　</w:t>
      </w:r>
      <w:r>
        <w:t>依照本条例所处的罚款，全额上缴同级财政，用于遗址保护。</w:t>
      </w:r>
    </w:p>
    <w:p>
      <w:pPr>
        <w:jc w:val="both"/>
      </w:pPr>
      <w:r>
        <w:rPr>
          <w:rFonts w:hint="eastAsia"/>
          <w:lang w:eastAsia="zh-CN"/>
        </w:rPr>
        <w:t>　　</w:t>
      </w:r>
      <w:r>
        <w:rPr>
          <w:rFonts w:ascii="黑体" w:hAnsi="黑体" w:eastAsia="黑体"/>
        </w:rPr>
        <w:t>第二十八条</w:t>
      </w:r>
      <w:r>
        <w:rPr>
          <w:rFonts w:hint="eastAsia"/>
          <w:lang w:eastAsia="zh-CN"/>
        </w:rPr>
        <w:t>　</w:t>
      </w:r>
      <w:r>
        <w:t>当事人对行政处罚决定不服的，可以依法申请复议或者向人民法院提起诉讼。当事人逾期不申请复议、不起诉、又不履行处罚决定的，作出处罚决定的机关可以申请人民法院强制执行。</w:t>
      </w:r>
    </w:p>
    <w:p>
      <w:pPr>
        <w:ind w:firstLine="629"/>
        <w:jc w:val="both"/>
        <w:rPr>
          <w:rFonts w:hint="eastAsia"/>
          <w:lang w:eastAsia="zh-CN"/>
        </w:rPr>
      </w:pPr>
      <w:r>
        <w:rPr>
          <w:rFonts w:ascii="黑体" w:hAnsi="黑体" w:eastAsia="黑体"/>
        </w:rPr>
        <w:t>第二十九条</w:t>
      </w:r>
      <w:r>
        <w:rPr>
          <w:rFonts w:hint="eastAsia"/>
          <w:lang w:eastAsia="zh-CN"/>
        </w:rPr>
        <w:t>　</w:t>
      </w:r>
      <w:r>
        <w:rPr>
          <w:spacing w:val="6"/>
        </w:rPr>
        <w:t>国家工作人员在遗址保护管理工作中滥用职</w:t>
      </w:r>
      <w:r>
        <w:t>权、玩忽职守、徇私舞弊的，由其所在单位或者上级主管机关给</w:t>
      </w:r>
    </w:p>
    <w:p>
      <w:pPr>
        <w:rPr>
          <w:lang w:eastAsia="zh-CN"/>
        </w:rPr>
      </w:pPr>
      <w:r>
        <w:t>予行政处分；构成犯罪的，由司法机关依法追究刑事责任；给当事人造成损失的，应当依法予以赔偿。</w:t>
      </w:r>
    </w:p>
    <w:p>
      <w:r>
        <w:rPr>
          <w:rFonts w:hint="eastAsia"/>
          <w:lang w:eastAsia="zh-CN"/>
        </w:rPr>
        <w:t>　　</w:t>
      </w:r>
      <w:r>
        <w:rPr>
          <w:rFonts w:ascii="黑体" w:hAnsi="黑体" w:eastAsia="黑体"/>
        </w:rPr>
        <w:t>第三十条</w:t>
      </w:r>
      <w:r>
        <w:rPr>
          <w:rFonts w:hint="eastAsia"/>
          <w:lang w:eastAsia="zh-CN"/>
        </w:rPr>
        <w:t>　</w:t>
      </w:r>
      <w:r>
        <w:t>拒绝、阻碍执行遗址保护管理公务的，由公安机关依照《中华人民共和国治安管理处罚法》给予处罚；构成犯罪的，由司法机关依法追究刑事责任。</w:t>
      </w:r>
    </w:p>
    <w:p/>
    <w:p>
      <w:pPr>
        <w:jc w:val="center"/>
        <w:rPr>
          <w:rFonts w:ascii="黑体" w:hAnsi="黑体" w:eastAsia="黑体"/>
        </w:rPr>
      </w:pPr>
      <w:r>
        <w:rPr>
          <w:rFonts w:ascii="黑体" w:hAnsi="黑体" w:eastAsia="黑体"/>
        </w:rPr>
        <w:t>第五章</w:t>
      </w:r>
      <w:r>
        <w:rPr>
          <w:rFonts w:hint="eastAsia" w:ascii="黑体" w:hAnsi="黑体" w:eastAsia="黑体"/>
          <w:lang w:eastAsia="zh-CN"/>
        </w:rPr>
        <w:t>　</w:t>
      </w:r>
      <w:r>
        <w:rPr>
          <w:rFonts w:ascii="黑体" w:hAnsi="黑体" w:eastAsia="黑体"/>
        </w:rPr>
        <w:t>附则</w:t>
      </w:r>
    </w:p>
    <w:p/>
    <w:p>
      <w:r>
        <w:rPr>
          <w:rFonts w:hint="eastAsia"/>
          <w:lang w:eastAsia="zh-CN"/>
        </w:rPr>
        <w:t>　　</w:t>
      </w:r>
      <w:r>
        <w:rPr>
          <w:rFonts w:ascii="黑体" w:hAnsi="黑体" w:eastAsia="黑体"/>
        </w:rPr>
        <w:t>第三十一条</w:t>
      </w:r>
      <w:r>
        <w:rPr>
          <w:rFonts w:hint="eastAsia"/>
          <w:lang w:eastAsia="zh-CN"/>
        </w:rPr>
        <w:t>　</w:t>
      </w:r>
      <w:r>
        <w:t>本条例自公布之日起施行。</w:t>
      </w:r>
    </w:p>
    <w:p/>
    <w:sectPr>
      <w:footerReference r:id="rId3" w:type="default"/>
      <w:footerReference r:id="rId4" w:type="even"/>
      <w:pgSz w:w="11906" w:h="16838"/>
      <w:pgMar w:top="2098" w:right="1474" w:bottom="1985" w:left="1588" w:header="851" w:footer="1389"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right="320" w:rightChars="100"/>
      <w:rPr>
        <w:rStyle w:val="5"/>
        <w:rFonts w:ascii="宋体" w:hAnsi="宋体" w:eastAsia="宋体"/>
        <w:sz w:val="28"/>
        <w:szCs w:val="28"/>
      </w:rPr>
    </w:pPr>
    <w:r>
      <w:rPr>
        <w:rStyle w:val="5"/>
        <w:rFonts w:hint="eastAsia" w:ascii="宋体" w:hAnsi="宋体" w:eastAsia="宋体"/>
        <w:sz w:val="28"/>
        <w:szCs w:val="28"/>
      </w:rPr>
      <w:t>—</w:t>
    </w:r>
    <w:r>
      <w:rPr>
        <w:rStyle w:val="5"/>
        <w:rFonts w:hint="eastAsia" w:ascii="宋体" w:hAnsi="宋体" w:eastAsia="宋体"/>
        <w:sz w:val="28"/>
        <w:szCs w:val="28"/>
        <w:lang w:eastAsia="zh-CN"/>
      </w:rPr>
      <w:t xml:space="preserve"> </w:t>
    </w:r>
    <w:r>
      <w:rPr>
        <w:rStyle w:val="5"/>
        <w:rFonts w:ascii="宋体" w:hAnsi="宋体" w:eastAsia="宋体"/>
        <w:sz w:val="28"/>
        <w:szCs w:val="28"/>
      </w:rPr>
      <w:fldChar w:fldCharType="begin"/>
    </w:r>
    <w:r>
      <w:rPr>
        <w:rStyle w:val="5"/>
        <w:rFonts w:ascii="宋体" w:hAnsi="宋体" w:eastAsia="宋体"/>
        <w:sz w:val="28"/>
        <w:szCs w:val="28"/>
      </w:rPr>
      <w:instrText xml:space="preserve">PAGE  </w:instrText>
    </w:r>
    <w:r>
      <w:rPr>
        <w:rStyle w:val="5"/>
        <w:rFonts w:ascii="宋体" w:hAnsi="宋体" w:eastAsia="宋体"/>
        <w:sz w:val="28"/>
        <w:szCs w:val="28"/>
      </w:rPr>
      <w:fldChar w:fldCharType="separate"/>
    </w:r>
    <w:r>
      <w:rPr>
        <w:rStyle w:val="5"/>
        <w:rFonts w:ascii="宋体" w:hAnsi="宋体" w:eastAsia="宋体"/>
        <w:sz w:val="28"/>
        <w:szCs w:val="28"/>
        <w:lang/>
      </w:rPr>
      <w:t>7</w:t>
    </w:r>
    <w:r>
      <w:rPr>
        <w:rStyle w:val="5"/>
        <w:rFonts w:ascii="宋体" w:hAnsi="宋体" w:eastAsia="宋体"/>
        <w:sz w:val="28"/>
        <w:szCs w:val="28"/>
      </w:rPr>
      <w:fldChar w:fldCharType="end"/>
    </w:r>
    <w:r>
      <w:rPr>
        <w:rStyle w:val="5"/>
        <w:rFonts w:hint="eastAsia" w:ascii="宋体" w:hAnsi="宋体" w:eastAsia="宋体"/>
        <w:sz w:val="28"/>
        <w:szCs w:val="28"/>
        <w:lang w:eastAsia="zh-CN"/>
      </w:rPr>
      <w:t xml:space="preserve"> </w:t>
    </w:r>
    <w:r>
      <w:rPr>
        <w:rStyle w:val="5"/>
        <w:rFonts w:hint="eastAsia" w:ascii="宋体" w:hAnsi="宋体" w:eastAsia="宋体"/>
        <w:sz w:val="28"/>
        <w:szCs w:val="28"/>
      </w:rPr>
      <w:t>—</w:t>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left="320" w:leftChars="100"/>
      <w:rPr>
        <w:rStyle w:val="5"/>
        <w:rFonts w:ascii="宋体" w:hAnsi="宋体" w:eastAsia="宋体"/>
        <w:sz w:val="28"/>
        <w:szCs w:val="28"/>
      </w:rPr>
    </w:pPr>
    <w:r>
      <w:rPr>
        <w:rStyle w:val="5"/>
        <w:rFonts w:hint="eastAsia" w:ascii="宋体" w:hAnsi="宋体" w:eastAsia="宋体"/>
        <w:sz w:val="28"/>
        <w:szCs w:val="28"/>
      </w:rPr>
      <w:t>—</w:t>
    </w:r>
    <w:r>
      <w:rPr>
        <w:rStyle w:val="5"/>
        <w:rFonts w:hint="eastAsia" w:ascii="宋体" w:hAnsi="宋体" w:eastAsia="宋体"/>
        <w:sz w:val="28"/>
        <w:szCs w:val="28"/>
        <w:lang w:eastAsia="zh-CN"/>
      </w:rPr>
      <w:t xml:space="preserve"> </w:t>
    </w:r>
    <w:r>
      <w:rPr>
        <w:rStyle w:val="5"/>
        <w:rFonts w:ascii="宋体" w:hAnsi="宋体" w:eastAsia="宋体"/>
        <w:sz w:val="28"/>
        <w:szCs w:val="28"/>
      </w:rPr>
      <w:fldChar w:fldCharType="begin"/>
    </w:r>
    <w:r>
      <w:rPr>
        <w:rStyle w:val="5"/>
        <w:rFonts w:ascii="宋体" w:hAnsi="宋体" w:eastAsia="宋体"/>
        <w:sz w:val="28"/>
        <w:szCs w:val="28"/>
      </w:rPr>
      <w:instrText xml:space="preserve">PAGE  </w:instrText>
    </w:r>
    <w:r>
      <w:rPr>
        <w:rStyle w:val="5"/>
        <w:rFonts w:ascii="宋体" w:hAnsi="宋体" w:eastAsia="宋体"/>
        <w:sz w:val="28"/>
        <w:szCs w:val="28"/>
      </w:rPr>
      <w:fldChar w:fldCharType="separate"/>
    </w:r>
    <w:r>
      <w:rPr>
        <w:rStyle w:val="5"/>
        <w:rFonts w:ascii="宋体" w:hAnsi="宋体" w:eastAsia="宋体"/>
        <w:sz w:val="28"/>
        <w:szCs w:val="28"/>
        <w:lang/>
      </w:rPr>
      <w:t>6</w:t>
    </w:r>
    <w:r>
      <w:rPr>
        <w:rStyle w:val="5"/>
        <w:rFonts w:ascii="宋体" w:hAnsi="宋体" w:eastAsia="宋体"/>
        <w:sz w:val="28"/>
        <w:szCs w:val="28"/>
      </w:rPr>
      <w:fldChar w:fldCharType="end"/>
    </w:r>
    <w:r>
      <w:rPr>
        <w:rStyle w:val="5"/>
        <w:rFonts w:hint="eastAsia" w:ascii="宋体" w:hAnsi="宋体" w:eastAsia="宋体"/>
        <w:sz w:val="28"/>
        <w:szCs w:val="28"/>
        <w:lang w:eastAsia="zh-CN"/>
      </w:rPr>
      <w:t xml:space="preserve"> </w:t>
    </w:r>
    <w:r>
      <w:rPr>
        <w:rStyle w:val="5"/>
        <w:rFonts w:hint="eastAsia" w:ascii="宋体" w:hAnsi="宋体" w:eastAsia="宋体"/>
        <w:sz w:val="28"/>
        <w:szCs w:val="28"/>
      </w:rPr>
      <w:t>—</w:t>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HorizontalSpacing w:val="158"/>
  <w:drawingGridVerticalSpacing w:val="579"/>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6BF8"/>
    <w:rsid w:val="00032683"/>
    <w:rsid w:val="000508A0"/>
    <w:rsid w:val="000A6BF8"/>
    <w:rsid w:val="000A7BED"/>
    <w:rsid w:val="0011728E"/>
    <w:rsid w:val="001724CE"/>
    <w:rsid w:val="00236A9C"/>
    <w:rsid w:val="002C06D8"/>
    <w:rsid w:val="00336FC8"/>
    <w:rsid w:val="003667D1"/>
    <w:rsid w:val="003978BC"/>
    <w:rsid w:val="003A4226"/>
    <w:rsid w:val="003C3EB2"/>
    <w:rsid w:val="00406B8B"/>
    <w:rsid w:val="00407C14"/>
    <w:rsid w:val="006A6A12"/>
    <w:rsid w:val="006E236D"/>
    <w:rsid w:val="00702CCF"/>
    <w:rsid w:val="00727A1C"/>
    <w:rsid w:val="00782F5F"/>
    <w:rsid w:val="007E65DB"/>
    <w:rsid w:val="008045E4"/>
    <w:rsid w:val="008452E6"/>
    <w:rsid w:val="009F29E8"/>
    <w:rsid w:val="00A35702"/>
    <w:rsid w:val="00A5578D"/>
    <w:rsid w:val="00A95E4A"/>
    <w:rsid w:val="00B36460"/>
    <w:rsid w:val="00C613ED"/>
    <w:rsid w:val="00DD6D02"/>
    <w:rsid w:val="00E51A55"/>
    <w:rsid w:val="00F400D1"/>
    <w:rsid w:val="00FD3041"/>
    <w:rsid w:val="4B783D6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仿宋_GB2312" w:hAnsi="Calibri" w:eastAsia="仿宋_GB2312" w:cs="仿宋_GB2312"/>
      <w:sz w:val="32"/>
      <w:lang w:bidi="ar-SA"/>
    </w:rPr>
  </w:style>
  <w:style w:type="character" w:default="1" w:styleId="4">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 Corporation</Company>
  <Pages>1</Pages>
  <Words>500</Words>
  <Characters>2855</Characters>
  <Lines>23</Lines>
  <Paragraphs>6</Paragraphs>
  <ScaleCrop>false</ScaleCrop>
  <LinksUpToDate>false</LinksUpToDate>
  <CharactersWithSpaces>3349</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2017-01-30T01:48:00Z</dcterms:created>
  <dc:creator>lenovo</dc:creator>
  <cp:lastModifiedBy>小实</cp:lastModifiedBy>
  <dcterms:modified xsi:type="dcterms:W3CDTF">2017-02-15T07:44:20Z</dcterms:modified>
  <dc:title>西安市周丰镐、秦阿房宫、汉长安城和唐大明宫遗址保护管理条例</dc:title>
  <cp:revision>54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