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3" w:lineRule="exact"/>
        <w:jc w:val="center"/>
        <w:rPr>
          <w:rFonts w:hint="eastAsia" w:asciiTheme="majorEastAsia" w:hAnsiTheme="majorEastAsia" w:eastAsiaTheme="majorEastAsia"/>
          <w:sz w:val="44"/>
          <w:szCs w:val="44"/>
        </w:rPr>
      </w:pPr>
    </w:p>
    <w:p>
      <w:pPr>
        <w:spacing w:line="593" w:lineRule="exact"/>
        <w:jc w:val="center"/>
        <w:rPr>
          <w:rFonts w:asciiTheme="majorEastAsia" w:hAnsiTheme="majorEastAsia" w:eastAsiaTheme="majorEastAsia"/>
          <w:sz w:val="44"/>
          <w:szCs w:val="44"/>
        </w:rPr>
      </w:pPr>
    </w:p>
    <w:p>
      <w:pPr>
        <w:spacing w:line="593" w:lineRule="exact"/>
        <w:jc w:val="center"/>
        <w:rPr>
          <w:rFonts w:hint="eastAsia" w:ascii="华文中宋" w:hAnsi="华文中宋" w:eastAsia="华文中宋" w:cs="华文中宋"/>
          <w:sz w:val="44"/>
          <w:szCs w:val="44"/>
        </w:rPr>
      </w:pPr>
      <w:r>
        <w:rPr>
          <w:rFonts w:hint="eastAsia" w:ascii="华文中宋" w:hAnsi="华文中宋" w:eastAsia="华文中宋" w:cs="华文中宋"/>
          <w:sz w:val="44"/>
          <w:szCs w:val="44"/>
        </w:rPr>
        <w:t>西安市查处摩托车和非机动车</w:t>
      </w:r>
    </w:p>
    <w:p>
      <w:pPr>
        <w:spacing w:line="593" w:lineRule="exact"/>
        <w:jc w:val="center"/>
        <w:rPr>
          <w:rFonts w:hint="eastAsia" w:ascii="华文中宋" w:hAnsi="华文中宋" w:eastAsia="华文中宋" w:cs="华文中宋"/>
          <w:sz w:val="44"/>
          <w:szCs w:val="44"/>
        </w:rPr>
      </w:pPr>
      <w:r>
        <w:rPr>
          <w:rFonts w:hint="eastAsia" w:ascii="华文中宋" w:hAnsi="华文中宋" w:eastAsia="华文中宋" w:cs="华文中宋"/>
          <w:sz w:val="44"/>
          <w:szCs w:val="44"/>
        </w:rPr>
        <w:t>非法载客若干规定</w:t>
      </w:r>
    </w:p>
    <w:p>
      <w:pPr>
        <w:spacing w:line="593" w:lineRule="exact"/>
        <w:ind w:firstLine="640" w:firstLineChars="200"/>
        <w:rPr>
          <w:rFonts w:hint="eastAsia" w:ascii="楷体_GB2312" w:eastAsia="楷体_GB2312"/>
          <w:sz w:val="32"/>
          <w:szCs w:val="32"/>
        </w:rPr>
      </w:pPr>
      <w:r>
        <w:rPr>
          <w:rFonts w:hint="eastAsia" w:ascii="楷体_GB2312" w:eastAsia="楷体_GB2312"/>
          <w:sz w:val="32"/>
          <w:szCs w:val="32"/>
        </w:rPr>
        <w:t>（</w:t>
      </w:r>
      <w:r>
        <w:rPr>
          <w:rFonts w:hint="default" w:ascii="Times New Roman" w:hAnsi="Times New Roman" w:eastAsia="楷体_GB2312" w:cs="Times New Roman"/>
          <w:sz w:val="32"/>
          <w:szCs w:val="32"/>
        </w:rPr>
        <w:t>2020</w:t>
      </w:r>
      <w:r>
        <w:rPr>
          <w:rFonts w:hint="eastAsia" w:ascii="楷体_GB2312" w:eastAsia="楷体_GB2312"/>
          <w:sz w:val="32"/>
          <w:szCs w:val="32"/>
        </w:rPr>
        <w:t>年</w:t>
      </w:r>
      <w:r>
        <w:rPr>
          <w:rFonts w:hint="eastAsia" w:ascii="Times New Roman" w:hAnsi="Times New Roman" w:eastAsia="楷体_GB2312" w:cs="Times New Roman"/>
          <w:sz w:val="32"/>
          <w:szCs w:val="32"/>
        </w:rPr>
        <w:t>6</w:t>
      </w:r>
      <w:r>
        <w:rPr>
          <w:rFonts w:hint="eastAsia" w:ascii="楷体_GB2312" w:eastAsia="楷体_GB2312"/>
          <w:sz w:val="32"/>
          <w:szCs w:val="32"/>
        </w:rPr>
        <w:t>月</w:t>
      </w:r>
      <w:r>
        <w:rPr>
          <w:rFonts w:hint="eastAsia" w:ascii="Times New Roman" w:hAnsi="Times New Roman" w:eastAsia="楷体_GB2312" w:cs="Times New Roman"/>
          <w:sz w:val="32"/>
          <w:szCs w:val="32"/>
        </w:rPr>
        <w:t>30</w:t>
      </w:r>
      <w:r>
        <w:rPr>
          <w:rFonts w:hint="eastAsia" w:ascii="楷体_GB2312" w:eastAsia="楷体_GB2312"/>
          <w:sz w:val="32"/>
          <w:szCs w:val="32"/>
        </w:rPr>
        <w:t>日西安市第十六届人民代表大会常务</w:t>
      </w:r>
    </w:p>
    <w:p>
      <w:pPr>
        <w:tabs>
          <w:tab w:val="left" w:pos="8222"/>
        </w:tabs>
        <w:spacing w:line="593" w:lineRule="exact"/>
        <w:ind w:firstLine="640" w:firstLineChars="200"/>
        <w:rPr>
          <w:rFonts w:hint="eastAsia" w:ascii="楷体_GB2312" w:eastAsia="楷体_GB2312"/>
          <w:sz w:val="32"/>
          <w:szCs w:val="32"/>
        </w:rPr>
      </w:pPr>
      <w:r>
        <w:rPr>
          <w:rFonts w:hint="eastAsia" w:ascii="楷体_GB2312" w:eastAsia="楷体_GB2312"/>
          <w:sz w:val="32"/>
          <w:szCs w:val="32"/>
        </w:rPr>
        <w:t xml:space="preserve">委员会第三十四次会议通过  </w:t>
      </w:r>
      <w:r>
        <w:rPr>
          <w:rFonts w:hint="eastAsia" w:ascii="Times New Roman" w:hAnsi="Times New Roman" w:eastAsia="楷体_GB2312" w:cs="Times New Roman"/>
          <w:sz w:val="32"/>
          <w:szCs w:val="32"/>
        </w:rPr>
        <w:t>2020</w:t>
      </w:r>
      <w:r>
        <w:rPr>
          <w:rFonts w:hint="eastAsia" w:ascii="楷体_GB2312" w:eastAsia="楷体_GB2312"/>
          <w:sz w:val="32"/>
          <w:szCs w:val="32"/>
        </w:rPr>
        <w:t>年</w:t>
      </w:r>
      <w:r>
        <w:rPr>
          <w:rFonts w:hint="eastAsia" w:ascii="Times New Roman" w:hAnsi="Times New Roman" w:eastAsia="楷体_GB2312" w:cs="Times New Roman"/>
          <w:sz w:val="32"/>
          <w:szCs w:val="32"/>
        </w:rPr>
        <w:t>7</w:t>
      </w:r>
      <w:r>
        <w:rPr>
          <w:rFonts w:hint="eastAsia" w:ascii="楷体_GB2312" w:eastAsia="楷体_GB2312"/>
          <w:sz w:val="32"/>
          <w:szCs w:val="32"/>
        </w:rPr>
        <w:t>月</w:t>
      </w:r>
      <w:r>
        <w:rPr>
          <w:rFonts w:hint="eastAsia" w:ascii="Times New Roman" w:hAnsi="Times New Roman" w:eastAsia="楷体_GB2312" w:cs="Times New Roman"/>
          <w:sz w:val="32"/>
          <w:szCs w:val="32"/>
        </w:rPr>
        <w:t>30</w:t>
      </w:r>
      <w:r>
        <w:rPr>
          <w:rFonts w:hint="eastAsia" w:ascii="楷体_GB2312" w:eastAsia="楷体_GB2312"/>
          <w:sz w:val="32"/>
          <w:szCs w:val="32"/>
        </w:rPr>
        <w:t>日陕西省</w:t>
      </w:r>
    </w:p>
    <w:p>
      <w:pPr>
        <w:spacing w:line="593" w:lineRule="exact"/>
        <w:ind w:firstLine="640" w:firstLineChars="200"/>
        <w:rPr>
          <w:rFonts w:ascii="楷体_GB2312" w:eastAsia="楷体_GB2312"/>
          <w:sz w:val="32"/>
          <w:szCs w:val="32"/>
        </w:rPr>
      </w:pPr>
      <w:r>
        <w:rPr>
          <w:rFonts w:hint="eastAsia" w:ascii="楷体_GB2312" w:eastAsia="楷体_GB2312"/>
          <w:sz w:val="32"/>
          <w:szCs w:val="32"/>
        </w:rPr>
        <w:t>第十三届人民代表大会常务委员会第十九次会议批准）</w:t>
      </w:r>
    </w:p>
    <w:p>
      <w:pPr>
        <w:spacing w:line="593" w:lineRule="exact"/>
        <w:jc w:val="center"/>
      </w:pPr>
    </w:p>
    <w:p>
      <w:pPr>
        <w:spacing w:line="593" w:lineRule="exact"/>
        <w:ind w:firstLine="640" w:firstLineChars="200"/>
        <w:rPr>
          <w:rFonts w:ascii="仿宋_GB2312" w:hAnsi="仿宋" w:eastAsia="仿宋_GB2312"/>
          <w:sz w:val="32"/>
          <w:szCs w:val="32"/>
        </w:rPr>
      </w:pPr>
      <w:r>
        <w:rPr>
          <w:rFonts w:hint="eastAsia" w:ascii="黑体" w:hAnsi="黑体" w:eastAsia="黑体"/>
          <w:sz w:val="32"/>
          <w:szCs w:val="32"/>
        </w:rPr>
        <w:t>第一条</w:t>
      </w:r>
      <w:r>
        <w:rPr>
          <w:rFonts w:hint="eastAsia" w:ascii="仿宋_GB2312" w:hAnsi="仿宋" w:eastAsia="仿宋_GB2312"/>
          <w:sz w:val="32"/>
          <w:szCs w:val="32"/>
        </w:rPr>
        <w:t xml:space="preserve">  为了保障道路交通安全，规范客运市场秩序，查处摩托车和非机动车非法载客行为，根据有关法律法规，结合本市实际，制定本规定。</w:t>
      </w:r>
    </w:p>
    <w:p>
      <w:pPr>
        <w:spacing w:line="593" w:lineRule="exact"/>
        <w:ind w:firstLine="640" w:firstLineChars="200"/>
        <w:rPr>
          <w:rFonts w:ascii="仿宋_GB2312" w:hAnsi="仿宋" w:eastAsia="仿宋_GB2312"/>
          <w:sz w:val="32"/>
          <w:szCs w:val="32"/>
        </w:rPr>
      </w:pPr>
      <w:r>
        <w:rPr>
          <w:rFonts w:hint="eastAsia" w:ascii="黑体" w:hAnsi="黑体" w:eastAsia="黑体"/>
          <w:sz w:val="32"/>
          <w:szCs w:val="32"/>
        </w:rPr>
        <w:t>第二条</w:t>
      </w:r>
      <w:r>
        <w:rPr>
          <w:rFonts w:hint="eastAsia" w:ascii="仿宋_GB2312" w:hAnsi="仿宋" w:eastAsia="仿宋_GB2312"/>
          <w:sz w:val="32"/>
          <w:szCs w:val="32"/>
        </w:rPr>
        <w:t xml:space="preserve">  本市行政区域内查处摩托车和非机动车非法载客的活动适用本规定。</w:t>
      </w:r>
    </w:p>
    <w:p>
      <w:pPr>
        <w:spacing w:line="593" w:lineRule="exact"/>
        <w:ind w:firstLine="640" w:firstLineChars="200"/>
        <w:rPr>
          <w:rFonts w:ascii="仿宋_GB2312" w:hAnsi="仿宋" w:eastAsia="仿宋_GB2312"/>
          <w:sz w:val="32"/>
          <w:szCs w:val="32"/>
        </w:rPr>
      </w:pPr>
      <w:r>
        <w:rPr>
          <w:rFonts w:hint="eastAsia" w:ascii="黑体" w:hAnsi="黑体" w:eastAsia="黑体"/>
          <w:sz w:val="32"/>
          <w:szCs w:val="32"/>
        </w:rPr>
        <w:t>第三条</w:t>
      </w:r>
      <w:r>
        <w:rPr>
          <w:rFonts w:hint="eastAsia" w:ascii="仿宋_GB2312" w:hAnsi="仿宋" w:eastAsia="仿宋_GB2312"/>
          <w:sz w:val="32"/>
          <w:szCs w:val="32"/>
        </w:rPr>
        <w:t xml:space="preserve">  禁止利用摩托车、电动三轮车、电动自行车、残疾人机动轮椅车、人力三轮车等车辆非法载客。</w:t>
      </w:r>
    </w:p>
    <w:p>
      <w:pPr>
        <w:tabs>
          <w:tab w:val="left" w:pos="8505"/>
        </w:tabs>
        <w:spacing w:line="593" w:lineRule="exact"/>
        <w:ind w:firstLine="640" w:firstLineChars="200"/>
        <w:rPr>
          <w:rFonts w:ascii="仿宋_GB2312" w:hAnsi="仿宋" w:eastAsia="仿宋_GB2312"/>
          <w:sz w:val="32"/>
          <w:szCs w:val="32"/>
        </w:rPr>
      </w:pPr>
      <w:r>
        <w:rPr>
          <w:rFonts w:hint="eastAsia" w:ascii="仿宋_GB2312" w:hAnsi="仿宋" w:eastAsia="仿宋_GB2312"/>
          <w:sz w:val="32"/>
          <w:szCs w:val="32"/>
        </w:rPr>
        <w:t>乘车人不得乘坐非法载客的前款车辆。</w:t>
      </w:r>
    </w:p>
    <w:p>
      <w:pPr>
        <w:spacing w:line="593" w:lineRule="exact"/>
        <w:ind w:firstLine="640" w:firstLineChars="200"/>
        <w:rPr>
          <w:rFonts w:ascii="仿宋_GB2312" w:hAnsi="仿宋" w:eastAsia="仿宋_GB2312"/>
          <w:sz w:val="32"/>
          <w:szCs w:val="32"/>
        </w:rPr>
      </w:pPr>
      <w:r>
        <w:rPr>
          <w:rFonts w:hint="eastAsia" w:ascii="仿宋_GB2312" w:hAnsi="仿宋" w:eastAsia="仿宋_GB2312"/>
          <w:sz w:val="32"/>
          <w:szCs w:val="32"/>
        </w:rPr>
        <w:t>具体车辆类型由市公安机关交通管理部门会同交通运输行政管理部门确定，并向社会公布。</w:t>
      </w:r>
    </w:p>
    <w:p>
      <w:pPr>
        <w:spacing w:line="593" w:lineRule="exact"/>
        <w:ind w:firstLine="640" w:firstLineChars="200"/>
        <w:rPr>
          <w:rFonts w:ascii="仿宋_GB2312" w:hAnsi="仿宋" w:eastAsia="仿宋_GB2312"/>
          <w:sz w:val="32"/>
          <w:szCs w:val="32"/>
        </w:rPr>
      </w:pPr>
      <w:r>
        <w:rPr>
          <w:rFonts w:hint="eastAsia" w:ascii="黑体" w:hAnsi="黑体" w:eastAsia="黑体"/>
          <w:sz w:val="32"/>
          <w:szCs w:val="32"/>
        </w:rPr>
        <w:t>第四条</w:t>
      </w:r>
      <w:r>
        <w:rPr>
          <w:rFonts w:hint="eastAsia" w:ascii="仿宋_GB2312" w:hAnsi="仿宋" w:eastAsia="仿宋_GB2312"/>
          <w:sz w:val="32"/>
          <w:szCs w:val="32"/>
        </w:rPr>
        <w:t xml:space="preserve">  违反本规定第三条第一款规定的，由公安机关交通管理部门责令停止载客行为，依法扣押车辆，处五百元以上二千元以下罚款；有下列情形之一的，处二千元以上五千元以下罚款：</w:t>
      </w:r>
    </w:p>
    <w:p>
      <w:pPr>
        <w:spacing w:line="593" w:lineRule="exact"/>
        <w:ind w:firstLine="640" w:firstLineChars="200"/>
        <w:rPr>
          <w:rFonts w:ascii="仿宋_GB2312" w:hAnsi="仿宋" w:eastAsia="仿宋_GB2312"/>
          <w:sz w:val="32"/>
          <w:szCs w:val="32"/>
        </w:rPr>
      </w:pPr>
      <w:r>
        <w:rPr>
          <w:rFonts w:hint="eastAsia" w:ascii="仿宋_GB2312" w:hAnsi="仿宋" w:eastAsia="仿宋_GB2312"/>
          <w:sz w:val="32"/>
          <w:szCs w:val="32"/>
        </w:rPr>
        <w:t>（一）非法载客三次以上的；</w:t>
      </w:r>
    </w:p>
    <w:p>
      <w:pPr>
        <w:spacing w:line="593" w:lineRule="exact"/>
        <w:ind w:firstLine="640" w:firstLineChars="200"/>
        <w:rPr>
          <w:rFonts w:ascii="仿宋_GB2312" w:hAnsi="仿宋" w:eastAsia="仿宋_GB2312"/>
          <w:sz w:val="32"/>
          <w:szCs w:val="32"/>
        </w:rPr>
      </w:pPr>
      <w:r>
        <w:rPr>
          <w:rFonts w:hint="eastAsia" w:ascii="仿宋_GB2312" w:hAnsi="仿宋" w:eastAsia="仿宋_GB2312"/>
          <w:sz w:val="32"/>
          <w:szCs w:val="32"/>
        </w:rPr>
        <w:t>（二）上下班高峰期在汽车站、火车站、地铁站、批发市场、商场、医院、学校、展览馆、旅游景点等人流密集场所周边非法载客的；</w:t>
      </w:r>
    </w:p>
    <w:p>
      <w:pPr>
        <w:spacing w:line="593" w:lineRule="exact"/>
        <w:ind w:firstLine="640" w:firstLineChars="200"/>
        <w:rPr>
          <w:rFonts w:ascii="仿宋_GB2312" w:hAnsi="仿宋" w:eastAsia="仿宋_GB2312"/>
          <w:sz w:val="32"/>
          <w:szCs w:val="32"/>
        </w:rPr>
      </w:pPr>
      <w:r>
        <w:rPr>
          <w:rFonts w:hint="eastAsia" w:ascii="仿宋_GB2312" w:hAnsi="仿宋" w:eastAsia="仿宋_GB2312"/>
          <w:sz w:val="32"/>
          <w:szCs w:val="32"/>
        </w:rPr>
        <w:t>（三）非残疾人驾驶残疾人机动轮椅车非法载客的；</w:t>
      </w:r>
    </w:p>
    <w:p>
      <w:pPr>
        <w:spacing w:line="593" w:lineRule="exact"/>
        <w:ind w:firstLine="640" w:firstLineChars="200"/>
        <w:rPr>
          <w:rFonts w:ascii="仿宋_GB2312" w:hAnsi="仿宋" w:eastAsia="仿宋_GB2312"/>
          <w:sz w:val="32"/>
          <w:szCs w:val="32"/>
        </w:rPr>
      </w:pPr>
      <w:r>
        <w:rPr>
          <w:rFonts w:hint="eastAsia" w:ascii="仿宋_GB2312" w:hAnsi="仿宋" w:eastAsia="仿宋_GB2312"/>
          <w:sz w:val="32"/>
          <w:szCs w:val="32"/>
        </w:rPr>
        <w:t>（四）具有其他严重情节的。</w:t>
      </w:r>
    </w:p>
    <w:p>
      <w:pPr>
        <w:spacing w:line="593" w:lineRule="exact"/>
        <w:ind w:firstLine="640" w:firstLineChars="200"/>
        <w:rPr>
          <w:rFonts w:ascii="仿宋_GB2312" w:hAnsi="仿宋" w:eastAsia="仿宋_GB2312"/>
          <w:sz w:val="32"/>
          <w:szCs w:val="32"/>
        </w:rPr>
      </w:pPr>
      <w:r>
        <w:rPr>
          <w:rFonts w:hint="eastAsia" w:ascii="仿宋_GB2312" w:hAnsi="仿宋" w:eastAsia="仿宋_GB2312"/>
          <w:sz w:val="32"/>
          <w:szCs w:val="32"/>
        </w:rPr>
        <w:t>违反本规定第三条第二款规定的，由公安机关交通管理部门责令改正，处警告或者二十元以上五十元以下罚款。</w:t>
      </w:r>
    </w:p>
    <w:p>
      <w:pPr>
        <w:spacing w:line="593" w:lineRule="exact"/>
        <w:ind w:firstLine="640" w:firstLineChars="200"/>
        <w:rPr>
          <w:rFonts w:ascii="仿宋_GB2312" w:hAnsi="仿宋" w:eastAsia="仿宋_GB2312"/>
          <w:sz w:val="32"/>
          <w:szCs w:val="32"/>
        </w:rPr>
      </w:pPr>
      <w:r>
        <w:rPr>
          <w:rFonts w:hint="eastAsia" w:ascii="黑体" w:hAnsi="黑体" w:eastAsia="黑体"/>
          <w:sz w:val="32"/>
          <w:szCs w:val="32"/>
        </w:rPr>
        <w:t>第五条</w:t>
      </w:r>
      <w:r>
        <w:rPr>
          <w:rFonts w:hint="eastAsia" w:ascii="仿宋_GB2312" w:hAnsi="仿宋" w:eastAsia="仿宋_GB2312"/>
          <w:sz w:val="32"/>
          <w:szCs w:val="32"/>
        </w:rPr>
        <w:t xml:space="preserve">  公安机关交通管理部门扣押车辆时，应当</w:t>
      </w:r>
      <w:r>
        <w:rPr>
          <w:rFonts w:ascii="仿宋_GB2312" w:hAnsi="仿宋" w:eastAsia="仿宋_GB2312"/>
          <w:sz w:val="32"/>
          <w:szCs w:val="32"/>
        </w:rPr>
        <w:t>制作并当场</w:t>
      </w:r>
      <w:r>
        <w:rPr>
          <w:rFonts w:hint="eastAsia" w:ascii="仿宋_GB2312" w:hAnsi="仿宋" w:eastAsia="仿宋_GB2312"/>
          <w:sz w:val="32"/>
          <w:szCs w:val="32"/>
        </w:rPr>
        <w:t>向当事人</w:t>
      </w:r>
      <w:r>
        <w:rPr>
          <w:rFonts w:ascii="仿宋_GB2312" w:hAnsi="仿宋" w:eastAsia="仿宋_GB2312"/>
          <w:sz w:val="32"/>
          <w:szCs w:val="32"/>
        </w:rPr>
        <w:t>交付扣押决定书</w:t>
      </w:r>
      <w:r>
        <w:rPr>
          <w:rFonts w:hint="eastAsia" w:ascii="仿宋_GB2312" w:hAnsi="仿宋" w:eastAsia="仿宋_GB2312"/>
          <w:sz w:val="32"/>
          <w:szCs w:val="32"/>
        </w:rPr>
        <w:t>和清单，妥善保管被扣车辆。当事人应当在收到扣押决定书后三十日内到指定地点接受处理。公安机关交通管理部门处理后应当立即退还车辆。</w:t>
      </w:r>
    </w:p>
    <w:p>
      <w:pPr>
        <w:spacing w:line="593" w:lineRule="exact"/>
        <w:ind w:firstLine="640" w:firstLineChars="200"/>
        <w:rPr>
          <w:rFonts w:ascii="仿宋_GB2312" w:hAnsi="仿宋" w:eastAsia="仿宋_GB2312"/>
          <w:sz w:val="32"/>
          <w:szCs w:val="32"/>
        </w:rPr>
      </w:pPr>
      <w:r>
        <w:rPr>
          <w:rFonts w:hint="eastAsia" w:ascii="仿宋_GB2312" w:hAnsi="仿宋" w:eastAsia="仿宋_GB2312"/>
          <w:sz w:val="32"/>
          <w:szCs w:val="32"/>
        </w:rPr>
        <w:t>当事人逾期不接受处理，公安机关交通管理部门应当及时发布公告。经公告三个月当事人仍不来接受处理的，公安机关交通管理部门对扣押的车辆依法处置。</w:t>
      </w:r>
    </w:p>
    <w:p>
      <w:pPr>
        <w:spacing w:line="593" w:lineRule="exact"/>
        <w:ind w:firstLine="640" w:firstLineChars="200"/>
        <w:rPr>
          <w:rFonts w:ascii="仿宋_GB2312" w:hAnsi="仿宋" w:eastAsia="仿宋_GB2312"/>
          <w:sz w:val="32"/>
          <w:szCs w:val="32"/>
        </w:rPr>
      </w:pPr>
      <w:r>
        <w:rPr>
          <w:rFonts w:hint="eastAsia" w:ascii="黑体" w:hAnsi="黑体" w:eastAsia="黑体"/>
          <w:sz w:val="32"/>
          <w:szCs w:val="32"/>
        </w:rPr>
        <w:t>第六条</w:t>
      </w:r>
      <w:r>
        <w:rPr>
          <w:rFonts w:hint="eastAsia" w:ascii="仿宋_GB2312" w:hAnsi="仿宋" w:eastAsia="仿宋_GB2312"/>
          <w:sz w:val="32"/>
          <w:szCs w:val="32"/>
        </w:rPr>
        <w:t xml:space="preserve">  车辆被扣押期间的保管费用由公安机关交通管理部门承担，自扣押解除之日起，车辆保管费用由当事人承担。</w:t>
      </w:r>
    </w:p>
    <w:p>
      <w:pPr>
        <w:spacing w:line="593" w:lineRule="exact"/>
        <w:ind w:firstLine="640" w:firstLineChars="200"/>
        <w:rPr>
          <w:rFonts w:ascii="仿宋_GB2312" w:hAnsi="仿宋" w:eastAsia="仿宋_GB2312"/>
          <w:sz w:val="32"/>
          <w:szCs w:val="32"/>
        </w:rPr>
      </w:pPr>
      <w:r>
        <w:rPr>
          <w:rFonts w:hint="eastAsia" w:ascii="黑体" w:hAnsi="黑体" w:eastAsia="黑体"/>
          <w:sz w:val="32"/>
          <w:szCs w:val="32"/>
        </w:rPr>
        <w:t>第七条</w:t>
      </w:r>
      <w:r>
        <w:rPr>
          <w:rFonts w:hint="eastAsia" w:ascii="仿宋_GB2312" w:hAnsi="仿宋" w:eastAsia="仿宋_GB2312"/>
          <w:sz w:val="32"/>
          <w:szCs w:val="32"/>
        </w:rPr>
        <w:t xml:space="preserve">  公安机关交通管理部门在查处非法载客活动中，应当积极宣传相关法律法规，引导公众乘坐合法经营车辆。</w:t>
      </w:r>
    </w:p>
    <w:p>
      <w:pPr>
        <w:spacing w:line="593" w:lineRule="exact"/>
        <w:ind w:firstLine="640" w:firstLineChars="200"/>
        <w:rPr>
          <w:rFonts w:ascii="仿宋_GB2312" w:hAnsi="仿宋" w:eastAsia="仿宋_GB2312"/>
          <w:sz w:val="32"/>
          <w:szCs w:val="32"/>
        </w:rPr>
      </w:pPr>
      <w:r>
        <w:rPr>
          <w:rFonts w:hint="eastAsia" w:ascii="黑体" w:hAnsi="黑体" w:eastAsia="黑体"/>
          <w:sz w:val="32"/>
          <w:szCs w:val="32"/>
        </w:rPr>
        <w:t>第八条</w:t>
      </w:r>
      <w:r>
        <w:rPr>
          <w:rFonts w:hint="eastAsia" w:ascii="仿宋_GB2312" w:hAnsi="仿宋" w:eastAsia="仿宋_GB2312"/>
          <w:sz w:val="32"/>
          <w:szCs w:val="32"/>
        </w:rPr>
        <w:t xml:space="preserve">  阻碍交通警察依法执行公务的，依照《中华人民共和国治安管理处罚法》有关规定从重处罚；构成犯罪的，依法追究刑事责任。</w:t>
      </w:r>
    </w:p>
    <w:p>
      <w:pPr>
        <w:spacing w:line="593" w:lineRule="exact"/>
        <w:ind w:firstLine="640" w:firstLineChars="200"/>
        <w:rPr>
          <w:rFonts w:ascii="仿宋_GB2312" w:hAnsi="仿宋" w:eastAsia="仿宋_GB2312"/>
          <w:sz w:val="32"/>
          <w:szCs w:val="32"/>
        </w:rPr>
      </w:pPr>
      <w:r>
        <w:rPr>
          <w:rFonts w:hint="eastAsia" w:ascii="黑体" w:hAnsi="黑体" w:eastAsia="黑体"/>
          <w:sz w:val="32"/>
          <w:szCs w:val="32"/>
        </w:rPr>
        <w:t>第九条</w:t>
      </w:r>
      <w:r>
        <w:rPr>
          <w:rFonts w:hint="eastAsia" w:ascii="仿宋_GB2312" w:hAnsi="仿宋" w:eastAsia="仿宋_GB2312"/>
          <w:sz w:val="32"/>
          <w:szCs w:val="32"/>
        </w:rPr>
        <w:t xml:space="preserve">  公安机关交通管理部门及其交通警察违反本规定，在查处摩托车和非机动车非法载客活动中玩忽职守、滥用职权、徇私舞弊的，依法给予处分；构成犯罪的，依法追究刑事责任。</w:t>
      </w:r>
    </w:p>
    <w:p>
      <w:pPr>
        <w:spacing w:line="593" w:lineRule="exact"/>
        <w:ind w:firstLine="640" w:firstLineChars="200"/>
        <w:rPr>
          <w:rFonts w:eastAsia="仿宋_GB2312"/>
          <w:sz w:val="32"/>
          <w:szCs w:val="32"/>
        </w:rPr>
      </w:pPr>
      <w:r>
        <w:rPr>
          <w:rFonts w:hint="eastAsia" w:ascii="黑体" w:hAnsi="黑体" w:eastAsia="黑体"/>
          <w:sz w:val="32"/>
          <w:szCs w:val="32"/>
        </w:rPr>
        <w:t>第十条</w:t>
      </w:r>
      <w:r>
        <w:rPr>
          <w:rFonts w:hint="eastAsia" w:ascii="仿宋_GB2312" w:hAnsi="仿宋" w:eastAsia="仿宋_GB2312"/>
          <w:sz w:val="32"/>
          <w:szCs w:val="32"/>
        </w:rPr>
        <w:t xml:space="preserve">  本规定自</w:t>
      </w:r>
      <w:r>
        <w:rPr>
          <w:rFonts w:hint="eastAsia" w:ascii="Times New Roman" w:hAnsi="Times New Roman" w:eastAsia="楷体_GB2312" w:cs="Times New Roman"/>
          <w:sz w:val="32"/>
          <w:szCs w:val="32"/>
        </w:rPr>
        <w:t>2020</w:t>
      </w:r>
      <w:r>
        <w:rPr>
          <w:rFonts w:hint="eastAsia" w:ascii="仿宋_GB2312" w:hAnsi="仿宋" w:eastAsia="仿宋_GB2312"/>
          <w:sz w:val="32"/>
          <w:szCs w:val="32"/>
        </w:rPr>
        <w:t>年</w:t>
      </w:r>
      <w:r>
        <w:rPr>
          <w:rFonts w:hint="eastAsia" w:ascii="Times New Roman" w:hAnsi="Times New Roman" w:eastAsia="楷体_GB2312" w:cs="Times New Roman"/>
          <w:sz w:val="32"/>
          <w:szCs w:val="32"/>
        </w:rPr>
        <w:t>9</w:t>
      </w:r>
      <w:r>
        <w:rPr>
          <w:rFonts w:hint="eastAsia" w:ascii="仿宋_GB2312" w:hAnsi="仿宋" w:eastAsia="仿宋_GB2312"/>
          <w:sz w:val="32"/>
          <w:szCs w:val="32"/>
        </w:rPr>
        <w:t>月</w:t>
      </w:r>
      <w:r>
        <w:rPr>
          <w:rFonts w:hint="eastAsia" w:ascii="Times New Roman" w:hAnsi="Times New Roman" w:eastAsia="楷体_GB2312" w:cs="Times New Roman"/>
          <w:sz w:val="32"/>
          <w:szCs w:val="32"/>
        </w:rPr>
        <w:t>1</w:t>
      </w:r>
      <w:r>
        <w:rPr>
          <w:rFonts w:hint="eastAsia" w:ascii="仿宋_GB2312" w:hAnsi="仿宋" w:eastAsia="仿宋_GB2312"/>
          <w:sz w:val="32"/>
          <w:szCs w:val="32"/>
        </w:rPr>
        <w:t>日起施行。</w:t>
      </w:r>
      <w:bookmarkStart w:id="0" w:name="_GoBack"/>
      <w:bookmarkEnd w:id="0"/>
    </w:p>
    <w:sectPr>
      <w:footerReference r:id="rId3" w:type="default"/>
      <w:footerReference r:id="rId4" w:type="even"/>
      <w:pgSz w:w="11906" w:h="16838"/>
      <w:pgMar w:top="2041" w:right="1531" w:bottom="1588" w:left="1531" w:header="851" w:footer="136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Fonts w:hint="eastAsia"/>
        <w:sz w:val="24"/>
        <w:szCs w:val="24"/>
      </w:rPr>
      <w:id w:val="10878746"/>
      <w:docPartObj>
        <w:docPartGallery w:val="AutoText"/>
      </w:docPartObj>
    </w:sdtPr>
    <w:sdtEndPr>
      <w:rPr>
        <w:rStyle w:val="5"/>
        <w:rFonts w:hint="eastAsia"/>
        <w:sz w:val="24"/>
        <w:szCs w:val="24"/>
      </w:rPr>
    </w:sdtEndPr>
    <w:sdtContent>
      <w:p>
        <w:pPr>
          <w:pStyle w:val="2"/>
          <w:framePr w:w="1304" w:wrap="around" w:vAnchor="text" w:hAnchor="page" w:x="8755" w:y="1"/>
          <w:jc w:val="right"/>
          <w:rPr>
            <w:rStyle w:val="5"/>
            <w:sz w:val="24"/>
            <w:szCs w:val="24"/>
          </w:rPr>
        </w:pPr>
        <w:r>
          <w:rPr>
            <w:rStyle w:val="5"/>
            <w:rFonts w:hint="eastAsia" w:asciiTheme="minorEastAsia" w:hAnsiTheme="minorEastAsia"/>
            <w:sz w:val="28"/>
            <w:szCs w:val="28"/>
          </w:rPr>
          <w:t xml:space="preserve">— </w:t>
        </w:r>
        <w:r>
          <w:rPr>
            <w:rStyle w:val="5"/>
            <w:rFonts w:asciiTheme="minorEastAsia" w:hAnsiTheme="minorEastAsia"/>
            <w:sz w:val="28"/>
            <w:szCs w:val="28"/>
          </w:rPr>
          <w:fldChar w:fldCharType="begin"/>
        </w:r>
        <w:r>
          <w:rPr>
            <w:rStyle w:val="5"/>
            <w:rFonts w:asciiTheme="minorEastAsia" w:hAnsiTheme="minorEastAsia"/>
            <w:sz w:val="28"/>
            <w:szCs w:val="28"/>
          </w:rPr>
          <w:instrText xml:space="preserve">PAGE  </w:instrText>
        </w:r>
        <w:r>
          <w:rPr>
            <w:rStyle w:val="5"/>
            <w:rFonts w:asciiTheme="minorEastAsia" w:hAnsiTheme="minorEastAsia"/>
            <w:sz w:val="28"/>
            <w:szCs w:val="28"/>
          </w:rPr>
          <w:fldChar w:fldCharType="separate"/>
        </w:r>
        <w:r>
          <w:rPr>
            <w:rStyle w:val="5"/>
            <w:rFonts w:asciiTheme="minorEastAsia" w:hAnsiTheme="minorEastAsia"/>
            <w:sz w:val="28"/>
            <w:szCs w:val="28"/>
          </w:rPr>
          <w:t>3</w:t>
        </w:r>
        <w:r>
          <w:rPr>
            <w:rStyle w:val="5"/>
            <w:rFonts w:asciiTheme="minorEastAsia" w:hAnsiTheme="minorEastAsia"/>
            <w:sz w:val="28"/>
            <w:szCs w:val="28"/>
          </w:rPr>
          <w:fldChar w:fldCharType="end"/>
        </w:r>
        <w:r>
          <w:rPr>
            <w:rStyle w:val="5"/>
            <w:rFonts w:hint="eastAsia" w:asciiTheme="minorEastAsia" w:hAnsiTheme="minorEastAsia"/>
            <w:sz w:val="28"/>
            <w:szCs w:val="28"/>
          </w:rPr>
          <w:t xml:space="preserve">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Fonts w:hint="eastAsia"/>
        <w:sz w:val="24"/>
        <w:szCs w:val="24"/>
      </w:rPr>
      <w:id w:val="10878749"/>
      <w:docPartObj>
        <w:docPartGallery w:val="AutoText"/>
      </w:docPartObj>
    </w:sdtPr>
    <w:sdtEndPr>
      <w:rPr>
        <w:rStyle w:val="5"/>
        <w:rFonts w:hint="eastAsia"/>
        <w:sz w:val="24"/>
        <w:szCs w:val="24"/>
      </w:rPr>
    </w:sdtEndPr>
    <w:sdtContent>
      <w:p>
        <w:pPr>
          <w:pStyle w:val="2"/>
          <w:framePr w:wrap="around" w:vAnchor="text" w:hAnchor="page" w:x="1844" w:y="1"/>
          <w:rPr>
            <w:rStyle w:val="5"/>
            <w:sz w:val="24"/>
            <w:szCs w:val="24"/>
          </w:rPr>
        </w:pPr>
        <w:r>
          <w:rPr>
            <w:rStyle w:val="5"/>
            <w:rFonts w:hint="eastAsia" w:asciiTheme="minorEastAsia" w:hAnsiTheme="minorEastAsia"/>
            <w:sz w:val="28"/>
            <w:szCs w:val="28"/>
          </w:rPr>
          <w:t xml:space="preserve">— </w:t>
        </w:r>
        <w:r>
          <w:rPr>
            <w:rStyle w:val="5"/>
            <w:rFonts w:asciiTheme="minorEastAsia" w:hAnsiTheme="minorEastAsia"/>
            <w:sz w:val="28"/>
            <w:szCs w:val="28"/>
          </w:rPr>
          <w:fldChar w:fldCharType="begin"/>
        </w:r>
        <w:r>
          <w:rPr>
            <w:rStyle w:val="5"/>
            <w:rFonts w:asciiTheme="minorEastAsia" w:hAnsiTheme="minorEastAsia"/>
            <w:sz w:val="28"/>
            <w:szCs w:val="28"/>
          </w:rPr>
          <w:instrText xml:space="preserve">PAGE  </w:instrText>
        </w:r>
        <w:r>
          <w:rPr>
            <w:rStyle w:val="5"/>
            <w:rFonts w:asciiTheme="minorEastAsia" w:hAnsiTheme="minorEastAsia"/>
            <w:sz w:val="28"/>
            <w:szCs w:val="28"/>
          </w:rPr>
          <w:fldChar w:fldCharType="separate"/>
        </w:r>
        <w:r>
          <w:rPr>
            <w:rStyle w:val="5"/>
            <w:rFonts w:asciiTheme="minorEastAsia" w:hAnsiTheme="minorEastAsia"/>
            <w:sz w:val="28"/>
            <w:szCs w:val="28"/>
          </w:rPr>
          <w:t>2</w:t>
        </w:r>
        <w:r>
          <w:rPr>
            <w:rStyle w:val="5"/>
            <w:rFonts w:asciiTheme="minorEastAsia" w:hAnsiTheme="minorEastAsia"/>
            <w:sz w:val="28"/>
            <w:szCs w:val="28"/>
          </w:rPr>
          <w:fldChar w:fldCharType="end"/>
        </w:r>
        <w:r>
          <w:rPr>
            <w:rStyle w:val="5"/>
            <w:rFonts w:hint="eastAsia" w:asciiTheme="minorEastAsia" w:hAnsiTheme="minorEastAsia"/>
            <w:sz w:val="28"/>
            <w:szCs w:val="28"/>
          </w:rPr>
          <w:t xml:space="preserve"> —</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F69ED"/>
    <w:rsid w:val="000F69ED"/>
    <w:rsid w:val="002208E0"/>
    <w:rsid w:val="003F5FC7"/>
    <w:rsid w:val="00817A2C"/>
    <w:rsid w:val="00EB4B62"/>
    <w:rsid w:val="0D0D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5">
    <w:name w:val="page number"/>
    <w:basedOn w:val="4"/>
    <w:uiPriority w:val="0"/>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uiPriority w:val="99"/>
    <w:rPr>
      <w:sz w:val="18"/>
      <w:szCs w:val="18"/>
    </w:rPr>
  </w:style>
  <w:style w:type="character" w:customStyle="1" w:styleId="9">
    <w:name w:val="页脚 Char1"/>
    <w:basedOn w:val="4"/>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150</Words>
  <Characters>861</Characters>
  <Lines>7</Lines>
  <Paragraphs>2</Paragraphs>
  <TotalTime>6</TotalTime>
  <ScaleCrop>false</ScaleCrop>
  <LinksUpToDate>false</LinksUpToDate>
  <CharactersWithSpaces>1009</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2020-08-24T01:25:00Z</dcterms:created>
  <dc:creator>李金融</dc:creator>
  <cp:lastModifiedBy>施东良</cp:lastModifiedBy>
  <dcterms:modified xsi:type="dcterms:W3CDTF">2020-09-16T06:38:10Z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