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ascii="方正小标宋简体" w:hAnsi="黑体" w:eastAsia="方正小标宋简体"/>
          <w:bCs/>
          <w:spacing w:val="20"/>
          <w:w w:val="90"/>
          <w:sz w:val="44"/>
          <w:szCs w:val="44"/>
        </w:rPr>
      </w:pPr>
    </w:p>
    <w:p>
      <w:pPr>
        <w:spacing w:line="600" w:lineRule="exact"/>
        <w:rPr>
          <w:rFonts w:hint="eastAsia" w:ascii="方正小标宋简体" w:hAnsi="黑体" w:eastAsia="方正小标宋简体"/>
          <w:bCs/>
          <w:spacing w:val="20"/>
          <w:w w:val="90"/>
          <w:sz w:val="44"/>
          <w:szCs w:val="44"/>
          <w:lang w:eastAsia="zh-CN"/>
        </w:rPr>
      </w:pPr>
      <w:bookmarkStart w:id="0" w:name="_GoBack"/>
      <w:bookmarkEnd w:id="0"/>
    </w:p>
    <w:p>
      <w:pPr>
        <w:spacing w:line="600" w:lineRule="exact"/>
        <w:jc w:val="center"/>
        <w:rPr>
          <w:rFonts w:hint="eastAsia" w:ascii="方正小标宋_GBK" w:hAnsi="方正小标宋_GBK" w:eastAsia="方正小标宋_GBK" w:cs="方正小标宋_GBK"/>
          <w:b/>
          <w:bCs w:val="0"/>
          <w:snapToGrid w:val="0"/>
          <w:kern w:val="0"/>
          <w:sz w:val="44"/>
          <w:szCs w:val="44"/>
        </w:rPr>
      </w:pPr>
      <w:r>
        <w:rPr>
          <w:rFonts w:hint="eastAsia" w:ascii="方正小标宋_GBK" w:hAnsi="方正小标宋_GBK" w:eastAsia="方正小标宋_GBK" w:cs="方正小标宋_GBK"/>
          <w:b/>
          <w:bCs w:val="0"/>
          <w:snapToGrid w:val="0"/>
          <w:spacing w:val="20"/>
          <w:kern w:val="0"/>
          <w:sz w:val="44"/>
          <w:szCs w:val="44"/>
        </w:rPr>
        <w:t>陕西省中医药条</w:t>
      </w:r>
      <w:r>
        <w:rPr>
          <w:rFonts w:hint="eastAsia" w:ascii="方正小标宋_GBK" w:hAnsi="方正小标宋_GBK" w:eastAsia="方正小标宋_GBK" w:cs="方正小标宋_GBK"/>
          <w:b/>
          <w:bCs w:val="0"/>
          <w:snapToGrid w:val="0"/>
          <w:kern w:val="0"/>
          <w:sz w:val="44"/>
          <w:szCs w:val="44"/>
        </w:rPr>
        <w:t>例</w:t>
      </w:r>
    </w:p>
    <w:p>
      <w:pPr>
        <w:spacing w:before="120" w:line="600" w:lineRule="exact"/>
        <w:jc w:val="center"/>
        <w:rPr>
          <w:rFonts w:eastAsia="楷体_GB2312"/>
          <w:bCs/>
          <w:szCs w:val="32"/>
        </w:rPr>
      </w:pPr>
      <w:r>
        <w:rPr>
          <w:rFonts w:eastAsia="楷体_GB2312"/>
          <w:bCs/>
          <w:szCs w:val="32"/>
        </w:rPr>
        <w:t>（20</w:t>
      </w:r>
      <w:r>
        <w:rPr>
          <w:rFonts w:hint="eastAsia" w:eastAsia="楷体_GB2312"/>
          <w:bCs/>
          <w:szCs w:val="32"/>
        </w:rPr>
        <w:t>20</w:t>
      </w:r>
      <w:r>
        <w:rPr>
          <w:rFonts w:eastAsia="楷体_GB2312"/>
          <w:bCs/>
          <w:szCs w:val="32"/>
        </w:rPr>
        <w:t>年</w:t>
      </w:r>
      <w:r>
        <w:rPr>
          <w:rFonts w:hint="eastAsia" w:eastAsia="楷体_GB2312"/>
          <w:bCs/>
          <w:szCs w:val="32"/>
        </w:rPr>
        <w:t>1</w:t>
      </w:r>
      <w:r>
        <w:rPr>
          <w:rFonts w:eastAsia="楷体_GB2312"/>
          <w:bCs/>
          <w:szCs w:val="32"/>
        </w:rPr>
        <w:t>月</w:t>
      </w:r>
      <w:r>
        <w:rPr>
          <w:rFonts w:hint="eastAsia" w:eastAsia="楷体_GB2312"/>
          <w:bCs/>
          <w:szCs w:val="32"/>
        </w:rPr>
        <w:t>9</w:t>
      </w:r>
      <w:r>
        <w:rPr>
          <w:rFonts w:eastAsia="楷体_GB2312"/>
          <w:bCs/>
          <w:szCs w:val="32"/>
        </w:rPr>
        <w:t>日陕西省第十三届人民代表大会</w:t>
      </w:r>
    </w:p>
    <w:p>
      <w:pPr>
        <w:spacing w:before="120" w:line="600" w:lineRule="exact"/>
        <w:jc w:val="center"/>
        <w:rPr>
          <w:rFonts w:eastAsia="楷体_GB2312"/>
          <w:bCs/>
          <w:szCs w:val="32"/>
        </w:rPr>
      </w:pPr>
      <w:r>
        <w:rPr>
          <w:rFonts w:eastAsia="楷体_GB2312"/>
          <w:bCs/>
          <w:szCs w:val="32"/>
        </w:rPr>
        <w:t>常务委员会第十</w:t>
      </w:r>
      <w:r>
        <w:rPr>
          <w:rFonts w:hint="eastAsia" w:eastAsia="楷体_GB2312"/>
          <w:bCs/>
          <w:szCs w:val="32"/>
        </w:rPr>
        <w:t>五</w:t>
      </w:r>
      <w:r>
        <w:rPr>
          <w:rFonts w:eastAsia="楷体_GB2312"/>
          <w:bCs/>
          <w:szCs w:val="32"/>
        </w:rPr>
        <w:t>次会议通过）</w:t>
      </w:r>
    </w:p>
    <w:p>
      <w:pPr>
        <w:adjustRightInd w:val="0"/>
        <w:snapToGrid w:val="0"/>
        <w:spacing w:line="590" w:lineRule="exact"/>
        <w:rPr>
          <w:rFonts w:ascii="楷体_GB2312" w:hAnsi="黑体" w:eastAsia="楷体_GB2312"/>
          <w:bCs/>
          <w:szCs w:val="32"/>
        </w:rPr>
      </w:pPr>
    </w:p>
    <w:p>
      <w:pPr>
        <w:adjustRightInd w:val="0"/>
        <w:snapToGrid w:val="0"/>
        <w:spacing w:line="590" w:lineRule="exact"/>
        <w:jc w:val="center"/>
        <w:rPr>
          <w:rFonts w:hint="eastAsia" w:ascii="黑体" w:hAnsi="黑体" w:eastAsia="黑体" w:cs="黑体"/>
          <w:bCs/>
          <w:color w:val="000000"/>
          <w:szCs w:val="32"/>
        </w:rPr>
      </w:pPr>
      <w:r>
        <w:rPr>
          <w:rFonts w:hint="eastAsia" w:ascii="黑体" w:hAnsi="黑体" w:eastAsia="黑体" w:cs="黑体"/>
          <w:bCs/>
          <w:color w:val="000000"/>
          <w:szCs w:val="32"/>
        </w:rPr>
        <w:t>目　录</w:t>
      </w:r>
    </w:p>
    <w:p>
      <w:pPr>
        <w:adjustRightInd w:val="0"/>
        <w:snapToGrid w:val="0"/>
        <w:spacing w:line="590" w:lineRule="exact"/>
        <w:jc w:val="center"/>
        <w:rPr>
          <w:rFonts w:hint="eastAsia" w:ascii="黑体" w:hAnsi="黑体" w:eastAsia="黑体" w:cs="黑体"/>
          <w:bCs/>
          <w:color w:val="000000"/>
          <w:szCs w:val="32"/>
        </w:rPr>
      </w:pP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第一章　总</w:t>
      </w:r>
      <w:r>
        <w:rPr>
          <w:rFonts w:hint="eastAsia" w:ascii="仿宋_GB2312" w:hAnsi="仿宋" w:cs="仿宋"/>
          <w:bCs/>
          <w:color w:val="000000"/>
          <w:szCs w:val="32"/>
          <w:lang w:val="en-US" w:eastAsia="zh-CN"/>
        </w:rPr>
        <w:t xml:space="preserve">  </w:t>
      </w:r>
      <w:r>
        <w:rPr>
          <w:rFonts w:hint="eastAsia" w:ascii="仿宋_GB2312" w:hAnsi="仿宋" w:cs="仿宋"/>
          <w:bCs/>
          <w:color w:val="000000"/>
          <w:szCs w:val="32"/>
        </w:rPr>
        <w:t>　则</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第二章　中医药服务</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第三章　中药保护与发展</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第四章　中医药教育与科研</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第五章　中医药传承与文化传播</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第六章　保障措施</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第七章　法律责任</w:t>
      </w:r>
    </w:p>
    <w:p>
      <w:pPr>
        <w:adjustRightInd w:val="0"/>
        <w:snapToGrid w:val="0"/>
        <w:spacing w:line="590" w:lineRule="exact"/>
        <w:ind w:firstLine="636" w:firstLineChars="200"/>
        <w:rPr>
          <w:rFonts w:hint="eastAsia" w:ascii="仿宋_GB2312" w:hAnsi="仿宋" w:cs="仿宋"/>
          <w:bCs/>
          <w:color w:val="000000"/>
          <w:szCs w:val="32"/>
        </w:rPr>
      </w:pPr>
      <w:r>
        <w:rPr>
          <w:rFonts w:hint="eastAsia" w:ascii="仿宋_GB2312" w:hAnsi="仿宋" w:cs="仿宋"/>
          <w:bCs/>
          <w:color w:val="000000"/>
          <w:szCs w:val="32"/>
        </w:rPr>
        <w:t>第八章　附　</w:t>
      </w:r>
      <w:r>
        <w:rPr>
          <w:rFonts w:hint="eastAsia" w:ascii="仿宋_GB2312" w:hAnsi="仿宋" w:cs="仿宋"/>
          <w:bCs/>
          <w:color w:val="000000"/>
          <w:szCs w:val="32"/>
          <w:lang w:val="en-US" w:eastAsia="zh-CN"/>
        </w:rPr>
        <w:t xml:space="preserve">  </w:t>
      </w:r>
      <w:r>
        <w:rPr>
          <w:rFonts w:hint="eastAsia" w:ascii="仿宋_GB2312" w:hAnsi="仿宋" w:cs="仿宋"/>
          <w:bCs/>
          <w:color w:val="000000"/>
          <w:szCs w:val="32"/>
        </w:rPr>
        <w:t>则</w:t>
      </w:r>
    </w:p>
    <w:p>
      <w:pPr>
        <w:adjustRightInd w:val="0"/>
        <w:snapToGrid w:val="0"/>
        <w:spacing w:line="590" w:lineRule="exact"/>
        <w:ind w:firstLine="636" w:firstLineChars="200"/>
        <w:rPr>
          <w:rFonts w:hint="eastAsia" w:ascii="仿宋_GB2312" w:hAnsi="仿宋" w:cs="仿宋"/>
          <w:bCs/>
          <w:color w:val="000000"/>
          <w:szCs w:val="32"/>
        </w:rPr>
      </w:pPr>
    </w:p>
    <w:p>
      <w:pPr>
        <w:adjustRightInd w:val="0"/>
        <w:snapToGrid w:val="0"/>
        <w:spacing w:before="302" w:beforeLines="50" w:after="302" w:afterLines="50" w:line="590" w:lineRule="exact"/>
        <w:jc w:val="center"/>
        <w:rPr>
          <w:rFonts w:ascii="黑体" w:hAnsi="黑体" w:eastAsia="黑体" w:cs="仿宋"/>
          <w:bCs/>
          <w:color w:val="000000"/>
          <w:szCs w:val="32"/>
        </w:rPr>
      </w:pPr>
      <w:r>
        <w:rPr>
          <w:rFonts w:hint="eastAsia" w:ascii="黑体" w:hAnsi="黑体" w:eastAsia="黑体" w:cs="仿宋"/>
          <w:bCs/>
          <w:color w:val="000000"/>
          <w:szCs w:val="32"/>
        </w:rPr>
        <w:t>第一章　总　则</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第一条　</w:t>
      </w:r>
      <w:r>
        <w:rPr>
          <w:rFonts w:hint="eastAsia" w:ascii="仿宋_GB2312" w:hAnsi="仿宋" w:cs="仿宋"/>
          <w:bCs/>
          <w:color w:val="000000"/>
          <w:szCs w:val="32"/>
        </w:rPr>
        <w:t>为了传承和弘扬中医药，保障和促进中医药事业发展，建设中医药强省，保护人民健康，根据《中华人民共和国中医药法》等法律、行政法规，结合本省实际，制定本条例。</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第二条</w:t>
      </w:r>
      <w:r>
        <w:rPr>
          <w:rFonts w:hint="eastAsia" w:ascii="楷体" w:hAnsi="楷体" w:eastAsia="楷体" w:cs="楷体"/>
          <w:bCs/>
          <w:color w:val="000000"/>
          <w:szCs w:val="32"/>
        </w:rPr>
        <w:t>　</w:t>
      </w:r>
      <w:r>
        <w:rPr>
          <w:rFonts w:hint="eastAsia" w:ascii="仿宋_GB2312" w:hAnsi="仿宋" w:cs="仿宋"/>
          <w:bCs/>
          <w:color w:val="000000"/>
          <w:szCs w:val="32"/>
        </w:rPr>
        <w:t>本省行政区域内中医药医疗、预防、保健、科研、教育、产业、文化、对外交流以及监督管理等活动，适用本条例。</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第三条　</w:t>
      </w:r>
      <w:r>
        <w:rPr>
          <w:rFonts w:hint="eastAsia" w:ascii="仿宋_GB2312" w:hAnsi="仿宋" w:cs="仿宋"/>
          <w:bCs/>
          <w:color w:val="000000"/>
          <w:szCs w:val="32"/>
        </w:rPr>
        <w:t>发展中医药事业应当遵循中医药发展规律，传承精华，守正创新，坚持中西医并重，保持和发挥中医药特色优势。</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第四条　</w:t>
      </w:r>
      <w:r>
        <w:rPr>
          <w:rFonts w:hint="eastAsia" w:ascii="仿宋_GB2312" w:hAnsi="仿宋" w:cs="仿宋"/>
          <w:bCs/>
          <w:color w:val="000000"/>
          <w:szCs w:val="32"/>
        </w:rPr>
        <w:t>县级以上人民政府应当将中医药事业纳入国民经济和社会发展规划，建立健全符合中医药特点的管理体系和服务体系，统筹推进中医药事业发展。</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第五条　</w:t>
      </w:r>
      <w:r>
        <w:rPr>
          <w:rFonts w:hint="eastAsia" w:ascii="仿宋_GB2312" w:hAnsi="仿宋" w:cs="仿宋"/>
          <w:bCs/>
          <w:color w:val="000000"/>
          <w:szCs w:val="32"/>
        </w:rPr>
        <w:t>县级以上人民政府中医药主管部门负责本行政区域内的</w:t>
      </w:r>
      <w:r>
        <w:rPr>
          <w:rFonts w:hint="eastAsia" w:ascii="仿宋_GB2312" w:hAnsi="黑体" w:cs="黑体"/>
          <w:bCs/>
          <w:color w:val="000000"/>
          <w:szCs w:val="32"/>
        </w:rPr>
        <w:t>中医药</w:t>
      </w:r>
      <w:r>
        <w:rPr>
          <w:rFonts w:hint="eastAsia" w:ascii="仿宋_GB2312" w:hAnsi="仿宋" w:cs="仿宋"/>
          <w:bCs/>
          <w:color w:val="000000"/>
          <w:szCs w:val="32"/>
        </w:rPr>
        <w:t>管理工作。</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县级以上人民政府其他有关部门在各自职责范围内负责与中医药有关的工作。</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第六条　</w:t>
      </w:r>
      <w:r>
        <w:rPr>
          <w:rFonts w:hint="eastAsia" w:ascii="仿宋_GB2312" w:hAnsi="仿宋" w:cs="仿宋"/>
          <w:bCs/>
          <w:color w:val="000000"/>
          <w:szCs w:val="32"/>
        </w:rPr>
        <w:t>县级以上人民政府应当支持发展中医药教育、科学研究、技术开发和人才培养，鼓励中医药科学技术创新，推广应用中医药科学技术成果，保护中医药知识产权，加强中医药传统知识保护与技术挖掘。</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第七条　</w:t>
      </w:r>
      <w:r>
        <w:rPr>
          <w:rFonts w:hint="eastAsia" w:ascii="仿宋_GB2312" w:hAnsi="仿宋" w:cs="仿宋"/>
          <w:bCs/>
          <w:color w:val="000000"/>
          <w:szCs w:val="32"/>
        </w:rPr>
        <w:t>省人民政府应当加强中药资源保护利用，推进中药材规范化种植养殖，促进中药工业转型升级，构建现代中药材流通体系，推动中药质量提升和产业高质量发展，鼓励支持围绕本省道地中药材、特色药材和优势药品，打造中药秦药品牌。</w:t>
      </w:r>
    </w:p>
    <w:p>
      <w:pPr>
        <w:adjustRightInd w:val="0"/>
        <w:snapToGrid w:val="0"/>
        <w:spacing w:line="590" w:lineRule="exact"/>
        <w:ind w:firstLine="636" w:firstLineChars="200"/>
        <w:rPr>
          <w:rFonts w:ascii="黑体" w:hAnsi="黑体" w:eastAsia="黑体" w:cs="仿宋"/>
          <w:bCs/>
          <w:color w:val="000000"/>
          <w:szCs w:val="32"/>
        </w:rPr>
      </w:pPr>
      <w:r>
        <w:rPr>
          <w:rFonts w:hint="eastAsia" w:ascii="黑体" w:hAnsi="黑体" w:eastAsia="黑体" w:cs="仿宋"/>
          <w:bCs/>
          <w:color w:val="000000"/>
          <w:szCs w:val="32"/>
        </w:rPr>
        <w:t>第八条　</w:t>
      </w:r>
      <w:r>
        <w:rPr>
          <w:rFonts w:hint="eastAsia" w:ascii="仿宋_GB2312" w:hAnsi="仿宋" w:cs="仿宋"/>
          <w:bCs/>
          <w:color w:val="000000"/>
          <w:szCs w:val="32"/>
        </w:rPr>
        <w:t>中医药行业组织应当建立健全行业规范，加强行业自律，维护行业合法权益，组织开展行业交流，可以接受政府委托从事中医药相关工作。</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第九条　</w:t>
      </w:r>
      <w:r>
        <w:rPr>
          <w:rFonts w:hint="eastAsia" w:ascii="仿宋_GB2312" w:hAnsi="仿宋" w:cs="仿宋"/>
          <w:bCs/>
          <w:color w:val="000000"/>
          <w:szCs w:val="32"/>
        </w:rPr>
        <w:t>鼓励</w:t>
      </w:r>
      <w:r>
        <w:rPr>
          <w:rFonts w:hint="eastAsia" w:ascii="仿宋_GB2312" w:hAnsi="黑体" w:cs="黑体"/>
          <w:bCs/>
          <w:color w:val="000000"/>
          <w:szCs w:val="32"/>
        </w:rPr>
        <w:t>和支</w:t>
      </w:r>
      <w:r>
        <w:rPr>
          <w:rFonts w:hint="eastAsia" w:ascii="仿宋_GB2312" w:hAnsi="仿宋" w:cs="仿宋"/>
          <w:bCs/>
          <w:color w:val="000000"/>
          <w:szCs w:val="32"/>
        </w:rPr>
        <w:t>持中医药机构、学术团体及专业技术人员采取多种形式，开展省内外合作与交流。</w:t>
      </w:r>
    </w:p>
    <w:p>
      <w:pPr>
        <w:adjustRightInd w:val="0"/>
        <w:snapToGrid w:val="0"/>
        <w:spacing w:before="302" w:beforeLines="50" w:after="302" w:afterLines="50" w:line="590" w:lineRule="exact"/>
        <w:jc w:val="center"/>
        <w:rPr>
          <w:rFonts w:ascii="黑体" w:hAnsi="黑体" w:eastAsia="黑体" w:cs="仿宋"/>
          <w:bCs/>
          <w:color w:val="000000"/>
          <w:szCs w:val="32"/>
        </w:rPr>
      </w:pPr>
      <w:r>
        <w:rPr>
          <w:rFonts w:hint="eastAsia" w:ascii="黑体" w:hAnsi="黑体" w:eastAsia="黑体" w:cs="仿宋"/>
          <w:bCs/>
          <w:color w:val="000000"/>
          <w:szCs w:val="32"/>
        </w:rPr>
        <w:t>第二章　中医药服务</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第十条　</w:t>
      </w:r>
      <w:r>
        <w:rPr>
          <w:rFonts w:hint="eastAsia" w:ascii="仿宋_GB2312" w:hAnsi="仿宋" w:cs="仿宋"/>
          <w:bCs/>
          <w:color w:val="000000"/>
          <w:szCs w:val="32"/>
        </w:rPr>
        <w:t>县级以上人民政府应当举办符合国家和本省规定标准的中医医疗机构。政府举办的综合医院、妇幼保健机构和有条件的专科医院应当设置中医药科室和中医病床。</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乡镇卫生院和社区卫生服务中心应当设置中医馆等中医综合服务区，配备中医医师。</w:t>
      </w:r>
    </w:p>
    <w:p>
      <w:pPr>
        <w:adjustRightInd w:val="0"/>
        <w:snapToGrid w:val="0"/>
        <w:spacing w:line="590" w:lineRule="exact"/>
        <w:ind w:firstLine="636" w:firstLineChars="200"/>
        <w:rPr>
          <w:rFonts w:ascii="黑体" w:hAnsi="黑体" w:eastAsia="黑体" w:cs="仿宋"/>
          <w:bCs/>
          <w:color w:val="000000"/>
          <w:szCs w:val="32"/>
        </w:rPr>
      </w:pPr>
      <w:r>
        <w:rPr>
          <w:rFonts w:hint="eastAsia" w:ascii="仿宋_GB2312" w:hAnsi="仿宋" w:cs="仿宋"/>
          <w:bCs/>
          <w:color w:val="000000"/>
          <w:szCs w:val="32"/>
        </w:rPr>
        <w:t>县级以上人民政府应当采取保障措施，加强社区卫生服务站、村卫生室中医药设备配置和中医药人员配备，增强中医药服务的能力。</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第十一条　</w:t>
      </w:r>
      <w:r>
        <w:rPr>
          <w:rFonts w:hint="eastAsia" w:ascii="仿宋_GB2312" w:hAnsi="仿宋" w:cs="仿宋"/>
          <w:bCs/>
          <w:color w:val="000000"/>
          <w:szCs w:val="32"/>
        </w:rPr>
        <w:t>举办中医</w:t>
      </w:r>
      <w:r>
        <w:rPr>
          <w:rFonts w:hint="eastAsia" w:ascii="仿宋_GB2312" w:hAnsi="黑体" w:cs="黑体"/>
          <w:bCs/>
          <w:color w:val="000000"/>
          <w:szCs w:val="32"/>
        </w:rPr>
        <w:t>医疗机构，应当按照国家和本省有关医疗机构管理的规定办理审批手续，遵守医疗机构管理有关规定</w:t>
      </w:r>
      <w:r>
        <w:rPr>
          <w:rFonts w:hint="eastAsia" w:ascii="仿宋_GB2312" w:hAnsi="仿宋" w:cs="仿宋"/>
          <w:bCs/>
          <w:color w:val="000000"/>
          <w:szCs w:val="32"/>
        </w:rPr>
        <w:t>。</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黑体" w:cs="黑体"/>
          <w:bCs/>
          <w:color w:val="000000"/>
          <w:szCs w:val="32"/>
        </w:rPr>
        <w:t>举办中医诊所应当按照国家规定将诊所的名称、地址、诊疗范围、人员配备情况等报所在地县级中医药主管部门备案，并在备案范围内开展执业活动。</w:t>
      </w:r>
    </w:p>
    <w:p>
      <w:pPr>
        <w:adjustRightInd w:val="0"/>
        <w:snapToGrid w:val="0"/>
        <w:spacing w:line="590" w:lineRule="exact"/>
        <w:ind w:firstLine="636" w:firstLineChars="200"/>
        <w:rPr>
          <w:rFonts w:ascii="仿宋_GB2312" w:hAnsi="黑体" w:cs="黑体"/>
          <w:bCs/>
          <w:color w:val="000000"/>
          <w:szCs w:val="32"/>
        </w:rPr>
      </w:pPr>
      <w:r>
        <w:rPr>
          <w:rFonts w:hint="eastAsia" w:ascii="黑体" w:hAnsi="黑体" w:eastAsia="黑体" w:cs="仿宋"/>
          <w:bCs/>
          <w:color w:val="000000"/>
          <w:szCs w:val="32"/>
        </w:rPr>
        <w:t>第十二条　</w:t>
      </w:r>
      <w:r>
        <w:rPr>
          <w:rFonts w:hint="eastAsia" w:ascii="仿宋_GB2312" w:hAnsi="仿宋" w:cs="仿宋"/>
          <w:bCs/>
          <w:color w:val="000000"/>
          <w:szCs w:val="32"/>
        </w:rPr>
        <w:t>合并、撤销政府举办的中医医疗机构或者改变其中医医疗性质，应当征求上一级中医药主管部门的意见。设区的市中医药主管部门对县级中医医疗机构合并、撤销或者改变其中医医疗性质的意见应当抄送省中医药主管部门。</w:t>
      </w:r>
    </w:p>
    <w:p>
      <w:pPr>
        <w:adjustRightInd w:val="0"/>
        <w:snapToGrid w:val="0"/>
        <w:spacing w:line="590" w:lineRule="exact"/>
        <w:ind w:firstLine="636" w:firstLineChars="200"/>
        <w:rPr>
          <w:rFonts w:ascii="仿宋_GB2312" w:hAnsi="黑体" w:cs="黑体"/>
          <w:bCs/>
          <w:color w:val="000000"/>
          <w:szCs w:val="32"/>
        </w:rPr>
      </w:pPr>
      <w:r>
        <w:rPr>
          <w:rFonts w:hint="eastAsia" w:ascii="黑体" w:hAnsi="黑体" w:eastAsia="黑体" w:cs="仿宋"/>
          <w:bCs/>
          <w:color w:val="000000"/>
          <w:szCs w:val="32"/>
        </w:rPr>
        <w:t>第十三条　</w:t>
      </w:r>
      <w:r>
        <w:rPr>
          <w:rFonts w:hint="eastAsia" w:ascii="仿宋_GB2312" w:hAnsi="黑体" w:cs="黑体"/>
          <w:bCs/>
          <w:color w:val="000000"/>
          <w:szCs w:val="32"/>
        </w:rPr>
        <w:t>支持社会力量投资中医药事业，举办中医医疗机构、中医养生保健机构。社会力量举办的中医医疗机构在准入、执业、基本医疗保险、科研教学</w:t>
      </w:r>
      <w:r>
        <w:rPr>
          <w:rFonts w:hint="eastAsia" w:ascii="仿宋_GB2312" w:hAnsi="仿宋" w:cs="仿宋"/>
          <w:bCs/>
          <w:color w:val="000000"/>
          <w:szCs w:val="32"/>
        </w:rPr>
        <w:t>、医务人员职称评定等方面享有与政府举办的中医医疗机构同等待遇。</w:t>
      </w:r>
    </w:p>
    <w:p>
      <w:pPr>
        <w:adjustRightInd w:val="0"/>
        <w:snapToGrid w:val="0"/>
        <w:spacing w:line="590" w:lineRule="exact"/>
        <w:ind w:firstLine="636" w:firstLineChars="200"/>
        <w:rPr>
          <w:rFonts w:ascii="仿宋_GB2312" w:hAnsi="黑体" w:cs="黑体"/>
          <w:bCs/>
          <w:color w:val="000000"/>
          <w:szCs w:val="32"/>
        </w:rPr>
      </w:pPr>
      <w:r>
        <w:rPr>
          <w:rFonts w:hint="eastAsia" w:ascii="仿宋_GB2312" w:hAnsi="黑体" w:cs="黑体"/>
          <w:bCs/>
          <w:color w:val="000000"/>
          <w:szCs w:val="32"/>
        </w:rPr>
        <w:t>鼓励有资质的中医专业技术人员、药品经营企业开办中医门诊部、诊所。对只提供传统中医药服务的中医门诊部、诊所，医疗机构设置规划和区域卫生发展规划不作布局限制。</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第十四条　</w:t>
      </w:r>
      <w:r>
        <w:rPr>
          <w:rFonts w:hint="eastAsia" w:ascii="仿宋_GB2312" w:hAnsi="仿宋" w:cs="仿宋"/>
          <w:bCs/>
          <w:color w:val="000000"/>
          <w:szCs w:val="32"/>
        </w:rPr>
        <w:t>从事中医医疗活动的人员应当依照《中华人民共和国执业医师法》的规定，通过中医医师资格考试取得中医医师资格，并进行执业注册。以师承方式学习中医或者经多年实践、医术确有专长的人员，医师资格考核注册管理按照国家有关规定执行，具体实施细则由省中医药主管部门制定。</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支持中医医疗机构设置中医（专长）医师岗位。</w:t>
      </w:r>
    </w:p>
    <w:p>
      <w:pPr>
        <w:adjustRightInd w:val="0"/>
        <w:snapToGrid w:val="0"/>
        <w:spacing w:line="590" w:lineRule="exact"/>
        <w:ind w:firstLine="636" w:firstLineChars="200"/>
        <w:rPr>
          <w:rFonts w:ascii="仿宋_GB2312" w:hAnsi="黑体" w:cs="黑体"/>
          <w:bCs/>
          <w:color w:val="0D0D0D" w:themeColor="text1" w:themeTint="F2"/>
          <w:szCs w:val="32"/>
          <w14:textFill>
            <w14:solidFill>
              <w14:schemeClr w14:val="tx1">
                <w14:lumMod w14:val="95000"/>
                <w14:lumOff w14:val="5000"/>
              </w14:schemeClr>
            </w14:solidFill>
          </w14:textFill>
        </w:rPr>
      </w:pPr>
      <w:r>
        <w:rPr>
          <w:rFonts w:hint="eastAsia" w:ascii="仿宋_GB2312" w:hAnsi="黑体" w:cs="黑体"/>
          <w:bCs/>
          <w:color w:val="0D0D0D" w:themeColor="text1" w:themeTint="F2"/>
          <w:szCs w:val="32"/>
          <w14:textFill>
            <w14:solidFill>
              <w14:schemeClr w14:val="tx1">
                <w14:lumMod w14:val="95000"/>
                <w14:lumOff w14:val="5000"/>
              </w14:schemeClr>
            </w14:solidFill>
          </w14:textFill>
        </w:rPr>
        <w:t>具有资质的中医医师可以按规定多点执业。</w:t>
      </w:r>
    </w:p>
    <w:p>
      <w:pPr>
        <w:adjustRightInd w:val="0"/>
        <w:snapToGrid w:val="0"/>
        <w:spacing w:line="580" w:lineRule="exact"/>
        <w:ind w:firstLine="636" w:firstLineChars="200"/>
        <w:rPr>
          <w:bCs/>
          <w:szCs w:val="32"/>
          <w:shd w:val="clear" w:color="FFFFFF" w:fill="D9D9D9"/>
        </w:rPr>
      </w:pPr>
      <w:r>
        <w:rPr>
          <w:rFonts w:hint="eastAsia" w:ascii="黑体" w:hAnsi="黑体" w:eastAsia="黑体"/>
          <w:bCs/>
          <w:szCs w:val="32"/>
        </w:rPr>
        <w:t>第十五条　</w:t>
      </w:r>
      <w:r>
        <w:rPr>
          <w:rFonts w:hint="eastAsia" w:ascii="仿宋_GB2312" w:hAnsi="仿宋" w:cs="仿宋"/>
          <w:bCs/>
          <w:color w:val="000000"/>
          <w:szCs w:val="32"/>
        </w:rPr>
        <w:t>中医医疗机构应当主要提供中医药服务，卫生技术人员的比例和中医药人员占卫生技术人员比例不得低于国家规定的标准。</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第十六条　</w:t>
      </w:r>
      <w:r>
        <w:rPr>
          <w:rFonts w:hint="eastAsia" w:ascii="仿宋_GB2312" w:hAnsi="仿宋" w:cs="仿宋"/>
          <w:bCs/>
          <w:color w:val="000000"/>
          <w:szCs w:val="32"/>
        </w:rPr>
        <w:t>鼓励中医医疗机构和执业医师运用互联网等现代信息技术开展远程医疗、移动医疗、智慧医疗等新型中医医疗服务。</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在医疗活动中采用现代科学技术方法的，应当有利于保持和发挥中医药特色和优势。</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第十七条　</w:t>
      </w:r>
      <w:r>
        <w:rPr>
          <w:rFonts w:hint="eastAsia" w:ascii="仿宋_GB2312" w:hAnsi="仿宋" w:cs="仿宋"/>
          <w:bCs/>
          <w:color w:val="000000"/>
          <w:szCs w:val="32"/>
        </w:rPr>
        <w:t>县（市、区）中医医疗机构应当指导帮助社区卫生服务中心和乡镇卫生院开展中医药服务。</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社区卫生服务中心和乡镇卫生院应当组织中医药人员到社区服务站、村卫生室开展中医药医疗、预防、保健、康复等多种形式的医疗服务和技术协作。</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支持中医医疗机构牵头组建或者参与各类医疗联合体建设。中医医疗联合体内医疗机构可以通过临床带教、业务指导、科研和项目协作等多种方式，提升基层医疗机构服务能力。</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第十八条　</w:t>
      </w:r>
      <w:r>
        <w:rPr>
          <w:rFonts w:hint="eastAsia" w:ascii="仿宋_GB2312" w:hAnsi="黑体" w:cs="黑体"/>
          <w:bCs/>
          <w:color w:val="000000"/>
          <w:szCs w:val="32"/>
        </w:rPr>
        <w:t>县级以</w:t>
      </w:r>
      <w:r>
        <w:rPr>
          <w:rFonts w:hint="eastAsia" w:ascii="仿宋_GB2312" w:hAnsi="仿宋" w:cs="仿宋"/>
          <w:bCs/>
          <w:color w:val="000000"/>
          <w:szCs w:val="32"/>
        </w:rPr>
        <w:t>上人民政府应当支持医疗卫生机构在疾病预防与控制中运用中医药理论和技术方法。建立中医药参与突发公共事件应急网络和应急救治工作协调机制，提高中医药应急救治和重大传染病防治能力。发生突发公共卫生事件时，政府举办的中医医疗机构按照省卫生健康部门发布的固定处方，可以预先调配或者集中代煎预防性中药。</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第十九条　</w:t>
      </w:r>
      <w:r>
        <w:rPr>
          <w:rFonts w:hint="eastAsia" w:ascii="仿宋_GB2312" w:hAnsi="仿宋" w:cs="仿宋"/>
          <w:bCs/>
          <w:color w:val="000000"/>
          <w:szCs w:val="32"/>
        </w:rPr>
        <w:t>县级以上人民政府应当建立慢性病中医药监测与信息管理制度，推动建立融入中医药内容的社区健康管理模式，开展高危人群中医药健康干预，提升基层中医药健康管理水平。</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鼓励运用中医非药物疗法，发挥其在常见病、多发病和慢性病防治中的独特作用。</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黑体"/>
          <w:bCs/>
          <w:color w:val="000000"/>
          <w:szCs w:val="32"/>
        </w:rPr>
        <w:t>第二十条</w:t>
      </w:r>
      <w:r>
        <w:rPr>
          <w:rFonts w:hint="eastAsia" w:ascii="黑体" w:hAnsi="黑体" w:eastAsia="黑体" w:cs="仿宋"/>
          <w:bCs/>
          <w:color w:val="000000"/>
          <w:szCs w:val="32"/>
        </w:rPr>
        <w:t>　</w:t>
      </w:r>
      <w:r>
        <w:rPr>
          <w:rFonts w:hint="eastAsia" w:ascii="仿宋_GB2312" w:hAnsi="黑体" w:cs="黑体"/>
          <w:bCs/>
          <w:color w:val="000000"/>
          <w:szCs w:val="32"/>
        </w:rPr>
        <w:t>县级以上</w:t>
      </w:r>
      <w:r>
        <w:rPr>
          <w:rFonts w:hint="eastAsia" w:ascii="仿宋_GB2312" w:hAnsi="仿宋" w:cs="仿宋"/>
          <w:bCs/>
          <w:color w:val="000000"/>
          <w:szCs w:val="32"/>
        </w:rPr>
        <w:t>人民政府应当支持医疗机构开展中医药预防、保健服务，支持医疗机构开展中医健康咨询、健康评估、干预调理、随访管理等治未病服务，按照国家有关规定将其纳入基本公共卫生服务项目统筹实施。</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黑体"/>
          <w:bCs/>
          <w:color w:val="000000"/>
          <w:szCs w:val="32"/>
        </w:rPr>
        <w:t>第二十一条</w:t>
      </w:r>
      <w:r>
        <w:rPr>
          <w:rFonts w:hint="eastAsia"/>
          <w:bCs/>
        </w:rPr>
        <w:t>　</w:t>
      </w:r>
      <w:r>
        <w:rPr>
          <w:rFonts w:hint="eastAsia" w:ascii="仿宋_GB2312" w:hAnsi="仿宋" w:cs="仿宋"/>
          <w:bCs/>
          <w:color w:val="000000"/>
          <w:szCs w:val="32"/>
        </w:rPr>
        <w:t>县级以上人民政府应当加强中医医院康复科室建设，支持康复医院设置中医药科室，配备中医康复专业技术人员和设备，推广中医药适宜技术，提升中医药康复服务能力。</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黑体"/>
          <w:bCs/>
          <w:color w:val="000000"/>
          <w:szCs w:val="32"/>
        </w:rPr>
        <w:t>第二十二条</w:t>
      </w:r>
      <w:r>
        <w:rPr>
          <w:rFonts w:hint="eastAsia"/>
          <w:bCs/>
        </w:rPr>
        <w:t>　</w:t>
      </w:r>
      <w:r>
        <w:rPr>
          <w:rFonts w:ascii="仿宋_GB2312" w:hAnsi="仿宋" w:cs="仿宋"/>
          <w:bCs/>
          <w:color w:val="000000"/>
          <w:szCs w:val="32"/>
        </w:rPr>
        <w:t>支持有条件的</w:t>
      </w:r>
      <w:r>
        <w:rPr>
          <w:rFonts w:hint="eastAsia" w:ascii="仿宋_GB2312" w:hAnsi="仿宋" w:cs="仿宋"/>
          <w:bCs/>
          <w:color w:val="000000"/>
          <w:szCs w:val="32"/>
        </w:rPr>
        <w:t>中医</w:t>
      </w:r>
      <w:r>
        <w:rPr>
          <w:rFonts w:ascii="仿宋_GB2312" w:hAnsi="仿宋" w:cs="仿宋"/>
          <w:bCs/>
          <w:color w:val="000000"/>
          <w:szCs w:val="32"/>
        </w:rPr>
        <w:t>医院</w:t>
      </w:r>
      <w:r>
        <w:rPr>
          <w:rFonts w:hint="eastAsia" w:ascii="仿宋_GB2312" w:hAnsi="仿宋" w:cs="仿宋"/>
          <w:bCs/>
          <w:color w:val="000000"/>
          <w:szCs w:val="32"/>
        </w:rPr>
        <w:t>采取</w:t>
      </w:r>
      <w:r>
        <w:rPr>
          <w:rFonts w:ascii="仿宋_GB2312" w:hAnsi="仿宋" w:cs="仿宋"/>
          <w:bCs/>
          <w:color w:val="000000"/>
          <w:szCs w:val="32"/>
        </w:rPr>
        <w:t>融医疗、康复、预防保健、养</w:t>
      </w:r>
      <w:r>
        <w:rPr>
          <w:rFonts w:hint="eastAsia" w:ascii="仿宋_GB2312" w:hAnsi="仿宋" w:cs="仿宋"/>
          <w:bCs/>
          <w:color w:val="000000"/>
          <w:szCs w:val="32"/>
        </w:rPr>
        <w:t>老服务等</w:t>
      </w:r>
      <w:r>
        <w:rPr>
          <w:rFonts w:ascii="仿宋_GB2312" w:hAnsi="仿宋" w:cs="仿宋"/>
          <w:bCs/>
          <w:color w:val="000000"/>
          <w:szCs w:val="32"/>
        </w:rPr>
        <w:t>于一体的医院发展模式。</w:t>
      </w:r>
    </w:p>
    <w:p>
      <w:pPr>
        <w:adjustRightInd w:val="0"/>
        <w:snapToGrid w:val="0"/>
        <w:spacing w:line="590" w:lineRule="exact"/>
        <w:ind w:firstLine="636" w:firstLineChars="200"/>
        <w:rPr>
          <w:rFonts w:ascii="仿宋_GB2312" w:hAnsi="仿宋" w:cs="仿宋"/>
          <w:bCs/>
          <w:color w:val="000000"/>
          <w:szCs w:val="32"/>
        </w:rPr>
      </w:pPr>
      <w:r>
        <w:rPr>
          <w:rFonts w:ascii="仿宋_GB2312" w:hAnsi="仿宋" w:cs="仿宋"/>
          <w:bCs/>
          <w:color w:val="000000"/>
          <w:szCs w:val="32"/>
        </w:rPr>
        <w:t>鼓励中医医院、中医医师为</w:t>
      </w:r>
      <w:r>
        <w:rPr>
          <w:rFonts w:hint="eastAsia" w:ascii="仿宋_GB2312" w:hAnsi="仿宋" w:cs="仿宋"/>
          <w:bCs/>
          <w:color w:val="000000"/>
          <w:szCs w:val="32"/>
        </w:rPr>
        <w:t>养老机构、</w:t>
      </w:r>
      <w:r>
        <w:rPr>
          <w:rFonts w:ascii="仿宋_GB2312" w:hAnsi="仿宋" w:cs="仿宋"/>
          <w:bCs/>
          <w:color w:val="000000"/>
          <w:szCs w:val="32"/>
        </w:rPr>
        <w:t>中医养生保健机构提供保健咨询、调理和药膳等技术支持。支持社会力量举办中医养生保健机构，推广普及中医养生保健知识和易于掌握的理疗、推拿等中医养生保健技术与方法。</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第二十三条</w:t>
      </w:r>
      <w:r>
        <w:rPr>
          <w:rFonts w:hint="eastAsia"/>
          <w:bCs/>
        </w:rPr>
        <w:t>　</w:t>
      </w:r>
      <w:r>
        <w:rPr>
          <w:rFonts w:hint="eastAsia" w:ascii="仿宋_GB2312" w:hAnsi="仿宋" w:cs="仿宋"/>
          <w:bCs/>
          <w:color w:val="000000"/>
          <w:szCs w:val="32"/>
        </w:rPr>
        <w:t>县级以上中医药主管部门应当会同有关部门加强中医养生保健机构、人员、技术、服务、产品等管理，提升服务质量和水平。</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提供中医养生保健服务的企业登记经营范围应当使用中医养生保健服务(非医疗)的表述。</w:t>
      </w:r>
    </w:p>
    <w:p>
      <w:pPr>
        <w:adjustRightInd w:val="0"/>
        <w:snapToGrid w:val="0"/>
        <w:spacing w:line="590" w:lineRule="exact"/>
        <w:ind w:firstLine="636" w:firstLineChars="200"/>
        <w:rPr>
          <w:rFonts w:ascii="仿宋_GB2312" w:hAnsi="仿宋" w:cs="仿宋"/>
          <w:bCs/>
          <w:szCs w:val="32"/>
        </w:rPr>
      </w:pPr>
      <w:r>
        <w:rPr>
          <w:rFonts w:hint="eastAsia" w:ascii="黑体" w:hAnsi="黑体" w:eastAsia="黑体" w:cs="仿宋"/>
          <w:bCs/>
          <w:color w:val="000000"/>
          <w:szCs w:val="32"/>
        </w:rPr>
        <w:t>第二十四条　</w:t>
      </w:r>
      <w:r>
        <w:rPr>
          <w:rFonts w:hint="eastAsia" w:ascii="仿宋_GB2312" w:hAnsi="仿宋" w:cs="仿宋"/>
          <w:bCs/>
          <w:szCs w:val="32"/>
        </w:rPr>
        <w:t>发</w:t>
      </w:r>
      <w:r>
        <w:rPr>
          <w:rFonts w:hint="eastAsia" w:ascii="仿宋_GB2312" w:hAnsi="仿宋" w:cs="仿宋"/>
          <w:bCs/>
          <w:color w:val="000000"/>
          <w:szCs w:val="32"/>
        </w:rPr>
        <w:t>布中医医疗广告，应当经省中医药主管部门审查批准；发布中药药品广告，应当经省市场监督管理部门审查批准。未经审查批准，不得发布。</w:t>
      </w:r>
    </w:p>
    <w:p>
      <w:pPr>
        <w:adjustRightInd w:val="0"/>
        <w:snapToGrid w:val="0"/>
        <w:spacing w:line="590" w:lineRule="exact"/>
        <w:ind w:firstLine="636" w:firstLineChars="200"/>
        <w:rPr>
          <w:rFonts w:ascii="仿宋_GB2312" w:hAnsi="仿宋" w:cs="仿宋"/>
          <w:bCs/>
          <w:szCs w:val="32"/>
        </w:rPr>
      </w:pPr>
      <w:r>
        <w:rPr>
          <w:rFonts w:hint="eastAsia" w:ascii="仿宋_GB2312" w:hAnsi="仿宋" w:cs="仿宋"/>
          <w:bCs/>
          <w:szCs w:val="32"/>
        </w:rPr>
        <w:t>发布的中医医</w:t>
      </w:r>
      <w:r>
        <w:rPr>
          <w:rFonts w:hint="eastAsia" w:ascii="仿宋_GB2312" w:hAnsi="仿宋" w:cs="仿宋"/>
          <w:bCs/>
          <w:color w:val="000000"/>
          <w:szCs w:val="32"/>
        </w:rPr>
        <w:t>疗和中药药品广告内容应当与经审查批准的内容和药品说明书相符合，并符合《中华人民共和国广告法》《中华人民共和国药品管理法》等法律法规的有关规定。</w:t>
      </w:r>
    </w:p>
    <w:p>
      <w:pPr>
        <w:adjustRightInd w:val="0"/>
        <w:snapToGrid w:val="0"/>
        <w:spacing w:line="590" w:lineRule="exact"/>
        <w:ind w:firstLine="636" w:firstLineChars="200"/>
        <w:rPr>
          <w:rFonts w:ascii="仿宋_GB2312" w:hAnsi="仿宋" w:cs="仿宋"/>
          <w:bCs/>
          <w:szCs w:val="32"/>
        </w:rPr>
      </w:pPr>
      <w:r>
        <w:rPr>
          <w:rFonts w:hint="eastAsia" w:ascii="黑体" w:hAnsi="黑体" w:eastAsia="黑体" w:cs="仿宋"/>
          <w:bCs/>
          <w:color w:val="000000"/>
          <w:szCs w:val="32"/>
        </w:rPr>
        <w:t>第二十五条</w:t>
      </w:r>
      <w:r>
        <w:rPr>
          <w:rFonts w:hint="eastAsia"/>
          <w:bCs/>
        </w:rPr>
        <w:t>　</w:t>
      </w:r>
      <w:r>
        <w:rPr>
          <w:rFonts w:hint="eastAsia" w:ascii="仿宋_GB2312" w:hAnsi="仿宋" w:cs="仿宋"/>
          <w:bCs/>
          <w:color w:val="000000"/>
          <w:szCs w:val="32"/>
        </w:rPr>
        <w:t>中医医疗机构应当加强对中医药人员及其他相关人员的职业道德教育和技能培训，严格执行有关规章制度和操作规范，提高医疗服务质量。</w:t>
      </w:r>
    </w:p>
    <w:p>
      <w:pPr>
        <w:adjustRightInd w:val="0"/>
        <w:snapToGrid w:val="0"/>
        <w:spacing w:line="590" w:lineRule="exact"/>
        <w:ind w:firstLine="636" w:firstLineChars="200"/>
        <w:rPr>
          <w:rFonts w:ascii="仿宋_GB2312" w:hAnsi="黑体" w:cs="黑体"/>
          <w:bCs/>
          <w:color w:val="000000"/>
          <w:szCs w:val="32"/>
        </w:rPr>
      </w:pPr>
      <w:r>
        <w:rPr>
          <w:rFonts w:hint="eastAsia" w:ascii="黑体" w:hAnsi="黑体" w:eastAsia="黑体" w:cs="仿宋"/>
          <w:bCs/>
          <w:color w:val="000000"/>
          <w:szCs w:val="32"/>
        </w:rPr>
        <w:t>第二十六条　</w:t>
      </w:r>
      <w:r>
        <w:rPr>
          <w:rFonts w:hint="eastAsia" w:ascii="仿宋_GB2312" w:hAnsi="黑体" w:cs="黑体"/>
          <w:bCs/>
          <w:color w:val="000000"/>
          <w:szCs w:val="32"/>
        </w:rPr>
        <w:t>县级以上中医药主管部门应当加强对中医药服务的监督检查，并将下列事项作为监督检查的重点：</w:t>
      </w:r>
    </w:p>
    <w:p>
      <w:pPr>
        <w:adjustRightInd w:val="0"/>
        <w:snapToGrid w:val="0"/>
        <w:spacing w:line="590" w:lineRule="exact"/>
        <w:ind w:firstLine="636" w:firstLineChars="200"/>
        <w:rPr>
          <w:rFonts w:ascii="仿宋_GB2312" w:hAnsi="黑体" w:cs="黑体"/>
          <w:bCs/>
          <w:color w:val="000000"/>
          <w:szCs w:val="32"/>
        </w:rPr>
      </w:pPr>
      <w:r>
        <w:rPr>
          <w:rFonts w:hint="eastAsia" w:ascii="仿宋_GB2312" w:hAnsi="黑体" w:cs="黑体"/>
          <w:bCs/>
          <w:color w:val="000000"/>
          <w:szCs w:val="32"/>
        </w:rPr>
        <w:t>（一）中医医疗机构、中医医师是否超出规定的范围开展医疗活动；</w:t>
      </w:r>
    </w:p>
    <w:p>
      <w:pPr>
        <w:adjustRightInd w:val="0"/>
        <w:snapToGrid w:val="0"/>
        <w:spacing w:line="590" w:lineRule="exact"/>
        <w:ind w:firstLine="636" w:firstLineChars="200"/>
        <w:rPr>
          <w:rFonts w:ascii="仿宋_GB2312" w:hAnsi="黑体" w:cs="黑体"/>
          <w:bCs/>
          <w:color w:val="000000"/>
          <w:szCs w:val="32"/>
        </w:rPr>
      </w:pPr>
      <w:r>
        <w:rPr>
          <w:rFonts w:hint="eastAsia" w:ascii="仿宋_GB2312" w:hAnsi="黑体" w:cs="黑体"/>
          <w:bCs/>
          <w:color w:val="000000"/>
          <w:szCs w:val="32"/>
        </w:rPr>
        <w:t>（二）开展中医药服务是否符合国务院中医药主管部门制定的中医药服务基本要求；</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黑体" w:cs="黑体"/>
          <w:bCs/>
          <w:color w:val="000000"/>
          <w:szCs w:val="32"/>
        </w:rPr>
        <w:t>（三）中医医疗广告</w:t>
      </w:r>
      <w:r>
        <w:rPr>
          <w:rFonts w:hint="eastAsia" w:ascii="仿宋_GB2312" w:hAnsi="仿宋" w:cs="仿宋"/>
          <w:bCs/>
          <w:color w:val="000000"/>
          <w:szCs w:val="32"/>
        </w:rPr>
        <w:t>发布行为是否符合相关法律法规的规定。</w:t>
      </w:r>
    </w:p>
    <w:p>
      <w:pPr>
        <w:adjustRightInd w:val="0"/>
        <w:snapToGrid w:val="0"/>
        <w:spacing w:line="590" w:lineRule="exact"/>
        <w:ind w:firstLine="636" w:firstLineChars="200"/>
        <w:rPr>
          <w:rFonts w:ascii="仿宋_GB2312" w:hAnsi="黑体" w:cs="黑体"/>
          <w:bCs/>
          <w:color w:val="000000"/>
          <w:szCs w:val="32"/>
        </w:rPr>
      </w:pPr>
      <w:r>
        <w:rPr>
          <w:rFonts w:hint="eastAsia" w:ascii="仿宋_GB2312" w:hAnsi="仿宋" w:cs="仿宋"/>
          <w:bCs/>
          <w:color w:val="000000"/>
          <w:szCs w:val="32"/>
        </w:rPr>
        <w:t>中医药主管部门依法开展监督检</w:t>
      </w:r>
      <w:r>
        <w:rPr>
          <w:rFonts w:hint="eastAsia" w:ascii="仿宋_GB2312" w:hAnsi="黑体" w:cs="黑体"/>
          <w:bCs/>
          <w:color w:val="000000"/>
          <w:szCs w:val="32"/>
        </w:rPr>
        <w:t>查，有关单位和个人应当予以配合，不得拒绝或者阻挠。</w:t>
      </w:r>
    </w:p>
    <w:p>
      <w:pPr>
        <w:adjustRightInd w:val="0"/>
        <w:snapToGrid w:val="0"/>
        <w:spacing w:before="302" w:beforeLines="50" w:after="302" w:afterLines="50" w:line="590" w:lineRule="exact"/>
        <w:jc w:val="center"/>
        <w:rPr>
          <w:rFonts w:ascii="黑体" w:hAnsi="黑体" w:eastAsia="黑体" w:cs="仿宋"/>
          <w:bCs/>
          <w:color w:val="000000"/>
          <w:szCs w:val="32"/>
        </w:rPr>
      </w:pPr>
      <w:r>
        <w:rPr>
          <w:rFonts w:hint="eastAsia" w:ascii="黑体" w:hAnsi="黑体" w:eastAsia="黑体" w:cs="仿宋"/>
          <w:bCs/>
          <w:color w:val="000000"/>
          <w:szCs w:val="32"/>
        </w:rPr>
        <w:t>第三章　中药保护与发展</w:t>
      </w:r>
    </w:p>
    <w:p>
      <w:pPr>
        <w:adjustRightInd w:val="0"/>
        <w:snapToGrid w:val="0"/>
        <w:spacing w:line="590" w:lineRule="exact"/>
        <w:ind w:firstLine="636" w:firstLineChars="200"/>
        <w:rPr>
          <w:rFonts w:ascii="仿宋_GB2312" w:hAnsi="黑体" w:cs="黑体"/>
          <w:bCs/>
          <w:color w:val="000000"/>
          <w:szCs w:val="32"/>
        </w:rPr>
      </w:pPr>
      <w:r>
        <w:rPr>
          <w:rFonts w:hint="eastAsia" w:ascii="黑体" w:hAnsi="黑体" w:eastAsia="黑体" w:cs="仿宋"/>
          <w:bCs/>
          <w:color w:val="000000"/>
          <w:szCs w:val="32"/>
        </w:rPr>
        <w:t>第二十七条　</w:t>
      </w:r>
      <w:r>
        <w:rPr>
          <w:rFonts w:hint="eastAsia" w:ascii="仿宋_GB2312" w:hAnsi="黑体" w:cs="黑体"/>
          <w:bCs/>
          <w:color w:val="000000"/>
          <w:szCs w:val="32"/>
        </w:rPr>
        <w:t>县级以上人民政府应当根据本地中医药事业发展实际，制定</w:t>
      </w:r>
      <w:r>
        <w:rPr>
          <w:rFonts w:hint="eastAsia" w:ascii="仿宋_GB2312" w:hAnsi="仿宋" w:cs="仿宋"/>
          <w:bCs/>
          <w:color w:val="000000"/>
          <w:szCs w:val="32"/>
        </w:rPr>
        <w:t>中药保护利用和产业发展规划，发挥区域中药材资源优势，推进生态种植，发展循环经济，建设功能完备的中药产业园，提高中药材资源综合利用水平。</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第二十八条　</w:t>
      </w:r>
      <w:r>
        <w:rPr>
          <w:rFonts w:hint="eastAsia" w:ascii="仿宋_GB2312" w:hAnsi="仿宋" w:cs="仿宋"/>
          <w:bCs/>
          <w:color w:val="000000"/>
          <w:szCs w:val="32"/>
        </w:rPr>
        <w:t>省人民政府应当建立中药材资源、野生中药材物种分级保护制度，设立本省濒危野生药用动植物保护区，加强秦岭特有药用动植物和珍稀濒危野生药用动植物品种保护、繁育和研究，鼓励发展人工种植养殖，建立省级药用动植物种质资源库，加强中药资源动态监测信息与技术服务体系建设。</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鼓励社会力量投资举办中药材科技园、博物馆和药用动植物园等保育基地。</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第二十九条</w:t>
      </w:r>
      <w:r>
        <w:rPr>
          <w:rFonts w:hint="eastAsia" w:ascii="仿宋_GB2312" w:hAnsi="仿宋" w:cs="仿宋"/>
          <w:bCs/>
          <w:color w:val="000000"/>
          <w:szCs w:val="32"/>
        </w:rPr>
        <w:t>　县级以上人民政府应当支持中药材种植养殖基地规范化、规模化建设，推广中药材种植养殖技术，培育经营主体、推动农企联结、引导股份合作，提升中药材种植养殖产业化水平。</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县级以上人民政府有关部门应当按照国家规定，规范农药、化肥、植物生长调节剂等的使用管理。禁止在中药材种植养殖中使用剧毒、高毒及高残留农药或者超过标准使用农药、化肥等农业投入品。</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县级以上人民政府农业农村、科技、林业等主管部门应当作好中药材规范化种植养殖科学引导和技术指导，为中药材产业发展提供保障。</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第三十条　</w:t>
      </w:r>
      <w:r>
        <w:rPr>
          <w:rFonts w:hint="eastAsia" w:ascii="仿宋_GB2312" w:hAnsi="仿宋" w:cs="仿宋"/>
          <w:bCs/>
          <w:color w:val="000000"/>
          <w:szCs w:val="32"/>
        </w:rPr>
        <w:t>省中医药主管部门应当会同药品监督管理、农业农村等有关主管部门制定本省道地中药材目录和标准质量评价体系，支持发展本省道地中药材优势品种。</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县级以上农业农村主管部门应当会同其他有关部门采取有效措施，对本省道地中药材进行品种选育和产地保护，鼓励道地中药材品种申报国家地理标志保护，培育和保护区域中药材知名品牌。</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第三十一条　</w:t>
      </w:r>
      <w:r>
        <w:rPr>
          <w:rFonts w:hint="eastAsia" w:ascii="仿宋_GB2312" w:hAnsi="仿宋" w:cs="仿宋"/>
          <w:bCs/>
          <w:color w:val="000000"/>
          <w:szCs w:val="32"/>
        </w:rPr>
        <w:t>中药材的采集、贮存、初加工和中药饮片炮制等应当符合有关技术规范、标准和管理规定。</w:t>
      </w:r>
    </w:p>
    <w:p>
      <w:pPr>
        <w:adjustRightInd w:val="0"/>
        <w:snapToGrid w:val="0"/>
        <w:spacing w:line="590" w:lineRule="exact"/>
        <w:ind w:firstLine="636" w:firstLineChars="200"/>
        <w:rPr>
          <w:rFonts w:ascii="黑体" w:hAnsi="黑体" w:eastAsia="黑体" w:cs="仿宋"/>
          <w:bCs/>
          <w:color w:val="000000"/>
          <w:szCs w:val="32"/>
        </w:rPr>
      </w:pPr>
      <w:r>
        <w:rPr>
          <w:rFonts w:hint="eastAsia" w:ascii="仿宋_GB2312" w:hAnsi="仿宋" w:cs="仿宋"/>
          <w:bCs/>
          <w:color w:val="000000"/>
          <w:szCs w:val="32"/>
        </w:rPr>
        <w:t>县级以上承担药品监督管理职责的部门应当加强中药材质量监督管理，健全中药材质量保障制度。</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中药材经营者应当建立进货查验和购销记录制度，并标明中药材产地；药品生产企业应当建立中药材、中药饮片进货查验记录制度；医疗机构应当严格执行中药材、中药饮片质量验收制度，加强中药材加工、炮制和中药制剂配制的管理，保证中药饮片和中药制剂的质量，保障患者用药安全、有效。</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医疗机构炮制中药饮片，应当向所在地设区的市承担药品监督管理职责的部门备案。根据临床用药需要，医疗机构可以凭本医疗机构医师的处方对中药饮片进行再加工。</w:t>
      </w:r>
    </w:p>
    <w:p>
      <w:pPr>
        <w:adjustRightInd w:val="0"/>
        <w:snapToGrid w:val="0"/>
        <w:spacing w:line="590" w:lineRule="exact"/>
        <w:ind w:firstLine="636" w:firstLineChars="200"/>
        <w:rPr>
          <w:rFonts w:ascii="仿宋_GB2312" w:hAnsi="黑体" w:cs="黑体"/>
          <w:bCs/>
          <w:color w:val="000000"/>
          <w:szCs w:val="32"/>
        </w:rPr>
      </w:pPr>
      <w:r>
        <w:rPr>
          <w:rFonts w:hint="eastAsia" w:ascii="黑体" w:hAnsi="黑体" w:eastAsia="黑体" w:cs="仿宋"/>
          <w:bCs/>
          <w:color w:val="000000"/>
          <w:szCs w:val="32"/>
        </w:rPr>
        <w:t>第三十二条　</w:t>
      </w:r>
      <w:r>
        <w:rPr>
          <w:rFonts w:hint="eastAsia" w:ascii="仿宋_GB2312" w:hAnsi="黑体" w:cs="黑体"/>
          <w:bCs/>
          <w:color w:val="000000"/>
          <w:szCs w:val="32"/>
        </w:rPr>
        <w:t>县级以上人民政府应当支持中药材专业市场建设，发展中药材现代商贸服务，完善仓储物流、电子商务、期货交易等配套建设；建立中药生产企业诚信评价体系和药材种植养殖、加工、流通、使用等全过程质量管理、质量追溯体系，规范中药材种植养殖种源及过程管理。</w:t>
      </w:r>
    </w:p>
    <w:p>
      <w:pPr>
        <w:adjustRightInd w:val="0"/>
        <w:snapToGrid w:val="0"/>
        <w:spacing w:line="590" w:lineRule="exact"/>
        <w:ind w:firstLine="636" w:firstLineChars="200"/>
        <w:rPr>
          <w:rFonts w:ascii="黑体" w:hAnsi="黑体" w:eastAsia="黑体" w:cs="仿宋"/>
          <w:bCs/>
          <w:color w:val="000000"/>
          <w:szCs w:val="32"/>
        </w:rPr>
      </w:pPr>
      <w:r>
        <w:rPr>
          <w:rFonts w:hint="eastAsia" w:ascii="黑体" w:hAnsi="黑体" w:eastAsia="黑体" w:cs="仿宋"/>
          <w:bCs/>
          <w:color w:val="000000"/>
          <w:szCs w:val="32"/>
        </w:rPr>
        <w:t>第三十三条　</w:t>
      </w:r>
      <w:r>
        <w:rPr>
          <w:rFonts w:hint="eastAsia" w:ascii="仿宋_GB2312" w:hAnsi="黑体" w:cs="黑体"/>
          <w:bCs/>
          <w:color w:val="000000"/>
          <w:szCs w:val="32"/>
        </w:rPr>
        <w:t>支</w:t>
      </w:r>
      <w:r>
        <w:rPr>
          <w:rFonts w:hint="eastAsia" w:ascii="仿宋_GB2312" w:hAnsi="仿宋" w:cs="仿宋"/>
          <w:bCs/>
          <w:color w:val="000000"/>
          <w:szCs w:val="32"/>
        </w:rPr>
        <w:t>持本省中药生产企业开发具有自主知识产权的中药新药，支持中药生产企业运用现代技术和工艺研究开发传统中成药，鼓励进行二次开发研究，提升产品质量和疗效。鼓励企业研发药食同源的产品。</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鼓励和支持医疗机构应用传统工艺配制中药制剂，研制符合国家规定条件的中药复方制剂和以中药制剂为基础的中药新药。</w:t>
      </w:r>
    </w:p>
    <w:p>
      <w:pPr>
        <w:adjustRightInd w:val="0"/>
        <w:snapToGrid w:val="0"/>
        <w:spacing w:line="590" w:lineRule="exact"/>
        <w:ind w:firstLine="636" w:firstLineChars="200"/>
        <w:rPr>
          <w:rFonts w:ascii="黑体" w:hAnsi="黑体" w:eastAsia="黑体" w:cs="仿宋"/>
          <w:bCs/>
          <w:color w:val="000000"/>
          <w:szCs w:val="32"/>
        </w:rPr>
      </w:pPr>
      <w:r>
        <w:rPr>
          <w:rFonts w:hint="eastAsia" w:ascii="黑体" w:hAnsi="黑体" w:eastAsia="黑体" w:cs="仿宋"/>
          <w:bCs/>
          <w:color w:val="000000"/>
          <w:szCs w:val="32"/>
        </w:rPr>
        <w:t>第三十四条　</w:t>
      </w:r>
      <w:r>
        <w:rPr>
          <w:rFonts w:hint="eastAsia" w:ascii="仿宋_GB2312" w:hAnsi="仿宋" w:cs="仿宋"/>
          <w:bCs/>
          <w:szCs w:val="32"/>
        </w:rPr>
        <w:t>医疗机构配制中药制剂，应当</w:t>
      </w:r>
      <w:r>
        <w:rPr>
          <w:rFonts w:hint="eastAsia" w:ascii="仿宋_GB2312" w:hAnsi="仿宋" w:cs="仿宋"/>
          <w:bCs/>
          <w:color w:val="000000"/>
          <w:szCs w:val="32"/>
        </w:rPr>
        <w:t>依法取得医疗机构制剂许可证，或者委托取得药品生产许可证的药品生</w:t>
      </w:r>
      <w:r>
        <w:rPr>
          <w:rFonts w:hint="eastAsia" w:ascii="仿宋_GB2312" w:hAnsi="仿宋" w:cs="仿宋"/>
          <w:bCs/>
          <w:szCs w:val="32"/>
        </w:rPr>
        <w:t>产企业、取得医疗机构制剂许可证的其他医疗机构配制中药制剂。省内医疗机构委托配制中</w:t>
      </w:r>
      <w:r>
        <w:rPr>
          <w:rFonts w:hint="eastAsia" w:ascii="仿宋_GB2312" w:hAnsi="仿宋" w:cs="仿宋"/>
          <w:bCs/>
          <w:color w:val="000000"/>
          <w:szCs w:val="32"/>
        </w:rPr>
        <w:t>药制剂，应当向省药品监督管理部门备案。</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医疗机构配制的中药制剂品种，应当依法取得制剂批准文号。仅应用传统工艺配制的中药制剂品种，向省药品监督管理部门备案后即可配制，不需要取得制剂批准文号。</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黑体" w:cs="黑体"/>
          <w:bCs/>
          <w:color w:val="000000"/>
          <w:szCs w:val="32"/>
        </w:rPr>
        <w:t>医疗</w:t>
      </w:r>
      <w:r>
        <w:rPr>
          <w:rFonts w:hint="eastAsia" w:ascii="仿宋_GB2312" w:hAnsi="仿宋" w:cs="仿宋"/>
          <w:bCs/>
          <w:color w:val="000000"/>
          <w:szCs w:val="32"/>
        </w:rPr>
        <w:t>机构配制的中药制剂经省药品监督管理部门批准，可以在指定或者协议的医疗机构之间调剂使用。</w:t>
      </w:r>
    </w:p>
    <w:p>
      <w:pPr>
        <w:adjustRightInd w:val="0"/>
        <w:snapToGrid w:val="0"/>
        <w:spacing w:line="590" w:lineRule="exact"/>
        <w:ind w:firstLine="636" w:firstLineChars="200"/>
        <w:rPr>
          <w:rFonts w:ascii="仿宋_GB2312" w:hAnsi="黑体" w:cs="黑体"/>
          <w:bCs/>
          <w:color w:val="000000"/>
          <w:szCs w:val="32"/>
        </w:rPr>
      </w:pPr>
      <w:r>
        <w:rPr>
          <w:rFonts w:hint="eastAsia" w:ascii="仿宋_GB2312" w:hAnsi="仿宋" w:cs="仿宋"/>
          <w:bCs/>
          <w:color w:val="000000"/>
          <w:szCs w:val="32"/>
        </w:rPr>
        <w:t>医疗机构应当加</w:t>
      </w:r>
      <w:r>
        <w:rPr>
          <w:rFonts w:hint="eastAsia" w:ascii="仿宋_GB2312" w:hAnsi="黑体" w:cs="黑体"/>
          <w:bCs/>
          <w:color w:val="000000"/>
          <w:szCs w:val="32"/>
        </w:rPr>
        <w:t>强对备案的中药制剂品种的不良反应监测，并按照国家有关规定进行报告。药品监督管理部门应当加强对备案的中药制剂品种配制、使用的监督检查。</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第三十五条　</w:t>
      </w:r>
      <w:r>
        <w:rPr>
          <w:rFonts w:hint="eastAsia" w:ascii="仿宋_GB2312" w:hAnsi="黑体" w:cs="黑体"/>
          <w:bCs/>
          <w:color w:val="000000"/>
          <w:szCs w:val="32"/>
        </w:rPr>
        <w:t>以下</w:t>
      </w:r>
      <w:r>
        <w:rPr>
          <w:rFonts w:hint="eastAsia" w:ascii="仿宋_GB2312" w:hAnsi="仿宋" w:cs="仿宋"/>
          <w:bCs/>
          <w:color w:val="000000"/>
          <w:szCs w:val="32"/>
        </w:rPr>
        <w:t>情形不作为医疗机构中药制剂管理：</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（一）中药加工成细粉，临用时由医疗机构医务人员加水、酒、醋、蜜、麻油等中药传统基质调配使用；</w:t>
      </w:r>
    </w:p>
    <w:p>
      <w:pPr>
        <w:adjustRightInd w:val="0"/>
        <w:snapToGrid w:val="0"/>
        <w:spacing w:line="590" w:lineRule="exact"/>
        <w:ind w:firstLine="636" w:firstLineChars="200"/>
        <w:rPr>
          <w:rFonts w:ascii="仿宋_GB2312" w:hAnsi="黑体" w:cs="黑体"/>
          <w:bCs/>
          <w:color w:val="000000"/>
          <w:szCs w:val="32"/>
        </w:rPr>
      </w:pPr>
      <w:r>
        <w:rPr>
          <w:rFonts w:hint="eastAsia" w:ascii="仿宋_GB2312" w:hAnsi="黑体" w:cs="黑体"/>
          <w:bCs/>
          <w:color w:val="000000"/>
          <w:szCs w:val="32"/>
        </w:rPr>
        <w:t>（二）鲜药榨汁；</w:t>
      </w:r>
    </w:p>
    <w:p>
      <w:pPr>
        <w:adjustRightInd w:val="0"/>
        <w:snapToGrid w:val="0"/>
        <w:spacing w:line="590" w:lineRule="exact"/>
        <w:ind w:firstLine="636" w:firstLineChars="200"/>
        <w:rPr>
          <w:rFonts w:hint="eastAsia" w:ascii="仿宋_GB2312" w:hAnsi="仿宋" w:eastAsia="仿宋_GB2312" w:cs="仿宋"/>
          <w:bCs/>
          <w:color w:val="000000"/>
          <w:szCs w:val="32"/>
          <w:lang w:eastAsia="zh-CN"/>
        </w:rPr>
      </w:pPr>
      <w:r>
        <w:rPr>
          <w:rFonts w:hint="eastAsia" w:ascii="仿宋_GB2312" w:hAnsi="黑体" w:cs="黑体"/>
          <w:bCs/>
          <w:color w:val="000000"/>
          <w:szCs w:val="32"/>
        </w:rPr>
        <w:t>（三）受患者委托，按照医师为该患者开具的处方应用中药传统</w:t>
      </w:r>
      <w:r>
        <w:rPr>
          <w:rFonts w:hint="eastAsia" w:ascii="仿宋_GB2312" w:hAnsi="仿宋" w:cs="仿宋"/>
          <w:bCs/>
          <w:color w:val="000000"/>
          <w:szCs w:val="32"/>
        </w:rPr>
        <w:t>工艺加工而成的制品</w:t>
      </w:r>
      <w:r>
        <w:rPr>
          <w:rFonts w:hint="eastAsia" w:ascii="仿宋_GB2312" w:hAnsi="仿宋" w:cs="仿宋"/>
          <w:bCs/>
          <w:color w:val="000000"/>
          <w:szCs w:val="32"/>
          <w:lang w:val="en-US" w:eastAsia="zh-CN"/>
        </w:rPr>
        <w:t>;</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（四）法律法规规定的其他情形。</w:t>
      </w:r>
    </w:p>
    <w:p>
      <w:pPr>
        <w:adjustRightInd w:val="0"/>
        <w:snapToGrid w:val="0"/>
        <w:spacing w:before="302" w:beforeLines="50" w:after="302" w:afterLines="50" w:line="590" w:lineRule="exact"/>
        <w:jc w:val="center"/>
        <w:rPr>
          <w:rFonts w:ascii="黑体" w:hAnsi="黑体" w:eastAsia="黑体" w:cs="仿宋"/>
          <w:bCs/>
          <w:color w:val="000000"/>
          <w:szCs w:val="32"/>
        </w:rPr>
      </w:pPr>
      <w:r>
        <w:rPr>
          <w:rFonts w:hint="eastAsia" w:ascii="黑体" w:hAnsi="黑体" w:eastAsia="黑体" w:cs="仿宋"/>
          <w:bCs/>
          <w:color w:val="000000"/>
          <w:szCs w:val="32"/>
        </w:rPr>
        <w:t>第四章　中医药教育与科研</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第三十六条　</w:t>
      </w:r>
      <w:r>
        <w:rPr>
          <w:rFonts w:hint="eastAsia" w:ascii="仿宋_GB2312" w:hAnsi="仿宋" w:cs="仿宋"/>
          <w:bCs/>
          <w:color w:val="000000"/>
          <w:szCs w:val="32"/>
        </w:rPr>
        <w:t>省人民政府应当根据</w:t>
      </w:r>
      <w:r>
        <w:rPr>
          <w:rFonts w:hint="eastAsia" w:ascii="仿宋_GB2312" w:hAnsi="黑体" w:cs="黑体"/>
          <w:bCs/>
          <w:color w:val="000000"/>
          <w:szCs w:val="32"/>
        </w:rPr>
        <w:t>中医药</w:t>
      </w:r>
      <w:r>
        <w:rPr>
          <w:rFonts w:hint="eastAsia" w:ascii="仿宋_GB2312" w:hAnsi="仿宋" w:cs="仿宋"/>
          <w:bCs/>
          <w:color w:val="000000"/>
          <w:szCs w:val="32"/>
        </w:rPr>
        <w:t>事业发展的需要，建立健全中医药教育体系，推进</w:t>
      </w:r>
      <w:r>
        <w:rPr>
          <w:rFonts w:hint="eastAsia" w:ascii="仿宋_GB2312" w:hAnsi="黑体" w:cs="黑体"/>
          <w:bCs/>
          <w:color w:val="000000"/>
          <w:szCs w:val="32"/>
        </w:rPr>
        <w:t>中医药院校教育、继续教育、师承教育协同发展。</w:t>
      </w:r>
    </w:p>
    <w:p>
      <w:pPr>
        <w:adjustRightInd w:val="0"/>
        <w:snapToGrid w:val="0"/>
        <w:spacing w:line="590" w:lineRule="exact"/>
        <w:ind w:firstLine="636" w:firstLineChars="200"/>
        <w:rPr>
          <w:rFonts w:ascii="仿宋_GB2312" w:hAnsi="黑体" w:cs="黑体"/>
          <w:bCs/>
          <w:color w:val="000000"/>
          <w:szCs w:val="32"/>
        </w:rPr>
      </w:pPr>
      <w:r>
        <w:rPr>
          <w:rFonts w:hint="eastAsia" w:ascii="黑体" w:hAnsi="黑体" w:eastAsia="黑体" w:cs="仿宋"/>
          <w:bCs/>
          <w:color w:val="000000"/>
          <w:szCs w:val="32"/>
        </w:rPr>
        <w:t>第三十七条　</w:t>
      </w:r>
      <w:r>
        <w:rPr>
          <w:rFonts w:hint="eastAsia" w:ascii="仿宋_GB2312" w:hAnsi="仿宋" w:cs="仿宋"/>
          <w:bCs/>
          <w:color w:val="000000"/>
          <w:szCs w:val="32"/>
        </w:rPr>
        <w:t>省人民政府应当发展中</w:t>
      </w:r>
      <w:r>
        <w:rPr>
          <w:rFonts w:hint="eastAsia" w:ascii="仿宋_GB2312" w:hAnsi="黑体" w:cs="黑体"/>
          <w:bCs/>
          <w:color w:val="000000"/>
          <w:szCs w:val="32"/>
        </w:rPr>
        <w:t>医药高等教育和职业技术教育</w:t>
      </w:r>
      <w:r>
        <w:rPr>
          <w:rFonts w:hint="eastAsia" w:ascii="仿宋_GB2312" w:hAnsi="仿宋" w:cs="仿宋"/>
          <w:bCs/>
          <w:color w:val="000000"/>
          <w:szCs w:val="32"/>
        </w:rPr>
        <w:t>，支持有条件的职业技术院校开办中医医疗、中药种植、中药生产加工等专</w:t>
      </w:r>
      <w:r>
        <w:rPr>
          <w:rFonts w:hint="eastAsia" w:ascii="仿宋_GB2312" w:hAnsi="黑体" w:cs="黑体"/>
          <w:bCs/>
          <w:color w:val="000000"/>
          <w:szCs w:val="32"/>
        </w:rPr>
        <w:t>业。</w:t>
      </w:r>
    </w:p>
    <w:p>
      <w:pPr>
        <w:adjustRightInd w:val="0"/>
        <w:snapToGrid w:val="0"/>
        <w:spacing w:line="590" w:lineRule="exact"/>
        <w:ind w:firstLine="636" w:firstLineChars="200"/>
        <w:rPr>
          <w:rFonts w:ascii="黑体" w:hAnsi="黑体" w:eastAsia="黑体" w:cs="仿宋"/>
          <w:bCs/>
          <w:color w:val="000000"/>
          <w:szCs w:val="32"/>
        </w:rPr>
      </w:pPr>
      <w:r>
        <w:rPr>
          <w:rFonts w:hint="eastAsia" w:ascii="黑体" w:hAnsi="黑体" w:eastAsia="黑体" w:cs="仿宋"/>
          <w:bCs/>
          <w:color w:val="000000"/>
          <w:szCs w:val="32"/>
        </w:rPr>
        <w:t>第三十八条</w:t>
      </w:r>
      <w:r>
        <w:rPr>
          <w:rFonts w:hint="eastAsia" w:ascii="仿宋_GB2312" w:hAnsi="仿宋" w:cs="仿宋"/>
          <w:bCs/>
          <w:color w:val="000000"/>
          <w:szCs w:val="32"/>
        </w:rPr>
        <w:t>　县级以上人民政府应当制定中医药人才政策，鼓励高等、中等中医药院（校）毕业生到县级以下医疗机构从事中医药工作，在岗位设置、工资待遇、职称晋升、进修培养等方面给予优待、优先。</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第三十九条　</w:t>
      </w:r>
      <w:r>
        <w:rPr>
          <w:rFonts w:hint="eastAsia" w:ascii="仿宋_GB2312" w:hAnsi="仿宋" w:cs="仿宋"/>
          <w:bCs/>
          <w:color w:val="000000"/>
          <w:szCs w:val="32"/>
        </w:rPr>
        <w:t>县级以上</w:t>
      </w:r>
      <w:r>
        <w:rPr>
          <w:rFonts w:hint="eastAsia" w:ascii="仿宋_GB2312" w:hAnsi="仿宋" w:cs="仿宋"/>
          <w:bCs/>
          <w:szCs w:val="32"/>
        </w:rPr>
        <w:t>中医药主管部门</w:t>
      </w:r>
      <w:r>
        <w:rPr>
          <w:rFonts w:hint="eastAsia" w:ascii="仿宋_GB2312" w:hAnsi="仿宋" w:cs="仿宋"/>
          <w:bCs/>
          <w:color w:val="000000"/>
          <w:szCs w:val="32"/>
        </w:rPr>
        <w:t>应当制定</w:t>
      </w:r>
      <w:r>
        <w:rPr>
          <w:rFonts w:hint="eastAsia" w:ascii="仿宋_GB2312" w:hAnsi="黑体" w:cs="黑体"/>
          <w:bCs/>
          <w:color w:val="000000"/>
          <w:szCs w:val="32"/>
        </w:rPr>
        <w:t>中医药</w:t>
      </w:r>
      <w:r>
        <w:rPr>
          <w:rFonts w:hint="eastAsia" w:ascii="仿宋_GB2312" w:hAnsi="仿宋" w:cs="仿宋"/>
          <w:bCs/>
          <w:color w:val="000000"/>
          <w:szCs w:val="32"/>
        </w:rPr>
        <w:t>专业技术人员继续教育规划，加强中医药专业技术人员教育培训，全科医生、乡村医生的继续教育应当有</w:t>
      </w:r>
      <w:r>
        <w:rPr>
          <w:rFonts w:hint="eastAsia" w:ascii="仿宋_GB2312" w:hAnsi="黑体" w:cs="黑体"/>
          <w:bCs/>
          <w:color w:val="000000"/>
          <w:szCs w:val="32"/>
        </w:rPr>
        <w:t>中医药</w:t>
      </w:r>
      <w:r>
        <w:rPr>
          <w:rFonts w:hint="eastAsia" w:ascii="仿宋_GB2312" w:hAnsi="仿宋" w:cs="仿宋"/>
          <w:bCs/>
          <w:color w:val="000000"/>
          <w:szCs w:val="32"/>
        </w:rPr>
        <w:t>教学内容；中医药机构应当加强中医药学科带头人和中青年专业技术骨干培养。</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第四十条　</w:t>
      </w:r>
      <w:r>
        <w:rPr>
          <w:rFonts w:hint="eastAsia" w:ascii="仿宋_GB2312" w:hAnsi="仿宋" w:cs="仿宋"/>
          <w:bCs/>
          <w:color w:val="000000"/>
          <w:szCs w:val="32"/>
        </w:rPr>
        <w:t>县级以上人民政府应当将师承教育融入院校教育、毕业后教育和继续教育，鼓励各级各类医疗机构开展师承教育，建立覆盖省、市、县、乡、村的中医药师承教育培养体系，实现师承教育常态化和制度化。</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省中医药主管部门应当充分发挥国医大师、名老中医和中医药专家、高年资中医医师的作用，鼓励带徒授业，开展中医药特色技术传承人才培养，保证师承教育培养质量。</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第四十一条　</w:t>
      </w:r>
      <w:r>
        <w:rPr>
          <w:rFonts w:hint="eastAsia" w:ascii="仿宋_GB2312" w:hAnsi="仿宋" w:cs="仿宋"/>
          <w:bCs/>
          <w:color w:val="000000"/>
          <w:szCs w:val="32"/>
        </w:rPr>
        <w:t>省人民政府应当发展中西医结合教育，培养高层次的中西医结合人才。</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鼓励西医药从业人员学习和运用中医药理论、中医诊疗技术，倡导中、西医药从业人员共同研究中西医结合理论和诊疗技术，促进中医药事业的发展。</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第四十二条　</w:t>
      </w:r>
      <w:r>
        <w:rPr>
          <w:rFonts w:hint="eastAsia" w:ascii="仿宋_GB2312" w:hAnsi="仿宋" w:cs="仿宋"/>
          <w:bCs/>
          <w:color w:val="000000"/>
          <w:szCs w:val="32"/>
        </w:rPr>
        <w:t>省人民政府应当将中医药科学研究和技术开发纳入科技发展规划，建立和完善中医药科研体系，加强中医药科研机构、临床研究基地和重点研究室、重点实验室、重点学科建设，支持开展中医药理论、中医临床研究和技术创新，组织重大中医药科研课题研究。建立健全符合中医药特点的科学研究组织、验收和评价体系。</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第四十三条</w:t>
      </w:r>
      <w:r>
        <w:rPr>
          <w:rFonts w:hint="eastAsia" w:ascii="仿宋_GB2312" w:hAnsi="仿宋" w:cs="仿宋"/>
          <w:bCs/>
          <w:color w:val="000000"/>
          <w:szCs w:val="32"/>
        </w:rPr>
        <w:t>　省人民政府应当推动中医药科研创新发展，支持科研院所、高等院校、医疗机构和企业等协同创新，完善中医药产学研一体化创新模式，促进中医药科技成果的转化和推广。</w:t>
      </w:r>
    </w:p>
    <w:p>
      <w:pPr>
        <w:adjustRightInd w:val="0"/>
        <w:snapToGrid w:val="0"/>
        <w:spacing w:line="590" w:lineRule="exact"/>
        <w:ind w:firstLine="636" w:firstLineChars="200"/>
        <w:rPr>
          <w:rFonts w:ascii="仿宋" w:hAnsi="仿宋" w:eastAsia="仿宋" w:cs="仿宋"/>
          <w:bCs/>
          <w:szCs w:val="32"/>
        </w:rPr>
      </w:pPr>
      <w:r>
        <w:rPr>
          <w:rFonts w:hint="eastAsia" w:ascii="黑体" w:hAnsi="黑体" w:eastAsia="黑体" w:cs="仿宋"/>
          <w:bCs/>
          <w:color w:val="000000"/>
          <w:szCs w:val="32"/>
        </w:rPr>
        <w:t>第四十四条　</w:t>
      </w:r>
      <w:r>
        <w:rPr>
          <w:rFonts w:hint="eastAsia" w:ascii="仿宋_GB2312" w:hAnsi="仿宋" w:cs="仿宋"/>
          <w:bCs/>
          <w:szCs w:val="32"/>
        </w:rPr>
        <w:t>省中医药主管部门应当组织</w:t>
      </w:r>
      <w:r>
        <w:rPr>
          <w:rFonts w:hint="eastAsia" w:ascii="仿宋_GB2312" w:hAnsi="仿宋" w:cs="仿宋"/>
          <w:bCs/>
          <w:color w:val="000000"/>
          <w:szCs w:val="32"/>
        </w:rPr>
        <w:t>高等院校、科研院所、医疗机构和医药</w:t>
      </w:r>
      <w:r>
        <w:rPr>
          <w:rFonts w:hint="eastAsia" w:ascii="仿宋_GB2312" w:hAnsi="黑体" w:cs="黑体"/>
          <w:bCs/>
          <w:color w:val="000000"/>
          <w:szCs w:val="32"/>
        </w:rPr>
        <w:t>企业，</w:t>
      </w:r>
      <w:r>
        <w:rPr>
          <w:rFonts w:hint="eastAsia" w:ascii="仿宋_GB2312" w:hAnsi="仿宋" w:cs="仿宋"/>
          <w:bCs/>
          <w:szCs w:val="32"/>
        </w:rPr>
        <w:t>针对常见病、多发病、慢性病、地方病和重大疑难疾病、重大传染病开展中医药防治研究，形成和推广疗效显著的防治方案、技术成果。</w:t>
      </w:r>
    </w:p>
    <w:p>
      <w:pPr>
        <w:adjustRightInd w:val="0"/>
        <w:snapToGrid w:val="0"/>
        <w:spacing w:before="302" w:beforeLines="50" w:after="302" w:afterLines="50" w:line="590" w:lineRule="exact"/>
        <w:jc w:val="center"/>
        <w:rPr>
          <w:rFonts w:ascii="黑体" w:hAnsi="黑体" w:eastAsia="黑体" w:cs="仿宋"/>
          <w:bCs/>
          <w:color w:val="000000"/>
          <w:szCs w:val="32"/>
        </w:rPr>
      </w:pPr>
      <w:r>
        <w:rPr>
          <w:rFonts w:hint="eastAsia" w:ascii="黑体" w:hAnsi="黑体" w:eastAsia="黑体" w:cs="仿宋"/>
          <w:bCs/>
          <w:color w:val="000000"/>
          <w:szCs w:val="32"/>
        </w:rPr>
        <w:t>第五章　中医药传承与文化传播</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第四十五条　</w:t>
      </w:r>
      <w:r>
        <w:rPr>
          <w:rFonts w:hint="eastAsia" w:ascii="仿宋_GB2312" w:hAnsi="仿宋" w:cs="仿宋"/>
          <w:bCs/>
          <w:szCs w:val="32"/>
        </w:rPr>
        <w:t>省中医药主管</w:t>
      </w:r>
      <w:r>
        <w:rPr>
          <w:rFonts w:hint="eastAsia" w:ascii="仿宋_GB2312" w:hAnsi="仿宋" w:cs="仿宋"/>
          <w:bCs/>
          <w:color w:val="000000"/>
          <w:szCs w:val="32"/>
        </w:rPr>
        <w:t>部门应当组织遴选本省的中医药学术传承项目和传承人，并为传承活动提</w:t>
      </w:r>
      <w:r>
        <w:rPr>
          <w:rFonts w:hint="eastAsia" w:ascii="仿宋_GB2312" w:hAnsi="仿宋" w:cs="仿宋"/>
          <w:bCs/>
          <w:szCs w:val="32"/>
        </w:rPr>
        <w:t>供必要的条件。传承人应当开展传承活动，培养后继人才，收集整理并妥善保存相关学术资料。属于非物质文化遗产代表性项目的，依照国家和本省有关规定开</w:t>
      </w:r>
      <w:r>
        <w:rPr>
          <w:rFonts w:hint="eastAsia" w:ascii="仿宋_GB2312" w:hAnsi="仿宋" w:cs="仿宋"/>
          <w:bCs/>
          <w:color w:val="000000"/>
          <w:szCs w:val="32"/>
        </w:rPr>
        <w:t>展传承活动。</w:t>
      </w:r>
    </w:p>
    <w:p>
      <w:pPr>
        <w:adjustRightInd w:val="0"/>
        <w:snapToGrid w:val="0"/>
        <w:spacing w:line="590" w:lineRule="exact"/>
        <w:ind w:firstLine="636" w:firstLineChars="200"/>
        <w:rPr>
          <w:rFonts w:ascii="仿宋_GB2312" w:hAnsi="仿宋" w:cs="仿宋"/>
          <w:bCs/>
          <w:szCs w:val="32"/>
        </w:rPr>
      </w:pPr>
      <w:r>
        <w:rPr>
          <w:rFonts w:hint="eastAsia" w:ascii="仿宋_GB2312" w:hAnsi="仿宋" w:cs="仿宋"/>
          <w:bCs/>
          <w:color w:val="000000"/>
          <w:szCs w:val="32"/>
        </w:rPr>
        <w:t>鼓励符合条件的中医药传承项目</w:t>
      </w:r>
      <w:r>
        <w:rPr>
          <w:rFonts w:hint="eastAsia" w:ascii="仿宋_GB2312" w:hAnsi="仿宋" w:cs="仿宋"/>
          <w:bCs/>
          <w:szCs w:val="32"/>
        </w:rPr>
        <w:t>和传承人申请非物质文化遗产代表性项目和代表性传承人。</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第四十六条　</w:t>
      </w:r>
      <w:r>
        <w:rPr>
          <w:rFonts w:hint="eastAsia" w:ascii="仿宋_GB2312" w:hAnsi="仿宋" w:cs="仿宋"/>
          <w:bCs/>
          <w:color w:val="000000"/>
          <w:szCs w:val="32"/>
        </w:rPr>
        <w:t>省中医药主管部门应当加强本省中医药古籍文献、著名中医药专家的学术思想和诊疗经验的整理、研究和利用，推进长安医学研究发展和学术传承。</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县级以上中医药主管部门应当组织发掘和整理本地中医药经典名方、民间验方、秘方和传统疗法，抢救濒临失传的珍稀、珍贵古籍文献，推进中医学术流派和名老中医专</w:t>
      </w:r>
      <w:r>
        <w:rPr>
          <w:rFonts w:hint="eastAsia" w:ascii="仿宋_GB2312" w:hAnsi="仿宋" w:cs="仿宋"/>
          <w:bCs/>
          <w:szCs w:val="32"/>
        </w:rPr>
        <w:t>家传承工作室建设，做好传统制药、鉴</w:t>
      </w:r>
      <w:r>
        <w:rPr>
          <w:rFonts w:hint="eastAsia" w:ascii="仿宋_GB2312" w:hAnsi="仿宋" w:cs="仿宋"/>
          <w:bCs/>
          <w:color w:val="000000"/>
          <w:szCs w:val="32"/>
        </w:rPr>
        <w:t>定、炮制技术及老药工经验的发掘整理利用。加强对中医药老字号的保护。</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第四十七条　</w:t>
      </w:r>
      <w:r>
        <w:rPr>
          <w:rFonts w:hint="eastAsia" w:ascii="仿宋_GB2312" w:hAnsi="仿宋" w:cs="仿宋"/>
          <w:bCs/>
          <w:color w:val="000000"/>
          <w:szCs w:val="32"/>
        </w:rPr>
        <w:t>省人民政府应当建立本省中医药传统知识保护数据库、保护名录和保护制度。开展中医药古籍文献资源普查，推动中医古籍数字化。</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第四十八条　</w:t>
      </w:r>
      <w:r>
        <w:rPr>
          <w:rFonts w:hint="eastAsia" w:ascii="仿宋_GB2312" w:hAnsi="仿宋" w:cs="仿宋"/>
          <w:bCs/>
          <w:color w:val="000000"/>
          <w:szCs w:val="32"/>
        </w:rPr>
        <w:t>县级以上人民政府及知识产权主管部门应当加强对中医药知识产权的保护和运用，健全知识产权和科技成果转化权益保障机制，为有关单位或者个人申请中医药专利、地理标志产品、中药新品种、注册商标等知识产权保护提供指导和帮助。</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属于中医药秘方、验方的专有技术和科研成果等以及中医药技术秘密的，可以依法转让，也可以作价出资，参与开发和分配。</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第四十九条　</w:t>
      </w:r>
      <w:r>
        <w:rPr>
          <w:rFonts w:hint="eastAsia" w:ascii="仿宋_GB2312" w:hAnsi="黑体" w:cs="黑体"/>
          <w:bCs/>
          <w:color w:val="000000"/>
          <w:szCs w:val="32"/>
        </w:rPr>
        <w:t>县</w:t>
      </w:r>
      <w:r>
        <w:rPr>
          <w:rFonts w:hint="eastAsia" w:ascii="仿宋_GB2312" w:hAnsi="仿宋" w:cs="仿宋"/>
          <w:bCs/>
          <w:color w:val="000000"/>
          <w:szCs w:val="32"/>
        </w:rPr>
        <w:t>级以上人民政府应当加强中医药文化、健康理念宣传，推动中医药进机关、学校、企业、社区、乡村和家庭，普及中医药知识，提高公民中医药健康文化素养。</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黑体" w:cs="黑体"/>
          <w:bCs/>
          <w:color w:val="000000"/>
          <w:szCs w:val="32"/>
        </w:rPr>
        <w:t>建立中医药文</w:t>
      </w:r>
      <w:r>
        <w:rPr>
          <w:rFonts w:hint="eastAsia" w:ascii="仿宋_GB2312" w:hAnsi="仿宋" w:cs="仿宋"/>
          <w:bCs/>
          <w:color w:val="000000"/>
          <w:szCs w:val="32"/>
        </w:rPr>
        <w:t>化宣传、知识普及专家队伍，鼓励社会组织和个人创作中医药文化和科普作品，宣传推广本省历代中医药名家的学术成果和事迹。</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第五十条　</w:t>
      </w:r>
      <w:r>
        <w:rPr>
          <w:rFonts w:hint="eastAsia" w:ascii="仿宋_GB2312" w:hAnsi="黑体" w:cs="黑体"/>
          <w:bCs/>
          <w:color w:val="000000"/>
          <w:szCs w:val="32"/>
        </w:rPr>
        <w:t>开展中医药文化宣传和知识普及活动，应当遵守国家和本省有关规定。</w:t>
      </w:r>
      <w:r>
        <w:rPr>
          <w:rFonts w:hint="eastAsia" w:ascii="仿宋_GB2312" w:hAnsi="仿宋" w:cs="仿宋"/>
          <w:bCs/>
          <w:color w:val="000000"/>
          <w:szCs w:val="32"/>
        </w:rPr>
        <w:t>任何组织或者个人不得对中医药作虚假、夸大宣传，不得冒用中医药名义牟取不正当利益。</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广播、电视、报刊、互联网等媒体不得以开展中医药知识宣传为由，变相发布中医医疗广告、中药药品广告。</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第五十一条　</w:t>
      </w:r>
      <w:r>
        <w:rPr>
          <w:rFonts w:hint="eastAsia" w:ascii="仿宋_GB2312" w:hAnsi="黑体" w:cs="黑体"/>
          <w:bCs/>
          <w:color w:val="000000"/>
          <w:szCs w:val="32"/>
        </w:rPr>
        <w:t>支持本省中医药</w:t>
      </w:r>
      <w:r>
        <w:rPr>
          <w:rFonts w:hint="eastAsia" w:ascii="仿宋_GB2312" w:hAnsi="仿宋" w:cs="仿宋"/>
          <w:bCs/>
          <w:color w:val="000000"/>
          <w:szCs w:val="32"/>
        </w:rPr>
        <w:t>机构、院校与“一带一路”沿线国家和其他地区国家相关机构开展中医药合作交流，发展中医药服务贸易。</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鼓励本省援外医疗项目与中医药健康服务相结合，宣传中医药文化，推广中医药适宜技术，推介中医药产品。</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推动中医药文化国际传播，加大本省中医药在各类国际博览会、会展和论坛的宣传力度。</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在中医药对外交流与合作中应当采取必要措施，保护中医药资源和技术秘密。</w:t>
      </w:r>
    </w:p>
    <w:p>
      <w:pPr>
        <w:adjustRightInd w:val="0"/>
        <w:snapToGrid w:val="0"/>
        <w:spacing w:before="302" w:beforeLines="50" w:after="302" w:afterLines="50" w:line="590" w:lineRule="exact"/>
        <w:jc w:val="center"/>
        <w:rPr>
          <w:rFonts w:ascii="黑体" w:hAnsi="黑体" w:eastAsia="黑体" w:cs="仿宋"/>
          <w:bCs/>
          <w:color w:val="000000"/>
          <w:szCs w:val="32"/>
        </w:rPr>
      </w:pPr>
      <w:r>
        <w:rPr>
          <w:rFonts w:hint="eastAsia" w:ascii="黑体" w:hAnsi="黑体" w:eastAsia="黑体" w:cs="仿宋"/>
          <w:bCs/>
          <w:color w:val="000000"/>
          <w:szCs w:val="32"/>
        </w:rPr>
        <w:t>第六章　保障措施</w:t>
      </w:r>
    </w:p>
    <w:p>
      <w:pPr>
        <w:adjustRightInd w:val="0"/>
        <w:snapToGrid w:val="0"/>
        <w:spacing w:line="590" w:lineRule="exact"/>
        <w:ind w:firstLine="636" w:firstLineChars="200"/>
        <w:rPr>
          <w:rFonts w:ascii="仿宋_GB2312" w:hAnsi="黑体" w:cs="黑体"/>
          <w:bCs/>
          <w:color w:val="000000"/>
          <w:szCs w:val="32"/>
        </w:rPr>
      </w:pPr>
      <w:r>
        <w:rPr>
          <w:rFonts w:hint="eastAsia" w:ascii="黑体" w:hAnsi="黑体" w:eastAsia="黑体" w:cs="仿宋"/>
          <w:bCs/>
          <w:color w:val="000000"/>
          <w:szCs w:val="32"/>
        </w:rPr>
        <w:t>第五十二条　</w:t>
      </w:r>
      <w:r>
        <w:rPr>
          <w:rFonts w:hint="eastAsia" w:ascii="仿宋_GB2312" w:hAnsi="黑体" w:cs="黑体"/>
          <w:bCs/>
          <w:color w:val="000000"/>
          <w:szCs w:val="32"/>
        </w:rPr>
        <w:t>县</w:t>
      </w:r>
      <w:r>
        <w:rPr>
          <w:rFonts w:hint="eastAsia" w:ascii="仿宋_GB2312" w:hAnsi="仿宋" w:cs="仿宋"/>
          <w:bCs/>
          <w:color w:val="000000"/>
          <w:szCs w:val="32"/>
        </w:rPr>
        <w:t>级以上人民政府应当建立中医药工作协调机制，研究解决中医药发展中的重大问题，督促相关部门履行中医药管理职责，保障中医药事业健康</w:t>
      </w:r>
      <w:r>
        <w:rPr>
          <w:rFonts w:hint="eastAsia" w:ascii="仿宋_GB2312" w:hAnsi="黑体" w:cs="黑体"/>
          <w:bCs/>
          <w:color w:val="000000"/>
          <w:szCs w:val="32"/>
        </w:rPr>
        <w:t>发展。</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第五十三条　</w:t>
      </w:r>
      <w:r>
        <w:rPr>
          <w:rFonts w:hint="eastAsia" w:ascii="仿宋_GB2312" w:hAnsi="仿宋" w:cs="仿宋"/>
          <w:bCs/>
          <w:color w:val="000000"/>
          <w:szCs w:val="32"/>
        </w:rPr>
        <w:t>县级以上人民政府应当为中医药事业发展提供政策支持和条件保障，将中医药事业发展经费纳入本级财政预算，在卫生健康投入中统筹安排中医药发展资金。</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任何单位和个人不得截留、挪用中医药事业经费和中医药发展资金。</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第五十四条　</w:t>
      </w:r>
      <w:r>
        <w:rPr>
          <w:rFonts w:hint="eastAsia" w:ascii="仿宋_GB2312" w:hAnsi="仿宋" w:cs="仿宋"/>
          <w:bCs/>
          <w:color w:val="000000"/>
          <w:szCs w:val="32"/>
        </w:rPr>
        <w:t>省、设区的市医疗保障主管部门应当按照法定价格管理权限，合理确定中医医疗服务的收费项目和标准，体现中医医疗服务成本和专业技术价值，并实行动态调整。</w:t>
      </w:r>
    </w:p>
    <w:p>
      <w:pPr>
        <w:adjustRightInd w:val="0"/>
        <w:snapToGrid w:val="0"/>
        <w:spacing w:line="590" w:lineRule="exact"/>
        <w:ind w:firstLine="636" w:firstLineChars="200"/>
        <w:rPr>
          <w:rFonts w:ascii="仿宋_GB2312" w:hAnsi="黑体" w:cs="黑体"/>
          <w:bCs/>
          <w:color w:val="000000"/>
          <w:szCs w:val="32"/>
        </w:rPr>
      </w:pPr>
      <w:r>
        <w:rPr>
          <w:rFonts w:hint="eastAsia" w:ascii="仿宋_GB2312" w:hAnsi="黑体" w:cs="黑体"/>
          <w:bCs/>
          <w:color w:val="000000"/>
          <w:szCs w:val="32"/>
        </w:rPr>
        <w:t>在确定中医医疗服务收费项目和标准时，应当征求中医药专家的意见。</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第五十五条　</w:t>
      </w:r>
      <w:r>
        <w:rPr>
          <w:rFonts w:hint="eastAsia" w:ascii="仿宋_GB2312" w:hAnsi="仿宋" w:cs="仿宋"/>
          <w:bCs/>
          <w:color w:val="000000"/>
          <w:szCs w:val="32"/>
        </w:rPr>
        <w:t>省、设区的市医疗保障主管部门制定基本医疗保险支付政策、药物政策等医药卫生政策，应当有中医药主管部门参加，注重发挥中医药的优势，支持提供和利用中医药服务。</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第五十六条　</w:t>
      </w:r>
      <w:r>
        <w:rPr>
          <w:rFonts w:hint="eastAsia" w:ascii="仿宋_GB2312" w:hAnsi="仿宋" w:cs="仿宋"/>
          <w:bCs/>
          <w:color w:val="000000"/>
          <w:szCs w:val="32"/>
        </w:rPr>
        <w:t>省、设区的市医疗保障主管部门应当将具备条件的中医医疗机构纳入基本医疗保险定点医疗机构范围，将符合条件的中医诊疗项目、中药饮片、中成药和医疗机构中药制剂纳入基本医疗保险基金支付范围。</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第五十七条　</w:t>
      </w:r>
      <w:r>
        <w:rPr>
          <w:rFonts w:hint="eastAsia" w:ascii="仿宋_GB2312" w:hAnsi="仿宋" w:cs="仿宋"/>
          <w:bCs/>
          <w:color w:val="000000"/>
          <w:szCs w:val="32"/>
        </w:rPr>
        <w:t>依法开展下列与中医药有关的评审、评估、鉴定活动，应当成立中医药评审、评估、鉴定的专门组织，或者以中医药专家为主组织开展：</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（一）中医药科研课题的立项、评审、验收、成果鉴定和评奖；</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（二）中医药专业技术职务任职资格的评审；</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（三）中医医疗技术责任的鉴定；</w:t>
      </w:r>
    </w:p>
    <w:p>
      <w:pPr>
        <w:adjustRightInd w:val="0"/>
        <w:snapToGrid w:val="0"/>
        <w:spacing w:line="590" w:lineRule="exact"/>
        <w:ind w:firstLine="636" w:firstLineChars="200"/>
        <w:rPr>
          <w:rFonts w:ascii="仿宋_GB2312" w:hAnsi="黑体" w:cs="黑体"/>
          <w:bCs/>
          <w:color w:val="000000"/>
          <w:szCs w:val="32"/>
        </w:rPr>
      </w:pPr>
      <w:r>
        <w:rPr>
          <w:rFonts w:hint="eastAsia" w:ascii="仿宋_GB2312" w:hAnsi="仿宋" w:cs="仿宋"/>
          <w:bCs/>
          <w:color w:val="000000"/>
          <w:szCs w:val="32"/>
        </w:rPr>
        <w:t>（四）中医药医疗、教学、科研机构的评审、评估</w:t>
      </w:r>
      <w:r>
        <w:rPr>
          <w:rFonts w:hint="eastAsia" w:ascii="仿宋_GB2312" w:hAnsi="黑体" w:cs="黑体"/>
          <w:bCs/>
          <w:color w:val="000000"/>
          <w:szCs w:val="32"/>
        </w:rPr>
        <w:t>；</w:t>
      </w:r>
    </w:p>
    <w:p>
      <w:pPr>
        <w:adjustRightInd w:val="0"/>
        <w:snapToGrid w:val="0"/>
        <w:spacing w:line="590" w:lineRule="exact"/>
        <w:ind w:firstLine="636" w:firstLineChars="200"/>
        <w:rPr>
          <w:rFonts w:ascii="仿宋_GB2312" w:hAnsi="黑体" w:cs="黑体"/>
          <w:bCs/>
          <w:color w:val="000000"/>
          <w:szCs w:val="32"/>
        </w:rPr>
      </w:pPr>
      <w:r>
        <w:rPr>
          <w:rFonts w:hint="eastAsia" w:ascii="仿宋_GB2312" w:hAnsi="黑体" w:cs="黑体"/>
          <w:bCs/>
          <w:color w:val="000000"/>
          <w:szCs w:val="32"/>
        </w:rPr>
        <w:t>（五）其他与中医药相关项目的评审、评估、鉴定。</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第五十八条</w:t>
      </w:r>
      <w:r>
        <w:rPr>
          <w:rFonts w:hint="eastAsia" w:ascii="楷体" w:hAnsi="楷体" w:eastAsia="楷体" w:cs="楷体"/>
          <w:bCs/>
          <w:color w:val="000000"/>
          <w:szCs w:val="32"/>
        </w:rPr>
        <w:t>　</w:t>
      </w:r>
      <w:r>
        <w:rPr>
          <w:rFonts w:hint="eastAsia" w:ascii="仿宋_GB2312" w:hAnsi="仿宋" w:cs="仿宋"/>
          <w:bCs/>
          <w:color w:val="000000"/>
          <w:szCs w:val="32"/>
        </w:rPr>
        <w:t>有下列情形之一的，由县级以上人民政府依据国家有关规定给予表彰奖励：</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（一）在中医药医疗、教育、科研、管理、交流以及促进中西医结合等方面成绩显著的；</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（二）捐献或者发掘、整理、保护有价值的中医药学术文献以及有特效的处方、诊疗技术的；</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（三）在非物质文化遗产代表性项目传承或者带徒授业方面成绩显著的；</w:t>
      </w:r>
    </w:p>
    <w:p>
      <w:pPr>
        <w:adjustRightInd w:val="0"/>
        <w:snapToGrid w:val="0"/>
        <w:spacing w:line="590" w:lineRule="exact"/>
        <w:ind w:firstLine="636" w:firstLineChars="200"/>
        <w:rPr>
          <w:rFonts w:ascii="仿宋_GB2312" w:hAnsi="仿宋" w:cs="仿宋"/>
          <w:bCs/>
          <w:color w:val="000000"/>
          <w:szCs w:val="32"/>
        </w:rPr>
      </w:pPr>
      <w:r>
        <w:rPr>
          <w:rFonts w:hint="eastAsia" w:ascii="仿宋_GB2312" w:hAnsi="仿宋" w:cs="仿宋"/>
          <w:bCs/>
          <w:color w:val="000000"/>
          <w:szCs w:val="32"/>
        </w:rPr>
        <w:t>（四）长期在基层医疗卫生机构从事中医药工作成绩显著的；</w:t>
      </w:r>
    </w:p>
    <w:p>
      <w:pPr>
        <w:adjustRightInd w:val="0"/>
        <w:snapToGrid w:val="0"/>
        <w:spacing w:line="590" w:lineRule="exact"/>
        <w:ind w:firstLine="636" w:firstLineChars="200"/>
        <w:rPr>
          <w:rFonts w:ascii="黑体" w:hAnsi="黑体" w:eastAsia="黑体" w:cs="黑体"/>
          <w:bCs/>
          <w:szCs w:val="32"/>
        </w:rPr>
      </w:pPr>
      <w:r>
        <w:rPr>
          <w:rFonts w:hint="eastAsia" w:ascii="仿宋_GB2312" w:hAnsi="仿宋" w:cs="仿宋"/>
          <w:bCs/>
          <w:color w:val="000000"/>
          <w:szCs w:val="32"/>
        </w:rPr>
        <w:t>（五）对促进中医药事业发展有其他突出贡献的。</w:t>
      </w:r>
    </w:p>
    <w:p>
      <w:pPr>
        <w:adjustRightInd w:val="0"/>
        <w:snapToGrid w:val="0"/>
        <w:spacing w:before="302" w:beforeLines="50" w:after="302" w:afterLines="50" w:line="590" w:lineRule="exact"/>
        <w:jc w:val="center"/>
        <w:rPr>
          <w:rFonts w:ascii="黑体" w:hAnsi="黑体" w:eastAsia="黑体" w:cs="仿宋"/>
          <w:bCs/>
          <w:color w:val="000000"/>
          <w:szCs w:val="32"/>
        </w:rPr>
      </w:pPr>
      <w:r>
        <w:rPr>
          <w:rFonts w:hint="eastAsia" w:ascii="黑体" w:hAnsi="黑体" w:eastAsia="黑体" w:cs="仿宋"/>
          <w:bCs/>
          <w:color w:val="000000"/>
          <w:szCs w:val="32"/>
        </w:rPr>
        <w:t>第七章　法律责任</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第五十九条　</w:t>
      </w:r>
      <w:r>
        <w:rPr>
          <w:rFonts w:hint="eastAsia" w:ascii="仿宋_GB2312" w:hAnsi="仿宋" w:cs="仿宋"/>
          <w:bCs/>
          <w:color w:val="000000"/>
          <w:szCs w:val="32"/>
        </w:rPr>
        <w:t>违反本条例规定的行为，法律、法规已有处罚规定的，从其规定。</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kern w:val="0"/>
          <w:szCs w:val="32"/>
        </w:rPr>
        <w:t>第六十条</w:t>
      </w:r>
      <w:r>
        <w:rPr>
          <w:rFonts w:hint="eastAsia" w:ascii="黑体" w:hAnsi="黑体" w:eastAsia="黑体" w:cs="仿宋"/>
          <w:bCs/>
          <w:color w:val="000000"/>
          <w:szCs w:val="32"/>
        </w:rPr>
        <w:t>　</w:t>
      </w:r>
      <w:r>
        <w:rPr>
          <w:rFonts w:hint="eastAsia" w:ascii="仿宋_GB2312" w:hAnsi="仿宋" w:cs="仿宋"/>
          <w:bCs/>
          <w:color w:val="000000"/>
          <w:szCs w:val="32"/>
        </w:rPr>
        <w:t>违反本条例规定，广播、电视、报刊、互联网等媒体变相发布中医医疗广告、中药药品广告的，由市场监督管理部门责令改正，处五万元以上十万元以下的罚款，并告知当事人有要求举行听证的权利。</w:t>
      </w:r>
    </w:p>
    <w:p>
      <w:pPr>
        <w:adjustRightInd w:val="0"/>
        <w:snapToGrid w:val="0"/>
        <w:spacing w:line="590" w:lineRule="exact"/>
        <w:ind w:firstLine="636" w:firstLineChars="200"/>
        <w:rPr>
          <w:rFonts w:ascii="仿宋_GB2312" w:hAnsi="仿宋" w:cs="仿宋"/>
          <w:bCs/>
          <w:color w:val="000000"/>
          <w:szCs w:val="32"/>
        </w:rPr>
      </w:pPr>
      <w:r>
        <w:rPr>
          <w:rFonts w:hint="eastAsia" w:ascii="黑体" w:hAnsi="黑体" w:eastAsia="黑体" w:cs="仿宋"/>
          <w:bCs/>
          <w:color w:val="000000"/>
          <w:szCs w:val="32"/>
        </w:rPr>
        <w:t>第六十一条　</w:t>
      </w:r>
      <w:r>
        <w:rPr>
          <w:rFonts w:hint="eastAsia" w:ascii="仿宋_GB2312" w:hAnsi="黑体" w:cs="黑体"/>
          <w:bCs/>
          <w:color w:val="000000"/>
          <w:szCs w:val="32"/>
        </w:rPr>
        <w:t>县级</w:t>
      </w:r>
      <w:r>
        <w:rPr>
          <w:rFonts w:hint="eastAsia" w:ascii="仿宋_GB2312" w:hAnsi="仿宋" w:cs="仿宋"/>
          <w:bCs/>
          <w:color w:val="000000"/>
          <w:szCs w:val="32"/>
        </w:rPr>
        <w:t>以上中医药主管部门及其他有关部门未履行本条例规定的职责的，由本级人民政府或者上级人民政府有关部门责令改正；情节严重的，由任免机关或者监察机关对直接负责的主管人员和其他直接责任人员给予处分，构成犯罪的，依法追究刑事责任。</w:t>
      </w:r>
    </w:p>
    <w:p>
      <w:pPr>
        <w:adjustRightInd w:val="0"/>
        <w:snapToGrid w:val="0"/>
        <w:spacing w:before="302" w:beforeLines="50" w:after="302" w:afterLines="50" w:line="590" w:lineRule="exact"/>
        <w:jc w:val="center"/>
        <w:rPr>
          <w:rFonts w:ascii="黑体" w:hAnsi="黑体" w:eastAsia="黑体" w:cs="仿宋"/>
          <w:bCs/>
          <w:color w:val="000000"/>
          <w:szCs w:val="32"/>
        </w:rPr>
      </w:pPr>
      <w:r>
        <w:rPr>
          <w:rFonts w:hint="eastAsia" w:ascii="黑体" w:hAnsi="黑体" w:eastAsia="黑体" w:cs="仿宋"/>
          <w:bCs/>
          <w:color w:val="000000"/>
          <w:szCs w:val="32"/>
        </w:rPr>
        <w:t>第八章　附　则</w:t>
      </w:r>
    </w:p>
    <w:p>
      <w:pPr>
        <w:adjustRightInd w:val="0"/>
        <w:snapToGrid w:val="0"/>
        <w:spacing w:line="590" w:lineRule="exact"/>
        <w:ind w:firstLine="636" w:firstLineChars="200"/>
        <w:rPr>
          <w:bCs/>
          <w:color w:val="000000"/>
          <w:szCs w:val="32"/>
        </w:rPr>
      </w:pPr>
      <w:r>
        <w:rPr>
          <w:rFonts w:eastAsia="黑体"/>
          <w:bCs/>
          <w:color w:val="000000"/>
          <w:szCs w:val="32"/>
        </w:rPr>
        <w:t>第六十二条　</w:t>
      </w:r>
      <w:r>
        <w:rPr>
          <w:bCs/>
          <w:color w:val="000000"/>
          <w:szCs w:val="32"/>
        </w:rPr>
        <w:t>本条例自2020年4月1日起施行。2002年6月7日陕西省第九届人民代表大会常务委员会第三十次会议通过、2014年11月27日陕西省第十二届人民代表大会常务委员会第十四次会议修正的《陕西省发展中医条例》同时废止。</w:t>
      </w:r>
    </w:p>
    <w:sectPr>
      <w:footerReference r:id="rId6" w:type="first"/>
      <w:headerReference r:id="rId3" w:type="default"/>
      <w:footerReference r:id="rId4" w:type="default"/>
      <w:footerReference r:id="rId5" w:type="even"/>
      <w:pgSz w:w="11907" w:h="16840"/>
      <w:pgMar w:top="1418" w:right="1418" w:bottom="1418" w:left="1418" w:header="567" w:footer="851" w:gutter="0"/>
      <w:cols w:space="720" w:num="1"/>
      <w:docGrid w:type="linesAndChars" w:linePitch="605" w:char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altName w:val="微软雅黑"/>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altName w:val="仿宋_GB2312"/>
    <w:panose1 w:val="02010601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Fonts w:hint="eastAsia"/>
      </w:rPr>
      <w:t>—</w:t>
    </w:r>
    <w:sdt>
      <w:sdtPr>
        <w:id w:val="774187"/>
      </w:sdtPr>
      <w:sdtContent>
        <w:r>
          <w:rPr>
            <w:rFonts w:hint="eastAsia"/>
          </w:rPr>
          <w:t xml:space="preserve"> </w:t>
        </w:r>
        <w:r>
          <w:fldChar w:fldCharType="begin"/>
        </w:r>
        <w:r>
          <w:instrText xml:space="preserve"> PAGE   \* MERGEFORMAT </w:instrText>
        </w:r>
        <w:r>
          <w:fldChar w:fldCharType="separate"/>
        </w:r>
        <w:r>
          <w:rPr>
            <w:lang w:val="zh-CN"/>
          </w:rPr>
          <w:t>1</w:t>
        </w:r>
        <w:r>
          <w:rPr>
            <w:lang w:val="zh-CN"/>
          </w:rPr>
          <w:fldChar w:fldCharType="end"/>
        </w:r>
        <w:r>
          <w:rPr>
            <w:rFonts w:hint="eastAsia"/>
          </w:rPr>
          <w:t xml:space="preserve"> </w:t>
        </w:r>
      </w:sdtContent>
    </w:sdt>
    <w:r>
      <w:rPr>
        <w:rFonts w:hint="eastAsia"/>
      </w:rPr>
      <w:t>—</w:t>
    </w:r>
  </w:p>
  <w:p>
    <w:pPr>
      <w:ind w:right="360" w:firstLine="360"/>
      <w:jc w:val="center"/>
      <w:rPr>
        <w:rFonts w:ascii="宋体" w:hAnsi="宋体" w:eastAsia="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outside" w:y="1"/>
      <w:rPr>
        <w:rStyle w:val="23"/>
      </w:rPr>
    </w:pPr>
    <w:r>
      <w:fldChar w:fldCharType="begin"/>
    </w:r>
    <w:r>
      <w:rPr>
        <w:rStyle w:val="23"/>
      </w:rPr>
      <w:instrText xml:space="preserve">PAGE  </w:instrText>
    </w:r>
    <w:r>
      <w:fldChar w:fldCharType="end"/>
    </w:r>
  </w:p>
  <w:p>
    <w:pP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59"/>
  <w:drawingGridVerticalSpacing w:val="60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C"/>
    <w:rsid w:val="000037D5"/>
    <w:rsid w:val="00003F68"/>
    <w:rsid w:val="00005D79"/>
    <w:rsid w:val="0000669E"/>
    <w:rsid w:val="000109F4"/>
    <w:rsid w:val="00010A86"/>
    <w:rsid w:val="00014493"/>
    <w:rsid w:val="00014B22"/>
    <w:rsid w:val="00015D39"/>
    <w:rsid w:val="00020457"/>
    <w:rsid w:val="00021EF7"/>
    <w:rsid w:val="00024974"/>
    <w:rsid w:val="000258C4"/>
    <w:rsid w:val="00030AA9"/>
    <w:rsid w:val="000326F1"/>
    <w:rsid w:val="00034B4C"/>
    <w:rsid w:val="00035A95"/>
    <w:rsid w:val="00035DA5"/>
    <w:rsid w:val="000400E0"/>
    <w:rsid w:val="000435A8"/>
    <w:rsid w:val="00045831"/>
    <w:rsid w:val="00045DE1"/>
    <w:rsid w:val="000551C7"/>
    <w:rsid w:val="000557AE"/>
    <w:rsid w:val="000568DA"/>
    <w:rsid w:val="0005707F"/>
    <w:rsid w:val="00057F4D"/>
    <w:rsid w:val="00060CCE"/>
    <w:rsid w:val="00061AB0"/>
    <w:rsid w:val="000628A3"/>
    <w:rsid w:val="00065C86"/>
    <w:rsid w:val="0006609D"/>
    <w:rsid w:val="0006750C"/>
    <w:rsid w:val="000715C1"/>
    <w:rsid w:val="00075647"/>
    <w:rsid w:val="000756D6"/>
    <w:rsid w:val="00075920"/>
    <w:rsid w:val="00076271"/>
    <w:rsid w:val="0007639B"/>
    <w:rsid w:val="000767AD"/>
    <w:rsid w:val="00077DA1"/>
    <w:rsid w:val="00081772"/>
    <w:rsid w:val="000817C9"/>
    <w:rsid w:val="00081C97"/>
    <w:rsid w:val="0008294B"/>
    <w:rsid w:val="000842AC"/>
    <w:rsid w:val="00084669"/>
    <w:rsid w:val="00084AF9"/>
    <w:rsid w:val="00085193"/>
    <w:rsid w:val="000856DD"/>
    <w:rsid w:val="00086116"/>
    <w:rsid w:val="00086928"/>
    <w:rsid w:val="0008696D"/>
    <w:rsid w:val="00086AD7"/>
    <w:rsid w:val="00086C0E"/>
    <w:rsid w:val="00087248"/>
    <w:rsid w:val="00087877"/>
    <w:rsid w:val="00087B3C"/>
    <w:rsid w:val="00090F45"/>
    <w:rsid w:val="00091568"/>
    <w:rsid w:val="0009315D"/>
    <w:rsid w:val="00093458"/>
    <w:rsid w:val="0009405F"/>
    <w:rsid w:val="000949D1"/>
    <w:rsid w:val="0009758E"/>
    <w:rsid w:val="000A070F"/>
    <w:rsid w:val="000A171A"/>
    <w:rsid w:val="000A1CA6"/>
    <w:rsid w:val="000A1D32"/>
    <w:rsid w:val="000A2509"/>
    <w:rsid w:val="000A2CCD"/>
    <w:rsid w:val="000A31B4"/>
    <w:rsid w:val="000A3DD1"/>
    <w:rsid w:val="000A4A84"/>
    <w:rsid w:val="000A4FAC"/>
    <w:rsid w:val="000A73CD"/>
    <w:rsid w:val="000A779B"/>
    <w:rsid w:val="000B005F"/>
    <w:rsid w:val="000B192F"/>
    <w:rsid w:val="000B4B62"/>
    <w:rsid w:val="000B53B0"/>
    <w:rsid w:val="000B663B"/>
    <w:rsid w:val="000C065D"/>
    <w:rsid w:val="000C07FB"/>
    <w:rsid w:val="000C1300"/>
    <w:rsid w:val="000C27FC"/>
    <w:rsid w:val="000C3BC2"/>
    <w:rsid w:val="000C4282"/>
    <w:rsid w:val="000C6B26"/>
    <w:rsid w:val="000C7BDF"/>
    <w:rsid w:val="000D0CDC"/>
    <w:rsid w:val="000D1300"/>
    <w:rsid w:val="000D22FD"/>
    <w:rsid w:val="000D36D0"/>
    <w:rsid w:val="000D5779"/>
    <w:rsid w:val="000D63ED"/>
    <w:rsid w:val="000E11BB"/>
    <w:rsid w:val="000E1C44"/>
    <w:rsid w:val="000E359F"/>
    <w:rsid w:val="000E3646"/>
    <w:rsid w:val="000E5010"/>
    <w:rsid w:val="000E5ED9"/>
    <w:rsid w:val="000E6F5D"/>
    <w:rsid w:val="000E73ED"/>
    <w:rsid w:val="000E7D21"/>
    <w:rsid w:val="000F0542"/>
    <w:rsid w:val="000F26BF"/>
    <w:rsid w:val="000F41AF"/>
    <w:rsid w:val="000F5119"/>
    <w:rsid w:val="000F569E"/>
    <w:rsid w:val="000F7847"/>
    <w:rsid w:val="00100206"/>
    <w:rsid w:val="0010065A"/>
    <w:rsid w:val="00100698"/>
    <w:rsid w:val="00100893"/>
    <w:rsid w:val="00100B0B"/>
    <w:rsid w:val="001029D6"/>
    <w:rsid w:val="00104E0A"/>
    <w:rsid w:val="00105610"/>
    <w:rsid w:val="0010696C"/>
    <w:rsid w:val="0010716A"/>
    <w:rsid w:val="0010796D"/>
    <w:rsid w:val="00110822"/>
    <w:rsid w:val="00110A55"/>
    <w:rsid w:val="00111D44"/>
    <w:rsid w:val="001124EE"/>
    <w:rsid w:val="00112BDE"/>
    <w:rsid w:val="00112FA7"/>
    <w:rsid w:val="00114DC3"/>
    <w:rsid w:val="0011615E"/>
    <w:rsid w:val="00117008"/>
    <w:rsid w:val="0011784F"/>
    <w:rsid w:val="00117A93"/>
    <w:rsid w:val="001213AC"/>
    <w:rsid w:val="00121692"/>
    <w:rsid w:val="00121BC7"/>
    <w:rsid w:val="00123DB0"/>
    <w:rsid w:val="00124C1D"/>
    <w:rsid w:val="00126769"/>
    <w:rsid w:val="00130922"/>
    <w:rsid w:val="00133AE9"/>
    <w:rsid w:val="00137C07"/>
    <w:rsid w:val="00137C58"/>
    <w:rsid w:val="00140D50"/>
    <w:rsid w:val="001415DF"/>
    <w:rsid w:val="001428AE"/>
    <w:rsid w:val="001431FC"/>
    <w:rsid w:val="00143ACF"/>
    <w:rsid w:val="00144316"/>
    <w:rsid w:val="0014597A"/>
    <w:rsid w:val="00152718"/>
    <w:rsid w:val="00152C47"/>
    <w:rsid w:val="0015752D"/>
    <w:rsid w:val="00160289"/>
    <w:rsid w:val="00160A70"/>
    <w:rsid w:val="0016157C"/>
    <w:rsid w:val="00161617"/>
    <w:rsid w:val="001659D0"/>
    <w:rsid w:val="001679D1"/>
    <w:rsid w:val="001704A6"/>
    <w:rsid w:val="00171AE2"/>
    <w:rsid w:val="00172A27"/>
    <w:rsid w:val="00172F16"/>
    <w:rsid w:val="001766C8"/>
    <w:rsid w:val="00176B1A"/>
    <w:rsid w:val="00177556"/>
    <w:rsid w:val="00182AF5"/>
    <w:rsid w:val="001843B9"/>
    <w:rsid w:val="001858FD"/>
    <w:rsid w:val="00186284"/>
    <w:rsid w:val="00186A9E"/>
    <w:rsid w:val="00186DFC"/>
    <w:rsid w:val="0018703D"/>
    <w:rsid w:val="0019049E"/>
    <w:rsid w:val="00190AC4"/>
    <w:rsid w:val="001910DA"/>
    <w:rsid w:val="00191988"/>
    <w:rsid w:val="00193D11"/>
    <w:rsid w:val="00193E3A"/>
    <w:rsid w:val="00196520"/>
    <w:rsid w:val="00196E5E"/>
    <w:rsid w:val="001A0428"/>
    <w:rsid w:val="001A2107"/>
    <w:rsid w:val="001A31DD"/>
    <w:rsid w:val="001A4AE5"/>
    <w:rsid w:val="001A4F86"/>
    <w:rsid w:val="001A58D1"/>
    <w:rsid w:val="001A6CA7"/>
    <w:rsid w:val="001B7E2A"/>
    <w:rsid w:val="001C10C2"/>
    <w:rsid w:val="001C2757"/>
    <w:rsid w:val="001C36E7"/>
    <w:rsid w:val="001C4D16"/>
    <w:rsid w:val="001C6583"/>
    <w:rsid w:val="001C6A13"/>
    <w:rsid w:val="001D048F"/>
    <w:rsid w:val="001D3315"/>
    <w:rsid w:val="001D37FE"/>
    <w:rsid w:val="001D622F"/>
    <w:rsid w:val="001D62BA"/>
    <w:rsid w:val="001D6DFA"/>
    <w:rsid w:val="001E3101"/>
    <w:rsid w:val="001E3111"/>
    <w:rsid w:val="001E31F5"/>
    <w:rsid w:val="001E5476"/>
    <w:rsid w:val="001E6FE3"/>
    <w:rsid w:val="001F0728"/>
    <w:rsid w:val="001F0CD4"/>
    <w:rsid w:val="001F4617"/>
    <w:rsid w:val="001F4E18"/>
    <w:rsid w:val="001F5638"/>
    <w:rsid w:val="001F56F8"/>
    <w:rsid w:val="001F6696"/>
    <w:rsid w:val="001F7798"/>
    <w:rsid w:val="00204713"/>
    <w:rsid w:val="00205502"/>
    <w:rsid w:val="0021173C"/>
    <w:rsid w:val="00212514"/>
    <w:rsid w:val="002129CD"/>
    <w:rsid w:val="00213FAF"/>
    <w:rsid w:val="00215C82"/>
    <w:rsid w:val="00215EC4"/>
    <w:rsid w:val="00217822"/>
    <w:rsid w:val="00217AFF"/>
    <w:rsid w:val="00222291"/>
    <w:rsid w:val="0022258D"/>
    <w:rsid w:val="00226424"/>
    <w:rsid w:val="00226FC0"/>
    <w:rsid w:val="00230A84"/>
    <w:rsid w:val="00232537"/>
    <w:rsid w:val="00235EB9"/>
    <w:rsid w:val="00240C26"/>
    <w:rsid w:val="0024236D"/>
    <w:rsid w:val="00242CAD"/>
    <w:rsid w:val="00243C95"/>
    <w:rsid w:val="002443F3"/>
    <w:rsid w:val="002457FC"/>
    <w:rsid w:val="00245BD2"/>
    <w:rsid w:val="00247427"/>
    <w:rsid w:val="0025144A"/>
    <w:rsid w:val="00252F34"/>
    <w:rsid w:val="002563CB"/>
    <w:rsid w:val="00256411"/>
    <w:rsid w:val="00257004"/>
    <w:rsid w:val="0026125D"/>
    <w:rsid w:val="00261974"/>
    <w:rsid w:val="00263EB4"/>
    <w:rsid w:val="002652B1"/>
    <w:rsid w:val="00266521"/>
    <w:rsid w:val="00267C99"/>
    <w:rsid w:val="00270067"/>
    <w:rsid w:val="0027373B"/>
    <w:rsid w:val="002737AA"/>
    <w:rsid w:val="00274AD7"/>
    <w:rsid w:val="00276619"/>
    <w:rsid w:val="00281E64"/>
    <w:rsid w:val="002855A1"/>
    <w:rsid w:val="00287C25"/>
    <w:rsid w:val="00291410"/>
    <w:rsid w:val="00292634"/>
    <w:rsid w:val="002934D7"/>
    <w:rsid w:val="00293BD2"/>
    <w:rsid w:val="00295066"/>
    <w:rsid w:val="0029517C"/>
    <w:rsid w:val="00295D4D"/>
    <w:rsid w:val="00295E26"/>
    <w:rsid w:val="00296D9F"/>
    <w:rsid w:val="002A327E"/>
    <w:rsid w:val="002A36D5"/>
    <w:rsid w:val="002A372A"/>
    <w:rsid w:val="002A3FDE"/>
    <w:rsid w:val="002A4D4D"/>
    <w:rsid w:val="002A6AB2"/>
    <w:rsid w:val="002B3264"/>
    <w:rsid w:val="002B3A97"/>
    <w:rsid w:val="002B3F8D"/>
    <w:rsid w:val="002B404C"/>
    <w:rsid w:val="002B462D"/>
    <w:rsid w:val="002B47EC"/>
    <w:rsid w:val="002B4AA5"/>
    <w:rsid w:val="002B7518"/>
    <w:rsid w:val="002B7D7F"/>
    <w:rsid w:val="002C3509"/>
    <w:rsid w:val="002C453D"/>
    <w:rsid w:val="002C4676"/>
    <w:rsid w:val="002C6CA0"/>
    <w:rsid w:val="002D0734"/>
    <w:rsid w:val="002D2D87"/>
    <w:rsid w:val="002D2F2D"/>
    <w:rsid w:val="002D38C7"/>
    <w:rsid w:val="002D41E4"/>
    <w:rsid w:val="002D4304"/>
    <w:rsid w:val="002D4806"/>
    <w:rsid w:val="002D6EAC"/>
    <w:rsid w:val="002D702E"/>
    <w:rsid w:val="002D76AB"/>
    <w:rsid w:val="002E0628"/>
    <w:rsid w:val="002E1022"/>
    <w:rsid w:val="002E15BB"/>
    <w:rsid w:val="002E256A"/>
    <w:rsid w:val="002E2957"/>
    <w:rsid w:val="002E2B99"/>
    <w:rsid w:val="002E34D0"/>
    <w:rsid w:val="002E3A03"/>
    <w:rsid w:val="002E4894"/>
    <w:rsid w:val="002E4B72"/>
    <w:rsid w:val="002E5431"/>
    <w:rsid w:val="002E681C"/>
    <w:rsid w:val="002F0299"/>
    <w:rsid w:val="002F0DB7"/>
    <w:rsid w:val="002F1276"/>
    <w:rsid w:val="002F1A80"/>
    <w:rsid w:val="002F3AAF"/>
    <w:rsid w:val="002F6488"/>
    <w:rsid w:val="002F70CC"/>
    <w:rsid w:val="00302C5F"/>
    <w:rsid w:val="0030302A"/>
    <w:rsid w:val="0031211B"/>
    <w:rsid w:val="00312243"/>
    <w:rsid w:val="003129F5"/>
    <w:rsid w:val="00313C23"/>
    <w:rsid w:val="0031463C"/>
    <w:rsid w:val="003171AE"/>
    <w:rsid w:val="00320ACC"/>
    <w:rsid w:val="0032181F"/>
    <w:rsid w:val="00321E04"/>
    <w:rsid w:val="00322EDE"/>
    <w:rsid w:val="0032536D"/>
    <w:rsid w:val="003259A3"/>
    <w:rsid w:val="0032617B"/>
    <w:rsid w:val="00326437"/>
    <w:rsid w:val="00330902"/>
    <w:rsid w:val="00332059"/>
    <w:rsid w:val="003331A2"/>
    <w:rsid w:val="00333231"/>
    <w:rsid w:val="003333C5"/>
    <w:rsid w:val="0033583E"/>
    <w:rsid w:val="003360B9"/>
    <w:rsid w:val="00336C93"/>
    <w:rsid w:val="0034213E"/>
    <w:rsid w:val="003431C1"/>
    <w:rsid w:val="00343AAF"/>
    <w:rsid w:val="00343E49"/>
    <w:rsid w:val="00344276"/>
    <w:rsid w:val="0034556A"/>
    <w:rsid w:val="003472FB"/>
    <w:rsid w:val="003478C6"/>
    <w:rsid w:val="00347F75"/>
    <w:rsid w:val="00350676"/>
    <w:rsid w:val="0035152F"/>
    <w:rsid w:val="00352775"/>
    <w:rsid w:val="00352B7E"/>
    <w:rsid w:val="003547B1"/>
    <w:rsid w:val="003560AC"/>
    <w:rsid w:val="00360BC9"/>
    <w:rsid w:val="003613B2"/>
    <w:rsid w:val="00362680"/>
    <w:rsid w:val="00364F99"/>
    <w:rsid w:val="00367D28"/>
    <w:rsid w:val="003716FF"/>
    <w:rsid w:val="00371F04"/>
    <w:rsid w:val="0037283F"/>
    <w:rsid w:val="00375AC6"/>
    <w:rsid w:val="00376731"/>
    <w:rsid w:val="003768E8"/>
    <w:rsid w:val="00377A00"/>
    <w:rsid w:val="003833F6"/>
    <w:rsid w:val="0038518E"/>
    <w:rsid w:val="003857EB"/>
    <w:rsid w:val="00390879"/>
    <w:rsid w:val="00390A60"/>
    <w:rsid w:val="00391F4B"/>
    <w:rsid w:val="00392456"/>
    <w:rsid w:val="00392FB8"/>
    <w:rsid w:val="003935F6"/>
    <w:rsid w:val="00394062"/>
    <w:rsid w:val="00394BAF"/>
    <w:rsid w:val="00395052"/>
    <w:rsid w:val="003958D3"/>
    <w:rsid w:val="00395DD3"/>
    <w:rsid w:val="0039625C"/>
    <w:rsid w:val="00396A6A"/>
    <w:rsid w:val="0039724B"/>
    <w:rsid w:val="003A29C5"/>
    <w:rsid w:val="003A2EC4"/>
    <w:rsid w:val="003A3DA9"/>
    <w:rsid w:val="003A4F75"/>
    <w:rsid w:val="003B0314"/>
    <w:rsid w:val="003B0863"/>
    <w:rsid w:val="003B1032"/>
    <w:rsid w:val="003B1229"/>
    <w:rsid w:val="003B1C92"/>
    <w:rsid w:val="003B1F9F"/>
    <w:rsid w:val="003B351D"/>
    <w:rsid w:val="003B4144"/>
    <w:rsid w:val="003B6134"/>
    <w:rsid w:val="003C07A8"/>
    <w:rsid w:val="003C0C6F"/>
    <w:rsid w:val="003C1CA6"/>
    <w:rsid w:val="003C39CA"/>
    <w:rsid w:val="003C595C"/>
    <w:rsid w:val="003C6CBC"/>
    <w:rsid w:val="003C752E"/>
    <w:rsid w:val="003D0316"/>
    <w:rsid w:val="003D061F"/>
    <w:rsid w:val="003D0CA9"/>
    <w:rsid w:val="003D11F0"/>
    <w:rsid w:val="003D27F7"/>
    <w:rsid w:val="003D2825"/>
    <w:rsid w:val="003D4DB2"/>
    <w:rsid w:val="003D58E9"/>
    <w:rsid w:val="003D5D49"/>
    <w:rsid w:val="003D5E39"/>
    <w:rsid w:val="003E0288"/>
    <w:rsid w:val="003E065C"/>
    <w:rsid w:val="003E3681"/>
    <w:rsid w:val="003E3872"/>
    <w:rsid w:val="003E3A7D"/>
    <w:rsid w:val="003E6547"/>
    <w:rsid w:val="003F2E01"/>
    <w:rsid w:val="003F5F3C"/>
    <w:rsid w:val="003F619F"/>
    <w:rsid w:val="003F648E"/>
    <w:rsid w:val="0040096F"/>
    <w:rsid w:val="0040136D"/>
    <w:rsid w:val="0040335D"/>
    <w:rsid w:val="004040B1"/>
    <w:rsid w:val="00404D77"/>
    <w:rsid w:val="0040592B"/>
    <w:rsid w:val="00405D78"/>
    <w:rsid w:val="0040620C"/>
    <w:rsid w:val="004076B9"/>
    <w:rsid w:val="00407A34"/>
    <w:rsid w:val="004129B5"/>
    <w:rsid w:val="00412DD3"/>
    <w:rsid w:val="00413C8C"/>
    <w:rsid w:val="00416406"/>
    <w:rsid w:val="00421230"/>
    <w:rsid w:val="00422B58"/>
    <w:rsid w:val="00424407"/>
    <w:rsid w:val="00424DA1"/>
    <w:rsid w:val="004251ED"/>
    <w:rsid w:val="00426BA8"/>
    <w:rsid w:val="0042707F"/>
    <w:rsid w:val="004273D7"/>
    <w:rsid w:val="00434A4B"/>
    <w:rsid w:val="00435D1B"/>
    <w:rsid w:val="00437FC7"/>
    <w:rsid w:val="004433FD"/>
    <w:rsid w:val="00444540"/>
    <w:rsid w:val="00445227"/>
    <w:rsid w:val="00446710"/>
    <w:rsid w:val="00446E25"/>
    <w:rsid w:val="0045015B"/>
    <w:rsid w:val="00450623"/>
    <w:rsid w:val="00451457"/>
    <w:rsid w:val="004515F8"/>
    <w:rsid w:val="00451EB1"/>
    <w:rsid w:val="004563A9"/>
    <w:rsid w:val="00460050"/>
    <w:rsid w:val="00461446"/>
    <w:rsid w:val="0046149F"/>
    <w:rsid w:val="00463DE7"/>
    <w:rsid w:val="00464F09"/>
    <w:rsid w:val="00465034"/>
    <w:rsid w:val="00465B9C"/>
    <w:rsid w:val="004715B6"/>
    <w:rsid w:val="00471702"/>
    <w:rsid w:val="00472EA9"/>
    <w:rsid w:val="00473217"/>
    <w:rsid w:val="00473637"/>
    <w:rsid w:val="004764CA"/>
    <w:rsid w:val="00477B68"/>
    <w:rsid w:val="004818EA"/>
    <w:rsid w:val="004830DC"/>
    <w:rsid w:val="00484569"/>
    <w:rsid w:val="00484B4E"/>
    <w:rsid w:val="00485C6F"/>
    <w:rsid w:val="004866C7"/>
    <w:rsid w:val="00486C5E"/>
    <w:rsid w:val="00490711"/>
    <w:rsid w:val="00490838"/>
    <w:rsid w:val="00490D12"/>
    <w:rsid w:val="00491177"/>
    <w:rsid w:val="00492BD1"/>
    <w:rsid w:val="00492FC8"/>
    <w:rsid w:val="0049566A"/>
    <w:rsid w:val="00495D38"/>
    <w:rsid w:val="004975BB"/>
    <w:rsid w:val="00497A18"/>
    <w:rsid w:val="004A0122"/>
    <w:rsid w:val="004A1A81"/>
    <w:rsid w:val="004A208F"/>
    <w:rsid w:val="004A4303"/>
    <w:rsid w:val="004A5477"/>
    <w:rsid w:val="004A7D4F"/>
    <w:rsid w:val="004B0CA5"/>
    <w:rsid w:val="004B2A7E"/>
    <w:rsid w:val="004B4558"/>
    <w:rsid w:val="004B53E0"/>
    <w:rsid w:val="004B6920"/>
    <w:rsid w:val="004B6B9B"/>
    <w:rsid w:val="004B7375"/>
    <w:rsid w:val="004B7A72"/>
    <w:rsid w:val="004C1952"/>
    <w:rsid w:val="004C1F6F"/>
    <w:rsid w:val="004C24F7"/>
    <w:rsid w:val="004C3EC1"/>
    <w:rsid w:val="004C449B"/>
    <w:rsid w:val="004C64B9"/>
    <w:rsid w:val="004D231E"/>
    <w:rsid w:val="004D3251"/>
    <w:rsid w:val="004D3456"/>
    <w:rsid w:val="004D51A5"/>
    <w:rsid w:val="004D6F4B"/>
    <w:rsid w:val="004D777B"/>
    <w:rsid w:val="004D7C2B"/>
    <w:rsid w:val="004E1A9F"/>
    <w:rsid w:val="004E2333"/>
    <w:rsid w:val="004E4C46"/>
    <w:rsid w:val="004E5568"/>
    <w:rsid w:val="004F195F"/>
    <w:rsid w:val="004F293E"/>
    <w:rsid w:val="004F2B83"/>
    <w:rsid w:val="004F31B7"/>
    <w:rsid w:val="004F35DE"/>
    <w:rsid w:val="00501204"/>
    <w:rsid w:val="00504EC5"/>
    <w:rsid w:val="00505FE8"/>
    <w:rsid w:val="005112DA"/>
    <w:rsid w:val="00511581"/>
    <w:rsid w:val="00512E95"/>
    <w:rsid w:val="0051376D"/>
    <w:rsid w:val="005151C0"/>
    <w:rsid w:val="005159F2"/>
    <w:rsid w:val="005159FD"/>
    <w:rsid w:val="0051647C"/>
    <w:rsid w:val="005173AF"/>
    <w:rsid w:val="00517797"/>
    <w:rsid w:val="00521567"/>
    <w:rsid w:val="005231A0"/>
    <w:rsid w:val="005231BA"/>
    <w:rsid w:val="00523B20"/>
    <w:rsid w:val="0052416F"/>
    <w:rsid w:val="0052434A"/>
    <w:rsid w:val="005264E9"/>
    <w:rsid w:val="0052696F"/>
    <w:rsid w:val="00526CA1"/>
    <w:rsid w:val="0052700E"/>
    <w:rsid w:val="00527065"/>
    <w:rsid w:val="00530A37"/>
    <w:rsid w:val="00531C77"/>
    <w:rsid w:val="00531CB8"/>
    <w:rsid w:val="00532ECF"/>
    <w:rsid w:val="00533D93"/>
    <w:rsid w:val="005341D7"/>
    <w:rsid w:val="005347F8"/>
    <w:rsid w:val="005348E3"/>
    <w:rsid w:val="00536166"/>
    <w:rsid w:val="0053688A"/>
    <w:rsid w:val="00536EC0"/>
    <w:rsid w:val="005373E2"/>
    <w:rsid w:val="00541F8E"/>
    <w:rsid w:val="00542791"/>
    <w:rsid w:val="00542EA4"/>
    <w:rsid w:val="00542F2D"/>
    <w:rsid w:val="005440F4"/>
    <w:rsid w:val="00546947"/>
    <w:rsid w:val="00546B32"/>
    <w:rsid w:val="00551218"/>
    <w:rsid w:val="00552F97"/>
    <w:rsid w:val="00554E1A"/>
    <w:rsid w:val="0055575A"/>
    <w:rsid w:val="00555F9D"/>
    <w:rsid w:val="0055603F"/>
    <w:rsid w:val="00557FD0"/>
    <w:rsid w:val="005610A8"/>
    <w:rsid w:val="005610C8"/>
    <w:rsid w:val="0056270E"/>
    <w:rsid w:val="00563CFB"/>
    <w:rsid w:val="0056494A"/>
    <w:rsid w:val="0056569C"/>
    <w:rsid w:val="00566970"/>
    <w:rsid w:val="00567A0E"/>
    <w:rsid w:val="00571DD5"/>
    <w:rsid w:val="0057412F"/>
    <w:rsid w:val="00574E31"/>
    <w:rsid w:val="00581968"/>
    <w:rsid w:val="0058601A"/>
    <w:rsid w:val="005876CE"/>
    <w:rsid w:val="00587785"/>
    <w:rsid w:val="005906A6"/>
    <w:rsid w:val="00590B35"/>
    <w:rsid w:val="00591524"/>
    <w:rsid w:val="00591981"/>
    <w:rsid w:val="005923BF"/>
    <w:rsid w:val="0059251B"/>
    <w:rsid w:val="005927D8"/>
    <w:rsid w:val="00593A6B"/>
    <w:rsid w:val="00593CF8"/>
    <w:rsid w:val="00593FD0"/>
    <w:rsid w:val="005943BD"/>
    <w:rsid w:val="005A01DE"/>
    <w:rsid w:val="005A1DE6"/>
    <w:rsid w:val="005A32AF"/>
    <w:rsid w:val="005A5684"/>
    <w:rsid w:val="005A5F8E"/>
    <w:rsid w:val="005A6410"/>
    <w:rsid w:val="005B1075"/>
    <w:rsid w:val="005B27E7"/>
    <w:rsid w:val="005B5BAA"/>
    <w:rsid w:val="005B5E00"/>
    <w:rsid w:val="005C33CC"/>
    <w:rsid w:val="005C428D"/>
    <w:rsid w:val="005C5424"/>
    <w:rsid w:val="005C55DA"/>
    <w:rsid w:val="005C5A8E"/>
    <w:rsid w:val="005C6836"/>
    <w:rsid w:val="005C6907"/>
    <w:rsid w:val="005C73D9"/>
    <w:rsid w:val="005C743F"/>
    <w:rsid w:val="005D035F"/>
    <w:rsid w:val="005D129B"/>
    <w:rsid w:val="005D1406"/>
    <w:rsid w:val="005D22A9"/>
    <w:rsid w:val="005D35AB"/>
    <w:rsid w:val="005D5789"/>
    <w:rsid w:val="005D6ED2"/>
    <w:rsid w:val="005D7A04"/>
    <w:rsid w:val="005E0F94"/>
    <w:rsid w:val="005E3509"/>
    <w:rsid w:val="005E4C99"/>
    <w:rsid w:val="005E693B"/>
    <w:rsid w:val="005F11E6"/>
    <w:rsid w:val="005F1531"/>
    <w:rsid w:val="005F16E2"/>
    <w:rsid w:val="005F1B77"/>
    <w:rsid w:val="005F1BFA"/>
    <w:rsid w:val="005F1ED1"/>
    <w:rsid w:val="005F231D"/>
    <w:rsid w:val="005F31D9"/>
    <w:rsid w:val="005F5C0F"/>
    <w:rsid w:val="005F70EC"/>
    <w:rsid w:val="00601CC7"/>
    <w:rsid w:val="00604270"/>
    <w:rsid w:val="00604852"/>
    <w:rsid w:val="006052DB"/>
    <w:rsid w:val="006055A2"/>
    <w:rsid w:val="00605676"/>
    <w:rsid w:val="006070B5"/>
    <w:rsid w:val="006119D2"/>
    <w:rsid w:val="00613655"/>
    <w:rsid w:val="00614B03"/>
    <w:rsid w:val="00615DBD"/>
    <w:rsid w:val="00616B1A"/>
    <w:rsid w:val="006202AC"/>
    <w:rsid w:val="00622115"/>
    <w:rsid w:val="00622A30"/>
    <w:rsid w:val="0062462C"/>
    <w:rsid w:val="00624783"/>
    <w:rsid w:val="0062500D"/>
    <w:rsid w:val="00626404"/>
    <w:rsid w:val="00630A6E"/>
    <w:rsid w:val="00633684"/>
    <w:rsid w:val="006336A8"/>
    <w:rsid w:val="0063588E"/>
    <w:rsid w:val="00637DB9"/>
    <w:rsid w:val="006412CE"/>
    <w:rsid w:val="00641581"/>
    <w:rsid w:val="00642462"/>
    <w:rsid w:val="00643705"/>
    <w:rsid w:val="006443D3"/>
    <w:rsid w:val="00645120"/>
    <w:rsid w:val="0064684F"/>
    <w:rsid w:val="0064747F"/>
    <w:rsid w:val="00650603"/>
    <w:rsid w:val="00651333"/>
    <w:rsid w:val="00655526"/>
    <w:rsid w:val="00655C01"/>
    <w:rsid w:val="0065617F"/>
    <w:rsid w:val="006566A9"/>
    <w:rsid w:val="00657822"/>
    <w:rsid w:val="0066014F"/>
    <w:rsid w:val="006601DD"/>
    <w:rsid w:val="00662F57"/>
    <w:rsid w:val="00665705"/>
    <w:rsid w:val="006705C4"/>
    <w:rsid w:val="00671AAE"/>
    <w:rsid w:val="00672F5C"/>
    <w:rsid w:val="00672FB3"/>
    <w:rsid w:val="00673425"/>
    <w:rsid w:val="00673D56"/>
    <w:rsid w:val="006758BF"/>
    <w:rsid w:val="00675F1E"/>
    <w:rsid w:val="0067618C"/>
    <w:rsid w:val="0067688A"/>
    <w:rsid w:val="00676A46"/>
    <w:rsid w:val="0067704F"/>
    <w:rsid w:val="0067786C"/>
    <w:rsid w:val="00680EEA"/>
    <w:rsid w:val="00681AEF"/>
    <w:rsid w:val="0068373A"/>
    <w:rsid w:val="00686186"/>
    <w:rsid w:val="00686F7A"/>
    <w:rsid w:val="0069084E"/>
    <w:rsid w:val="00690BF6"/>
    <w:rsid w:val="0069125C"/>
    <w:rsid w:val="00691497"/>
    <w:rsid w:val="006914C9"/>
    <w:rsid w:val="00692B65"/>
    <w:rsid w:val="00693A61"/>
    <w:rsid w:val="00694090"/>
    <w:rsid w:val="0069467C"/>
    <w:rsid w:val="006A1149"/>
    <w:rsid w:val="006A30BC"/>
    <w:rsid w:val="006A5DCC"/>
    <w:rsid w:val="006B16B8"/>
    <w:rsid w:val="006B1C0A"/>
    <w:rsid w:val="006B297D"/>
    <w:rsid w:val="006B3F37"/>
    <w:rsid w:val="006B4673"/>
    <w:rsid w:val="006B56DB"/>
    <w:rsid w:val="006B5E8A"/>
    <w:rsid w:val="006C2BA9"/>
    <w:rsid w:val="006C4749"/>
    <w:rsid w:val="006C5161"/>
    <w:rsid w:val="006C5E36"/>
    <w:rsid w:val="006C6654"/>
    <w:rsid w:val="006C7C9B"/>
    <w:rsid w:val="006D0775"/>
    <w:rsid w:val="006D45AA"/>
    <w:rsid w:val="006D5380"/>
    <w:rsid w:val="006D60FA"/>
    <w:rsid w:val="006D6591"/>
    <w:rsid w:val="006D6BAD"/>
    <w:rsid w:val="006D7C4A"/>
    <w:rsid w:val="006E1488"/>
    <w:rsid w:val="006E1DD0"/>
    <w:rsid w:val="006E590F"/>
    <w:rsid w:val="006E616A"/>
    <w:rsid w:val="006E7075"/>
    <w:rsid w:val="006F0270"/>
    <w:rsid w:val="006F0F74"/>
    <w:rsid w:val="006F23CF"/>
    <w:rsid w:val="006F260F"/>
    <w:rsid w:val="006F2A34"/>
    <w:rsid w:val="006F36C1"/>
    <w:rsid w:val="006F3808"/>
    <w:rsid w:val="006F4897"/>
    <w:rsid w:val="006F5EC4"/>
    <w:rsid w:val="006F6554"/>
    <w:rsid w:val="006F7F2A"/>
    <w:rsid w:val="00702FD1"/>
    <w:rsid w:val="0070558A"/>
    <w:rsid w:val="00705B40"/>
    <w:rsid w:val="00706442"/>
    <w:rsid w:val="00706508"/>
    <w:rsid w:val="00710E7E"/>
    <w:rsid w:val="00712C98"/>
    <w:rsid w:val="007130FC"/>
    <w:rsid w:val="007158F8"/>
    <w:rsid w:val="00715B65"/>
    <w:rsid w:val="00715D9F"/>
    <w:rsid w:val="0071636B"/>
    <w:rsid w:val="00716658"/>
    <w:rsid w:val="00716AF8"/>
    <w:rsid w:val="007170AE"/>
    <w:rsid w:val="0071715B"/>
    <w:rsid w:val="00717C97"/>
    <w:rsid w:val="007209E4"/>
    <w:rsid w:val="007210F1"/>
    <w:rsid w:val="00722382"/>
    <w:rsid w:val="0072358D"/>
    <w:rsid w:val="007242EA"/>
    <w:rsid w:val="0072759F"/>
    <w:rsid w:val="00727EFF"/>
    <w:rsid w:val="00730EC5"/>
    <w:rsid w:val="007326DC"/>
    <w:rsid w:val="00733ED5"/>
    <w:rsid w:val="00734AD8"/>
    <w:rsid w:val="00734E11"/>
    <w:rsid w:val="00735C7E"/>
    <w:rsid w:val="00740568"/>
    <w:rsid w:val="007411FB"/>
    <w:rsid w:val="007424B1"/>
    <w:rsid w:val="00743256"/>
    <w:rsid w:val="0074559F"/>
    <w:rsid w:val="00746B67"/>
    <w:rsid w:val="00750627"/>
    <w:rsid w:val="00751C07"/>
    <w:rsid w:val="0075535B"/>
    <w:rsid w:val="00755F4F"/>
    <w:rsid w:val="007570F5"/>
    <w:rsid w:val="00757E73"/>
    <w:rsid w:val="00760055"/>
    <w:rsid w:val="00761DC1"/>
    <w:rsid w:val="007621C1"/>
    <w:rsid w:val="007661B0"/>
    <w:rsid w:val="0077254F"/>
    <w:rsid w:val="00775AE7"/>
    <w:rsid w:val="00776464"/>
    <w:rsid w:val="00776A00"/>
    <w:rsid w:val="00777C9C"/>
    <w:rsid w:val="00780247"/>
    <w:rsid w:val="0078053B"/>
    <w:rsid w:val="00781021"/>
    <w:rsid w:val="00781D8C"/>
    <w:rsid w:val="0078391C"/>
    <w:rsid w:val="00783CEC"/>
    <w:rsid w:val="0078454C"/>
    <w:rsid w:val="00785BA5"/>
    <w:rsid w:val="00786E93"/>
    <w:rsid w:val="0078753A"/>
    <w:rsid w:val="00787A23"/>
    <w:rsid w:val="00787DDA"/>
    <w:rsid w:val="00790B13"/>
    <w:rsid w:val="00790C87"/>
    <w:rsid w:val="0079151B"/>
    <w:rsid w:val="00791861"/>
    <w:rsid w:val="007922AB"/>
    <w:rsid w:val="00794E40"/>
    <w:rsid w:val="00795E08"/>
    <w:rsid w:val="00797BE1"/>
    <w:rsid w:val="007A0F28"/>
    <w:rsid w:val="007A13D2"/>
    <w:rsid w:val="007A3ABF"/>
    <w:rsid w:val="007A3D79"/>
    <w:rsid w:val="007A4B7E"/>
    <w:rsid w:val="007A5D30"/>
    <w:rsid w:val="007A6B80"/>
    <w:rsid w:val="007B1CF3"/>
    <w:rsid w:val="007B232D"/>
    <w:rsid w:val="007B233B"/>
    <w:rsid w:val="007B2C94"/>
    <w:rsid w:val="007B3DF6"/>
    <w:rsid w:val="007B6B0E"/>
    <w:rsid w:val="007C0339"/>
    <w:rsid w:val="007C5BF1"/>
    <w:rsid w:val="007D10F3"/>
    <w:rsid w:val="007D1B37"/>
    <w:rsid w:val="007D1CF6"/>
    <w:rsid w:val="007D2939"/>
    <w:rsid w:val="007D4F7D"/>
    <w:rsid w:val="007D4FFB"/>
    <w:rsid w:val="007D77CD"/>
    <w:rsid w:val="007E0CD3"/>
    <w:rsid w:val="007E442E"/>
    <w:rsid w:val="007E4CC5"/>
    <w:rsid w:val="007E4E22"/>
    <w:rsid w:val="007E533D"/>
    <w:rsid w:val="007E63F9"/>
    <w:rsid w:val="007E640D"/>
    <w:rsid w:val="007E643F"/>
    <w:rsid w:val="007E64B0"/>
    <w:rsid w:val="007E6956"/>
    <w:rsid w:val="007E75B3"/>
    <w:rsid w:val="007E7D86"/>
    <w:rsid w:val="007E7E6E"/>
    <w:rsid w:val="007F4362"/>
    <w:rsid w:val="007F4D47"/>
    <w:rsid w:val="007F5382"/>
    <w:rsid w:val="007F5DED"/>
    <w:rsid w:val="007F7185"/>
    <w:rsid w:val="007F7253"/>
    <w:rsid w:val="007F796E"/>
    <w:rsid w:val="007F7DF8"/>
    <w:rsid w:val="00802F65"/>
    <w:rsid w:val="00803C38"/>
    <w:rsid w:val="00804527"/>
    <w:rsid w:val="00804AA4"/>
    <w:rsid w:val="00806DFC"/>
    <w:rsid w:val="0081007E"/>
    <w:rsid w:val="00811075"/>
    <w:rsid w:val="008116C4"/>
    <w:rsid w:val="00816E90"/>
    <w:rsid w:val="00817276"/>
    <w:rsid w:val="0082069B"/>
    <w:rsid w:val="008215D4"/>
    <w:rsid w:val="0082233D"/>
    <w:rsid w:val="008229B8"/>
    <w:rsid w:val="00824484"/>
    <w:rsid w:val="00825883"/>
    <w:rsid w:val="00826147"/>
    <w:rsid w:val="0082676E"/>
    <w:rsid w:val="00827716"/>
    <w:rsid w:val="00827875"/>
    <w:rsid w:val="00830128"/>
    <w:rsid w:val="00830306"/>
    <w:rsid w:val="00830969"/>
    <w:rsid w:val="00831A2A"/>
    <w:rsid w:val="00832421"/>
    <w:rsid w:val="0083392C"/>
    <w:rsid w:val="00834C43"/>
    <w:rsid w:val="00835631"/>
    <w:rsid w:val="00836585"/>
    <w:rsid w:val="00836B8D"/>
    <w:rsid w:val="008374B4"/>
    <w:rsid w:val="0084287C"/>
    <w:rsid w:val="00843450"/>
    <w:rsid w:val="00844B3A"/>
    <w:rsid w:val="00845ACC"/>
    <w:rsid w:val="008473EE"/>
    <w:rsid w:val="00850AC2"/>
    <w:rsid w:val="00850DD7"/>
    <w:rsid w:val="0085132B"/>
    <w:rsid w:val="00851D6B"/>
    <w:rsid w:val="0085224B"/>
    <w:rsid w:val="00854AF9"/>
    <w:rsid w:val="00855BEF"/>
    <w:rsid w:val="008574B7"/>
    <w:rsid w:val="00861212"/>
    <w:rsid w:val="00862E42"/>
    <w:rsid w:val="0086316F"/>
    <w:rsid w:val="00864066"/>
    <w:rsid w:val="008658E9"/>
    <w:rsid w:val="008660D9"/>
    <w:rsid w:val="00866C11"/>
    <w:rsid w:val="008678A3"/>
    <w:rsid w:val="00867A78"/>
    <w:rsid w:val="00872378"/>
    <w:rsid w:val="00872DE6"/>
    <w:rsid w:val="00874674"/>
    <w:rsid w:val="00874AA6"/>
    <w:rsid w:val="00875510"/>
    <w:rsid w:val="0087769E"/>
    <w:rsid w:val="00881EAC"/>
    <w:rsid w:val="0088222F"/>
    <w:rsid w:val="00882874"/>
    <w:rsid w:val="00883E17"/>
    <w:rsid w:val="0088461A"/>
    <w:rsid w:val="008856C6"/>
    <w:rsid w:val="00890EB9"/>
    <w:rsid w:val="008941CA"/>
    <w:rsid w:val="00896428"/>
    <w:rsid w:val="008967D7"/>
    <w:rsid w:val="0089788D"/>
    <w:rsid w:val="008A0991"/>
    <w:rsid w:val="008A185E"/>
    <w:rsid w:val="008A4FEF"/>
    <w:rsid w:val="008A5650"/>
    <w:rsid w:val="008A67CD"/>
    <w:rsid w:val="008B03F0"/>
    <w:rsid w:val="008B0F64"/>
    <w:rsid w:val="008B29A1"/>
    <w:rsid w:val="008B3058"/>
    <w:rsid w:val="008B32F4"/>
    <w:rsid w:val="008B4B34"/>
    <w:rsid w:val="008B5006"/>
    <w:rsid w:val="008C17EA"/>
    <w:rsid w:val="008C285C"/>
    <w:rsid w:val="008D161E"/>
    <w:rsid w:val="008D184D"/>
    <w:rsid w:val="008D1C2E"/>
    <w:rsid w:val="008D2032"/>
    <w:rsid w:val="008D2A74"/>
    <w:rsid w:val="008D2F7D"/>
    <w:rsid w:val="008D32D4"/>
    <w:rsid w:val="008D4056"/>
    <w:rsid w:val="008D4743"/>
    <w:rsid w:val="008D4A61"/>
    <w:rsid w:val="008D611E"/>
    <w:rsid w:val="008D63A3"/>
    <w:rsid w:val="008D6718"/>
    <w:rsid w:val="008E0068"/>
    <w:rsid w:val="008E03C5"/>
    <w:rsid w:val="008E0DAE"/>
    <w:rsid w:val="008E2F19"/>
    <w:rsid w:val="008E48BC"/>
    <w:rsid w:val="008E67CF"/>
    <w:rsid w:val="008E755F"/>
    <w:rsid w:val="008E7CAC"/>
    <w:rsid w:val="008E7CE9"/>
    <w:rsid w:val="008F3645"/>
    <w:rsid w:val="008F53BE"/>
    <w:rsid w:val="008F5791"/>
    <w:rsid w:val="008F6B9F"/>
    <w:rsid w:val="008F7A61"/>
    <w:rsid w:val="009006E7"/>
    <w:rsid w:val="0090196E"/>
    <w:rsid w:val="00903079"/>
    <w:rsid w:val="0090463B"/>
    <w:rsid w:val="00904CBD"/>
    <w:rsid w:val="009064AC"/>
    <w:rsid w:val="009102E3"/>
    <w:rsid w:val="00910703"/>
    <w:rsid w:val="00910D9D"/>
    <w:rsid w:val="00910F5A"/>
    <w:rsid w:val="00913545"/>
    <w:rsid w:val="0091399B"/>
    <w:rsid w:val="00914FF0"/>
    <w:rsid w:val="00916AA5"/>
    <w:rsid w:val="00916D90"/>
    <w:rsid w:val="0091734E"/>
    <w:rsid w:val="009173C1"/>
    <w:rsid w:val="00921E81"/>
    <w:rsid w:val="00922D1E"/>
    <w:rsid w:val="00925437"/>
    <w:rsid w:val="009272BA"/>
    <w:rsid w:val="0092747D"/>
    <w:rsid w:val="00930474"/>
    <w:rsid w:val="009316D6"/>
    <w:rsid w:val="00931F59"/>
    <w:rsid w:val="00932650"/>
    <w:rsid w:val="009359B5"/>
    <w:rsid w:val="00935FF8"/>
    <w:rsid w:val="00936C21"/>
    <w:rsid w:val="00937430"/>
    <w:rsid w:val="00941AF6"/>
    <w:rsid w:val="009430C9"/>
    <w:rsid w:val="00943C54"/>
    <w:rsid w:val="009454D4"/>
    <w:rsid w:val="0094585B"/>
    <w:rsid w:val="009475E3"/>
    <w:rsid w:val="00951615"/>
    <w:rsid w:val="00951883"/>
    <w:rsid w:val="009525DE"/>
    <w:rsid w:val="0095319B"/>
    <w:rsid w:val="00953CFA"/>
    <w:rsid w:val="00957D5F"/>
    <w:rsid w:val="00957EE4"/>
    <w:rsid w:val="00962051"/>
    <w:rsid w:val="00962F35"/>
    <w:rsid w:val="009645E5"/>
    <w:rsid w:val="009647C7"/>
    <w:rsid w:val="009658D8"/>
    <w:rsid w:val="00965B3B"/>
    <w:rsid w:val="00965F0E"/>
    <w:rsid w:val="00970B93"/>
    <w:rsid w:val="00972017"/>
    <w:rsid w:val="00975B01"/>
    <w:rsid w:val="009761FE"/>
    <w:rsid w:val="00976849"/>
    <w:rsid w:val="009777B0"/>
    <w:rsid w:val="00977C82"/>
    <w:rsid w:val="0098110B"/>
    <w:rsid w:val="00981222"/>
    <w:rsid w:val="009814D2"/>
    <w:rsid w:val="0098305D"/>
    <w:rsid w:val="00985C74"/>
    <w:rsid w:val="0098647B"/>
    <w:rsid w:val="009906CF"/>
    <w:rsid w:val="009919FA"/>
    <w:rsid w:val="00991B0D"/>
    <w:rsid w:val="009920F3"/>
    <w:rsid w:val="009949BC"/>
    <w:rsid w:val="00995B8C"/>
    <w:rsid w:val="0099718E"/>
    <w:rsid w:val="00997531"/>
    <w:rsid w:val="009A0D6A"/>
    <w:rsid w:val="009A430E"/>
    <w:rsid w:val="009A5674"/>
    <w:rsid w:val="009A5800"/>
    <w:rsid w:val="009A6D32"/>
    <w:rsid w:val="009A72A9"/>
    <w:rsid w:val="009B0252"/>
    <w:rsid w:val="009B17C1"/>
    <w:rsid w:val="009B20D1"/>
    <w:rsid w:val="009B2135"/>
    <w:rsid w:val="009B2862"/>
    <w:rsid w:val="009B2D4E"/>
    <w:rsid w:val="009B2DAC"/>
    <w:rsid w:val="009B300E"/>
    <w:rsid w:val="009B33AE"/>
    <w:rsid w:val="009B386F"/>
    <w:rsid w:val="009C2588"/>
    <w:rsid w:val="009C3885"/>
    <w:rsid w:val="009C4D3F"/>
    <w:rsid w:val="009C5369"/>
    <w:rsid w:val="009C59BD"/>
    <w:rsid w:val="009C7FD1"/>
    <w:rsid w:val="009D0156"/>
    <w:rsid w:val="009D05C2"/>
    <w:rsid w:val="009D13DD"/>
    <w:rsid w:val="009D1462"/>
    <w:rsid w:val="009D32FD"/>
    <w:rsid w:val="009D4732"/>
    <w:rsid w:val="009D64E0"/>
    <w:rsid w:val="009E1FD1"/>
    <w:rsid w:val="009E208C"/>
    <w:rsid w:val="009E20D0"/>
    <w:rsid w:val="009E3255"/>
    <w:rsid w:val="009E34A9"/>
    <w:rsid w:val="009E45E8"/>
    <w:rsid w:val="009E4BF0"/>
    <w:rsid w:val="009E7FF5"/>
    <w:rsid w:val="009F03E6"/>
    <w:rsid w:val="009F2443"/>
    <w:rsid w:val="00A00529"/>
    <w:rsid w:val="00A00E8A"/>
    <w:rsid w:val="00A025D6"/>
    <w:rsid w:val="00A03F49"/>
    <w:rsid w:val="00A06A69"/>
    <w:rsid w:val="00A07851"/>
    <w:rsid w:val="00A1002B"/>
    <w:rsid w:val="00A11F8E"/>
    <w:rsid w:val="00A13103"/>
    <w:rsid w:val="00A15B31"/>
    <w:rsid w:val="00A17009"/>
    <w:rsid w:val="00A17CC6"/>
    <w:rsid w:val="00A20057"/>
    <w:rsid w:val="00A2024B"/>
    <w:rsid w:val="00A21034"/>
    <w:rsid w:val="00A21AE8"/>
    <w:rsid w:val="00A23C43"/>
    <w:rsid w:val="00A244F5"/>
    <w:rsid w:val="00A24B03"/>
    <w:rsid w:val="00A24CA2"/>
    <w:rsid w:val="00A25598"/>
    <w:rsid w:val="00A269D6"/>
    <w:rsid w:val="00A26AE8"/>
    <w:rsid w:val="00A27FA9"/>
    <w:rsid w:val="00A30D48"/>
    <w:rsid w:val="00A315FD"/>
    <w:rsid w:val="00A32092"/>
    <w:rsid w:val="00A34B64"/>
    <w:rsid w:val="00A36560"/>
    <w:rsid w:val="00A36E0D"/>
    <w:rsid w:val="00A36E46"/>
    <w:rsid w:val="00A36F8B"/>
    <w:rsid w:val="00A376F3"/>
    <w:rsid w:val="00A404DF"/>
    <w:rsid w:val="00A448D8"/>
    <w:rsid w:val="00A44C4B"/>
    <w:rsid w:val="00A44FC5"/>
    <w:rsid w:val="00A45654"/>
    <w:rsid w:val="00A47DE7"/>
    <w:rsid w:val="00A5003E"/>
    <w:rsid w:val="00A502D9"/>
    <w:rsid w:val="00A516D4"/>
    <w:rsid w:val="00A5192B"/>
    <w:rsid w:val="00A51A07"/>
    <w:rsid w:val="00A52B05"/>
    <w:rsid w:val="00A52DE4"/>
    <w:rsid w:val="00A52E8D"/>
    <w:rsid w:val="00A53451"/>
    <w:rsid w:val="00A548EC"/>
    <w:rsid w:val="00A54986"/>
    <w:rsid w:val="00A54C63"/>
    <w:rsid w:val="00A55350"/>
    <w:rsid w:val="00A56603"/>
    <w:rsid w:val="00A5691D"/>
    <w:rsid w:val="00A618DE"/>
    <w:rsid w:val="00A61BF6"/>
    <w:rsid w:val="00A61DA1"/>
    <w:rsid w:val="00A6224F"/>
    <w:rsid w:val="00A623DA"/>
    <w:rsid w:val="00A62CCC"/>
    <w:rsid w:val="00A704BF"/>
    <w:rsid w:val="00A716F9"/>
    <w:rsid w:val="00A72383"/>
    <w:rsid w:val="00A73248"/>
    <w:rsid w:val="00A7373D"/>
    <w:rsid w:val="00A74169"/>
    <w:rsid w:val="00A745C7"/>
    <w:rsid w:val="00A749CD"/>
    <w:rsid w:val="00A75B64"/>
    <w:rsid w:val="00A76111"/>
    <w:rsid w:val="00A77A2F"/>
    <w:rsid w:val="00A77B2A"/>
    <w:rsid w:val="00A77B9D"/>
    <w:rsid w:val="00A77F17"/>
    <w:rsid w:val="00A805D1"/>
    <w:rsid w:val="00A80713"/>
    <w:rsid w:val="00A80FAF"/>
    <w:rsid w:val="00A8354E"/>
    <w:rsid w:val="00A8448B"/>
    <w:rsid w:val="00A84A6D"/>
    <w:rsid w:val="00A85622"/>
    <w:rsid w:val="00A919ED"/>
    <w:rsid w:val="00A93361"/>
    <w:rsid w:val="00A935F4"/>
    <w:rsid w:val="00A95A8B"/>
    <w:rsid w:val="00A97D9C"/>
    <w:rsid w:val="00AA05DB"/>
    <w:rsid w:val="00AA2475"/>
    <w:rsid w:val="00AA2A61"/>
    <w:rsid w:val="00AA46C4"/>
    <w:rsid w:val="00AA4B43"/>
    <w:rsid w:val="00AA59E9"/>
    <w:rsid w:val="00AA5E0C"/>
    <w:rsid w:val="00AB0346"/>
    <w:rsid w:val="00AB1FE3"/>
    <w:rsid w:val="00AB38C3"/>
    <w:rsid w:val="00AB4AA3"/>
    <w:rsid w:val="00AB5656"/>
    <w:rsid w:val="00AC2061"/>
    <w:rsid w:val="00AC3577"/>
    <w:rsid w:val="00AC4BBF"/>
    <w:rsid w:val="00AC54AB"/>
    <w:rsid w:val="00AC5695"/>
    <w:rsid w:val="00AC6D44"/>
    <w:rsid w:val="00AD35CD"/>
    <w:rsid w:val="00AD3A5C"/>
    <w:rsid w:val="00AD4B40"/>
    <w:rsid w:val="00AD5078"/>
    <w:rsid w:val="00AD6A79"/>
    <w:rsid w:val="00AD6B53"/>
    <w:rsid w:val="00AD6BD1"/>
    <w:rsid w:val="00AD6D9E"/>
    <w:rsid w:val="00AE12F3"/>
    <w:rsid w:val="00AE25A7"/>
    <w:rsid w:val="00AE3718"/>
    <w:rsid w:val="00AE3C02"/>
    <w:rsid w:val="00AE490E"/>
    <w:rsid w:val="00AE4A94"/>
    <w:rsid w:val="00AE5EFB"/>
    <w:rsid w:val="00AE7359"/>
    <w:rsid w:val="00AE76D7"/>
    <w:rsid w:val="00AF2793"/>
    <w:rsid w:val="00AF296E"/>
    <w:rsid w:val="00AF5AD1"/>
    <w:rsid w:val="00AF77F8"/>
    <w:rsid w:val="00B02DEE"/>
    <w:rsid w:val="00B02FCE"/>
    <w:rsid w:val="00B04976"/>
    <w:rsid w:val="00B05971"/>
    <w:rsid w:val="00B06493"/>
    <w:rsid w:val="00B11504"/>
    <w:rsid w:val="00B12AE3"/>
    <w:rsid w:val="00B1467B"/>
    <w:rsid w:val="00B20762"/>
    <w:rsid w:val="00B208CD"/>
    <w:rsid w:val="00B210F9"/>
    <w:rsid w:val="00B21D6D"/>
    <w:rsid w:val="00B22FD7"/>
    <w:rsid w:val="00B23D20"/>
    <w:rsid w:val="00B24246"/>
    <w:rsid w:val="00B25A7D"/>
    <w:rsid w:val="00B300D9"/>
    <w:rsid w:val="00B30A36"/>
    <w:rsid w:val="00B31A90"/>
    <w:rsid w:val="00B336D0"/>
    <w:rsid w:val="00B34781"/>
    <w:rsid w:val="00B34B73"/>
    <w:rsid w:val="00B34DDB"/>
    <w:rsid w:val="00B35C93"/>
    <w:rsid w:val="00B35EF2"/>
    <w:rsid w:val="00B3698C"/>
    <w:rsid w:val="00B37537"/>
    <w:rsid w:val="00B43C61"/>
    <w:rsid w:val="00B50E21"/>
    <w:rsid w:val="00B53C85"/>
    <w:rsid w:val="00B54829"/>
    <w:rsid w:val="00B550A0"/>
    <w:rsid w:val="00B5541D"/>
    <w:rsid w:val="00B554E3"/>
    <w:rsid w:val="00B55C38"/>
    <w:rsid w:val="00B55F0D"/>
    <w:rsid w:val="00B56A66"/>
    <w:rsid w:val="00B60A52"/>
    <w:rsid w:val="00B629D8"/>
    <w:rsid w:val="00B64F5E"/>
    <w:rsid w:val="00B64FBA"/>
    <w:rsid w:val="00B65177"/>
    <w:rsid w:val="00B65307"/>
    <w:rsid w:val="00B65B0D"/>
    <w:rsid w:val="00B65EA0"/>
    <w:rsid w:val="00B66D31"/>
    <w:rsid w:val="00B673D8"/>
    <w:rsid w:val="00B70EFE"/>
    <w:rsid w:val="00B7672C"/>
    <w:rsid w:val="00B81F0A"/>
    <w:rsid w:val="00B834F9"/>
    <w:rsid w:val="00B8376D"/>
    <w:rsid w:val="00B84C50"/>
    <w:rsid w:val="00B84DCB"/>
    <w:rsid w:val="00B850AD"/>
    <w:rsid w:val="00B87B6F"/>
    <w:rsid w:val="00B87F2D"/>
    <w:rsid w:val="00B903AC"/>
    <w:rsid w:val="00B91EA0"/>
    <w:rsid w:val="00B923DB"/>
    <w:rsid w:val="00B93123"/>
    <w:rsid w:val="00B94459"/>
    <w:rsid w:val="00B96D55"/>
    <w:rsid w:val="00B971CF"/>
    <w:rsid w:val="00B97410"/>
    <w:rsid w:val="00B97E67"/>
    <w:rsid w:val="00BA0B9A"/>
    <w:rsid w:val="00BA0D93"/>
    <w:rsid w:val="00BA2D37"/>
    <w:rsid w:val="00BA2DAE"/>
    <w:rsid w:val="00BA535F"/>
    <w:rsid w:val="00BA7B3C"/>
    <w:rsid w:val="00BB03EF"/>
    <w:rsid w:val="00BB0800"/>
    <w:rsid w:val="00BB0A4F"/>
    <w:rsid w:val="00BB0B25"/>
    <w:rsid w:val="00BB1E93"/>
    <w:rsid w:val="00BB3894"/>
    <w:rsid w:val="00BB4E80"/>
    <w:rsid w:val="00BB743D"/>
    <w:rsid w:val="00BB7EC6"/>
    <w:rsid w:val="00BC1AFA"/>
    <w:rsid w:val="00BC4987"/>
    <w:rsid w:val="00BC60FB"/>
    <w:rsid w:val="00BC6ABF"/>
    <w:rsid w:val="00BD18DD"/>
    <w:rsid w:val="00BD230D"/>
    <w:rsid w:val="00BD2841"/>
    <w:rsid w:val="00BD3934"/>
    <w:rsid w:val="00BE02EA"/>
    <w:rsid w:val="00BE3E13"/>
    <w:rsid w:val="00BE49D6"/>
    <w:rsid w:val="00BE6E17"/>
    <w:rsid w:val="00BE7712"/>
    <w:rsid w:val="00BE7EFA"/>
    <w:rsid w:val="00BF0251"/>
    <w:rsid w:val="00BF0BBD"/>
    <w:rsid w:val="00BF4F17"/>
    <w:rsid w:val="00C0050E"/>
    <w:rsid w:val="00C0304E"/>
    <w:rsid w:val="00C03D09"/>
    <w:rsid w:val="00C03D7D"/>
    <w:rsid w:val="00C04EE1"/>
    <w:rsid w:val="00C057A8"/>
    <w:rsid w:val="00C061B8"/>
    <w:rsid w:val="00C0634B"/>
    <w:rsid w:val="00C07371"/>
    <w:rsid w:val="00C07BB3"/>
    <w:rsid w:val="00C109C7"/>
    <w:rsid w:val="00C117FD"/>
    <w:rsid w:val="00C119F1"/>
    <w:rsid w:val="00C126BF"/>
    <w:rsid w:val="00C12B90"/>
    <w:rsid w:val="00C1307B"/>
    <w:rsid w:val="00C1360F"/>
    <w:rsid w:val="00C13F27"/>
    <w:rsid w:val="00C15721"/>
    <w:rsid w:val="00C16050"/>
    <w:rsid w:val="00C201F1"/>
    <w:rsid w:val="00C20E21"/>
    <w:rsid w:val="00C227EC"/>
    <w:rsid w:val="00C22C51"/>
    <w:rsid w:val="00C23130"/>
    <w:rsid w:val="00C24D28"/>
    <w:rsid w:val="00C26E8D"/>
    <w:rsid w:val="00C274F5"/>
    <w:rsid w:val="00C317D6"/>
    <w:rsid w:val="00C31CB4"/>
    <w:rsid w:val="00C3405D"/>
    <w:rsid w:val="00C34E40"/>
    <w:rsid w:val="00C34E5F"/>
    <w:rsid w:val="00C36EDA"/>
    <w:rsid w:val="00C378BD"/>
    <w:rsid w:val="00C37FF5"/>
    <w:rsid w:val="00C42FF0"/>
    <w:rsid w:val="00C438FF"/>
    <w:rsid w:val="00C43E74"/>
    <w:rsid w:val="00C46392"/>
    <w:rsid w:val="00C47884"/>
    <w:rsid w:val="00C5083A"/>
    <w:rsid w:val="00C55086"/>
    <w:rsid w:val="00C56A23"/>
    <w:rsid w:val="00C605DE"/>
    <w:rsid w:val="00C606F1"/>
    <w:rsid w:val="00C620A4"/>
    <w:rsid w:val="00C62CE5"/>
    <w:rsid w:val="00C643C6"/>
    <w:rsid w:val="00C66908"/>
    <w:rsid w:val="00C736E0"/>
    <w:rsid w:val="00C74C88"/>
    <w:rsid w:val="00C75012"/>
    <w:rsid w:val="00C75508"/>
    <w:rsid w:val="00C76AE4"/>
    <w:rsid w:val="00C77753"/>
    <w:rsid w:val="00C77807"/>
    <w:rsid w:val="00C81320"/>
    <w:rsid w:val="00C81544"/>
    <w:rsid w:val="00C8277D"/>
    <w:rsid w:val="00C82A27"/>
    <w:rsid w:val="00C82B3C"/>
    <w:rsid w:val="00C83D4F"/>
    <w:rsid w:val="00C8408B"/>
    <w:rsid w:val="00C85FAE"/>
    <w:rsid w:val="00C8725C"/>
    <w:rsid w:val="00C903FC"/>
    <w:rsid w:val="00C918D8"/>
    <w:rsid w:val="00C94DF6"/>
    <w:rsid w:val="00C96F74"/>
    <w:rsid w:val="00C973F1"/>
    <w:rsid w:val="00CA3895"/>
    <w:rsid w:val="00CA3B8A"/>
    <w:rsid w:val="00CA4ABA"/>
    <w:rsid w:val="00CA691B"/>
    <w:rsid w:val="00CA6ABE"/>
    <w:rsid w:val="00CA6D1E"/>
    <w:rsid w:val="00CA77C0"/>
    <w:rsid w:val="00CB22C2"/>
    <w:rsid w:val="00CB28CB"/>
    <w:rsid w:val="00CB2989"/>
    <w:rsid w:val="00CB2CDB"/>
    <w:rsid w:val="00CB3F5A"/>
    <w:rsid w:val="00CB74E9"/>
    <w:rsid w:val="00CC14FC"/>
    <w:rsid w:val="00CC6848"/>
    <w:rsid w:val="00CD0E32"/>
    <w:rsid w:val="00CD1B4A"/>
    <w:rsid w:val="00CD42B5"/>
    <w:rsid w:val="00CD47C8"/>
    <w:rsid w:val="00CD6D3D"/>
    <w:rsid w:val="00CD7B9A"/>
    <w:rsid w:val="00CE02AA"/>
    <w:rsid w:val="00CE1CE6"/>
    <w:rsid w:val="00CE498C"/>
    <w:rsid w:val="00CE4F22"/>
    <w:rsid w:val="00CE717B"/>
    <w:rsid w:val="00CF0E42"/>
    <w:rsid w:val="00CF127B"/>
    <w:rsid w:val="00CF29D6"/>
    <w:rsid w:val="00CF3B02"/>
    <w:rsid w:val="00CF3F30"/>
    <w:rsid w:val="00CF58D8"/>
    <w:rsid w:val="00CF7363"/>
    <w:rsid w:val="00CF7BA5"/>
    <w:rsid w:val="00D001B0"/>
    <w:rsid w:val="00D020F9"/>
    <w:rsid w:val="00D04623"/>
    <w:rsid w:val="00D123D9"/>
    <w:rsid w:val="00D12441"/>
    <w:rsid w:val="00D129C9"/>
    <w:rsid w:val="00D13097"/>
    <w:rsid w:val="00D13F50"/>
    <w:rsid w:val="00D148F6"/>
    <w:rsid w:val="00D1570C"/>
    <w:rsid w:val="00D2027A"/>
    <w:rsid w:val="00D20836"/>
    <w:rsid w:val="00D21021"/>
    <w:rsid w:val="00D23091"/>
    <w:rsid w:val="00D2319B"/>
    <w:rsid w:val="00D2420B"/>
    <w:rsid w:val="00D253C9"/>
    <w:rsid w:val="00D2587D"/>
    <w:rsid w:val="00D26044"/>
    <w:rsid w:val="00D31AC7"/>
    <w:rsid w:val="00D3259E"/>
    <w:rsid w:val="00D33B8A"/>
    <w:rsid w:val="00D36251"/>
    <w:rsid w:val="00D3762D"/>
    <w:rsid w:val="00D37EE5"/>
    <w:rsid w:val="00D41B9F"/>
    <w:rsid w:val="00D42A09"/>
    <w:rsid w:val="00D4333B"/>
    <w:rsid w:val="00D445AF"/>
    <w:rsid w:val="00D44E9C"/>
    <w:rsid w:val="00D450C4"/>
    <w:rsid w:val="00D45444"/>
    <w:rsid w:val="00D50C61"/>
    <w:rsid w:val="00D50EF5"/>
    <w:rsid w:val="00D51D6D"/>
    <w:rsid w:val="00D52BA8"/>
    <w:rsid w:val="00D6073C"/>
    <w:rsid w:val="00D60AC6"/>
    <w:rsid w:val="00D61678"/>
    <w:rsid w:val="00D61F93"/>
    <w:rsid w:val="00D62245"/>
    <w:rsid w:val="00D6281A"/>
    <w:rsid w:val="00D62AFF"/>
    <w:rsid w:val="00D62EE7"/>
    <w:rsid w:val="00D6588C"/>
    <w:rsid w:val="00D661B2"/>
    <w:rsid w:val="00D7018B"/>
    <w:rsid w:val="00D7055A"/>
    <w:rsid w:val="00D70B44"/>
    <w:rsid w:val="00D716B4"/>
    <w:rsid w:val="00D717DB"/>
    <w:rsid w:val="00D719BA"/>
    <w:rsid w:val="00D747B8"/>
    <w:rsid w:val="00D7581D"/>
    <w:rsid w:val="00D75E9E"/>
    <w:rsid w:val="00D77154"/>
    <w:rsid w:val="00D7795F"/>
    <w:rsid w:val="00D77BDE"/>
    <w:rsid w:val="00D811F0"/>
    <w:rsid w:val="00D82361"/>
    <w:rsid w:val="00D82460"/>
    <w:rsid w:val="00D83D11"/>
    <w:rsid w:val="00D846BE"/>
    <w:rsid w:val="00D84FC0"/>
    <w:rsid w:val="00D946D6"/>
    <w:rsid w:val="00DA422B"/>
    <w:rsid w:val="00DA42CE"/>
    <w:rsid w:val="00DA74AA"/>
    <w:rsid w:val="00DB04ED"/>
    <w:rsid w:val="00DB5B58"/>
    <w:rsid w:val="00DB6172"/>
    <w:rsid w:val="00DC16FC"/>
    <w:rsid w:val="00DC397A"/>
    <w:rsid w:val="00DC464F"/>
    <w:rsid w:val="00DC47C8"/>
    <w:rsid w:val="00DC5617"/>
    <w:rsid w:val="00DC606A"/>
    <w:rsid w:val="00DC693F"/>
    <w:rsid w:val="00DD1D14"/>
    <w:rsid w:val="00DD38CC"/>
    <w:rsid w:val="00DD420E"/>
    <w:rsid w:val="00DD4336"/>
    <w:rsid w:val="00DD4EDE"/>
    <w:rsid w:val="00DD6B87"/>
    <w:rsid w:val="00DD77B1"/>
    <w:rsid w:val="00DE007D"/>
    <w:rsid w:val="00DE0286"/>
    <w:rsid w:val="00DE095D"/>
    <w:rsid w:val="00DE1435"/>
    <w:rsid w:val="00DE1FF6"/>
    <w:rsid w:val="00DE3034"/>
    <w:rsid w:val="00DE3E20"/>
    <w:rsid w:val="00DE69F6"/>
    <w:rsid w:val="00DE7716"/>
    <w:rsid w:val="00DE7BC2"/>
    <w:rsid w:val="00DF1A43"/>
    <w:rsid w:val="00DF2971"/>
    <w:rsid w:val="00DF3F5D"/>
    <w:rsid w:val="00DF4623"/>
    <w:rsid w:val="00DF515D"/>
    <w:rsid w:val="00DF64D5"/>
    <w:rsid w:val="00E014C2"/>
    <w:rsid w:val="00E01FF5"/>
    <w:rsid w:val="00E038C9"/>
    <w:rsid w:val="00E063CE"/>
    <w:rsid w:val="00E07C2F"/>
    <w:rsid w:val="00E11361"/>
    <w:rsid w:val="00E1310C"/>
    <w:rsid w:val="00E13C8B"/>
    <w:rsid w:val="00E15BDD"/>
    <w:rsid w:val="00E21D55"/>
    <w:rsid w:val="00E22492"/>
    <w:rsid w:val="00E22DF4"/>
    <w:rsid w:val="00E23522"/>
    <w:rsid w:val="00E23716"/>
    <w:rsid w:val="00E23E06"/>
    <w:rsid w:val="00E25B97"/>
    <w:rsid w:val="00E3091F"/>
    <w:rsid w:val="00E30C8B"/>
    <w:rsid w:val="00E33918"/>
    <w:rsid w:val="00E34218"/>
    <w:rsid w:val="00E345B6"/>
    <w:rsid w:val="00E36A73"/>
    <w:rsid w:val="00E37CA9"/>
    <w:rsid w:val="00E40320"/>
    <w:rsid w:val="00E42FCF"/>
    <w:rsid w:val="00E439CF"/>
    <w:rsid w:val="00E44483"/>
    <w:rsid w:val="00E47A53"/>
    <w:rsid w:val="00E5096A"/>
    <w:rsid w:val="00E50A9A"/>
    <w:rsid w:val="00E50DD1"/>
    <w:rsid w:val="00E52731"/>
    <w:rsid w:val="00E52FB0"/>
    <w:rsid w:val="00E55263"/>
    <w:rsid w:val="00E56531"/>
    <w:rsid w:val="00E57226"/>
    <w:rsid w:val="00E618AA"/>
    <w:rsid w:val="00E61B03"/>
    <w:rsid w:val="00E67E06"/>
    <w:rsid w:val="00E7056F"/>
    <w:rsid w:val="00E7165B"/>
    <w:rsid w:val="00E71BA9"/>
    <w:rsid w:val="00E73119"/>
    <w:rsid w:val="00E748C1"/>
    <w:rsid w:val="00E75198"/>
    <w:rsid w:val="00E766B6"/>
    <w:rsid w:val="00E8248D"/>
    <w:rsid w:val="00E83596"/>
    <w:rsid w:val="00E863EB"/>
    <w:rsid w:val="00E907C8"/>
    <w:rsid w:val="00E96BF1"/>
    <w:rsid w:val="00EA0D01"/>
    <w:rsid w:val="00EA754B"/>
    <w:rsid w:val="00EA7626"/>
    <w:rsid w:val="00EA7806"/>
    <w:rsid w:val="00EA79B8"/>
    <w:rsid w:val="00EA79D1"/>
    <w:rsid w:val="00EB284F"/>
    <w:rsid w:val="00EB2D49"/>
    <w:rsid w:val="00EB355E"/>
    <w:rsid w:val="00EB3A34"/>
    <w:rsid w:val="00EB42A1"/>
    <w:rsid w:val="00EB577C"/>
    <w:rsid w:val="00EB6A77"/>
    <w:rsid w:val="00EC087C"/>
    <w:rsid w:val="00EC1010"/>
    <w:rsid w:val="00EC3B95"/>
    <w:rsid w:val="00EC6C96"/>
    <w:rsid w:val="00EC72BC"/>
    <w:rsid w:val="00EC7400"/>
    <w:rsid w:val="00ED0D81"/>
    <w:rsid w:val="00ED24EE"/>
    <w:rsid w:val="00ED4C2C"/>
    <w:rsid w:val="00ED4C47"/>
    <w:rsid w:val="00ED5053"/>
    <w:rsid w:val="00ED52AF"/>
    <w:rsid w:val="00ED651F"/>
    <w:rsid w:val="00ED6C6E"/>
    <w:rsid w:val="00ED712C"/>
    <w:rsid w:val="00ED7A99"/>
    <w:rsid w:val="00EE0CEA"/>
    <w:rsid w:val="00EE28AB"/>
    <w:rsid w:val="00EE4932"/>
    <w:rsid w:val="00EE50BD"/>
    <w:rsid w:val="00EE50FA"/>
    <w:rsid w:val="00EE531D"/>
    <w:rsid w:val="00EE5A6E"/>
    <w:rsid w:val="00EE6072"/>
    <w:rsid w:val="00EE66B6"/>
    <w:rsid w:val="00EF181C"/>
    <w:rsid w:val="00EF6EC1"/>
    <w:rsid w:val="00EF702C"/>
    <w:rsid w:val="00EF7A05"/>
    <w:rsid w:val="00F02B51"/>
    <w:rsid w:val="00F03144"/>
    <w:rsid w:val="00F04D1C"/>
    <w:rsid w:val="00F06B84"/>
    <w:rsid w:val="00F1001B"/>
    <w:rsid w:val="00F1017E"/>
    <w:rsid w:val="00F10AC7"/>
    <w:rsid w:val="00F10BA6"/>
    <w:rsid w:val="00F10EF5"/>
    <w:rsid w:val="00F119E9"/>
    <w:rsid w:val="00F1236D"/>
    <w:rsid w:val="00F13F2D"/>
    <w:rsid w:val="00F14802"/>
    <w:rsid w:val="00F14ADC"/>
    <w:rsid w:val="00F14BF7"/>
    <w:rsid w:val="00F15AD8"/>
    <w:rsid w:val="00F15ECD"/>
    <w:rsid w:val="00F171ED"/>
    <w:rsid w:val="00F172EF"/>
    <w:rsid w:val="00F21552"/>
    <w:rsid w:val="00F2269A"/>
    <w:rsid w:val="00F26E6B"/>
    <w:rsid w:val="00F27EEA"/>
    <w:rsid w:val="00F323A1"/>
    <w:rsid w:val="00F45609"/>
    <w:rsid w:val="00F461BC"/>
    <w:rsid w:val="00F465E2"/>
    <w:rsid w:val="00F47939"/>
    <w:rsid w:val="00F502CF"/>
    <w:rsid w:val="00F5171C"/>
    <w:rsid w:val="00F51E8D"/>
    <w:rsid w:val="00F531FD"/>
    <w:rsid w:val="00F53922"/>
    <w:rsid w:val="00F53CCB"/>
    <w:rsid w:val="00F558C6"/>
    <w:rsid w:val="00F5643C"/>
    <w:rsid w:val="00F566E1"/>
    <w:rsid w:val="00F569CF"/>
    <w:rsid w:val="00F5714B"/>
    <w:rsid w:val="00F6175E"/>
    <w:rsid w:val="00F62E88"/>
    <w:rsid w:val="00F633B2"/>
    <w:rsid w:val="00F63DE4"/>
    <w:rsid w:val="00F65640"/>
    <w:rsid w:val="00F70C7C"/>
    <w:rsid w:val="00F70EC7"/>
    <w:rsid w:val="00F711C0"/>
    <w:rsid w:val="00F71A5D"/>
    <w:rsid w:val="00F72010"/>
    <w:rsid w:val="00F733C2"/>
    <w:rsid w:val="00F73C37"/>
    <w:rsid w:val="00F74717"/>
    <w:rsid w:val="00F75377"/>
    <w:rsid w:val="00F76B6F"/>
    <w:rsid w:val="00F76C57"/>
    <w:rsid w:val="00F7738A"/>
    <w:rsid w:val="00F77518"/>
    <w:rsid w:val="00F77B79"/>
    <w:rsid w:val="00F873A1"/>
    <w:rsid w:val="00F901C1"/>
    <w:rsid w:val="00F904B2"/>
    <w:rsid w:val="00F91070"/>
    <w:rsid w:val="00F91278"/>
    <w:rsid w:val="00F93C8E"/>
    <w:rsid w:val="00F943D5"/>
    <w:rsid w:val="00F967BB"/>
    <w:rsid w:val="00F97F4C"/>
    <w:rsid w:val="00FA026F"/>
    <w:rsid w:val="00FA20ED"/>
    <w:rsid w:val="00FA2486"/>
    <w:rsid w:val="00FA26E9"/>
    <w:rsid w:val="00FA2D16"/>
    <w:rsid w:val="00FA460A"/>
    <w:rsid w:val="00FA60AF"/>
    <w:rsid w:val="00FA753C"/>
    <w:rsid w:val="00FB2255"/>
    <w:rsid w:val="00FB2D1F"/>
    <w:rsid w:val="00FB338C"/>
    <w:rsid w:val="00FB3DC3"/>
    <w:rsid w:val="00FB4448"/>
    <w:rsid w:val="00FB4578"/>
    <w:rsid w:val="00FB4709"/>
    <w:rsid w:val="00FB56A6"/>
    <w:rsid w:val="00FB643B"/>
    <w:rsid w:val="00FB7111"/>
    <w:rsid w:val="00FB7B73"/>
    <w:rsid w:val="00FC0051"/>
    <w:rsid w:val="00FC0B68"/>
    <w:rsid w:val="00FC1156"/>
    <w:rsid w:val="00FC24A9"/>
    <w:rsid w:val="00FC3126"/>
    <w:rsid w:val="00FC54A1"/>
    <w:rsid w:val="00FC728A"/>
    <w:rsid w:val="00FD1F74"/>
    <w:rsid w:val="00FD50BB"/>
    <w:rsid w:val="00FD6215"/>
    <w:rsid w:val="00FD7898"/>
    <w:rsid w:val="00FE1073"/>
    <w:rsid w:val="00FE1A14"/>
    <w:rsid w:val="00FE257B"/>
    <w:rsid w:val="00FE3500"/>
    <w:rsid w:val="00FE4CF6"/>
    <w:rsid w:val="00FE566E"/>
    <w:rsid w:val="00FE7055"/>
    <w:rsid w:val="00FE7E72"/>
    <w:rsid w:val="00FF10DC"/>
    <w:rsid w:val="00FF1FEB"/>
    <w:rsid w:val="00FF26CF"/>
    <w:rsid w:val="00FF299B"/>
    <w:rsid w:val="00FF2B48"/>
    <w:rsid w:val="00FF2CBB"/>
    <w:rsid w:val="00FF3248"/>
    <w:rsid w:val="00FF56CF"/>
    <w:rsid w:val="00FF7748"/>
    <w:rsid w:val="010317A5"/>
    <w:rsid w:val="012B4AB5"/>
    <w:rsid w:val="019C7F25"/>
    <w:rsid w:val="024F56B6"/>
    <w:rsid w:val="026249F9"/>
    <w:rsid w:val="027753FE"/>
    <w:rsid w:val="029747E1"/>
    <w:rsid w:val="02BC3969"/>
    <w:rsid w:val="03336EFF"/>
    <w:rsid w:val="0363752E"/>
    <w:rsid w:val="03774C62"/>
    <w:rsid w:val="038E6937"/>
    <w:rsid w:val="03BE51E7"/>
    <w:rsid w:val="03E40520"/>
    <w:rsid w:val="043378F5"/>
    <w:rsid w:val="047653F8"/>
    <w:rsid w:val="04D27D72"/>
    <w:rsid w:val="05184A8D"/>
    <w:rsid w:val="06280099"/>
    <w:rsid w:val="065F5F48"/>
    <w:rsid w:val="06627281"/>
    <w:rsid w:val="06A426B7"/>
    <w:rsid w:val="06D41C1D"/>
    <w:rsid w:val="06E009C5"/>
    <w:rsid w:val="07290802"/>
    <w:rsid w:val="072A5B8E"/>
    <w:rsid w:val="077A50CC"/>
    <w:rsid w:val="07B2204A"/>
    <w:rsid w:val="07E30F48"/>
    <w:rsid w:val="08416559"/>
    <w:rsid w:val="0849702C"/>
    <w:rsid w:val="085152DC"/>
    <w:rsid w:val="087871AF"/>
    <w:rsid w:val="088841E9"/>
    <w:rsid w:val="089C0889"/>
    <w:rsid w:val="08EE262D"/>
    <w:rsid w:val="0921046A"/>
    <w:rsid w:val="094D3D3F"/>
    <w:rsid w:val="09D25EED"/>
    <w:rsid w:val="09DF63F9"/>
    <w:rsid w:val="0A0A5861"/>
    <w:rsid w:val="0A715CB2"/>
    <w:rsid w:val="0AF371FC"/>
    <w:rsid w:val="0B0A43A6"/>
    <w:rsid w:val="0B0B0E60"/>
    <w:rsid w:val="0B2539F1"/>
    <w:rsid w:val="0B331C1D"/>
    <w:rsid w:val="0B4346C3"/>
    <w:rsid w:val="0B7442C0"/>
    <w:rsid w:val="0BF07F3D"/>
    <w:rsid w:val="0CD117E9"/>
    <w:rsid w:val="0D1B1790"/>
    <w:rsid w:val="0D4D4699"/>
    <w:rsid w:val="0D5363D1"/>
    <w:rsid w:val="0D542363"/>
    <w:rsid w:val="0D587952"/>
    <w:rsid w:val="0D711123"/>
    <w:rsid w:val="0DB00B9C"/>
    <w:rsid w:val="0DB1038E"/>
    <w:rsid w:val="0DCC1391"/>
    <w:rsid w:val="0E1C50B9"/>
    <w:rsid w:val="0E2D76AE"/>
    <w:rsid w:val="0E525C8D"/>
    <w:rsid w:val="0E975107"/>
    <w:rsid w:val="0EA440C9"/>
    <w:rsid w:val="0EF91F65"/>
    <w:rsid w:val="0EFE3062"/>
    <w:rsid w:val="0F1A576B"/>
    <w:rsid w:val="0F1F49A8"/>
    <w:rsid w:val="0F447CCB"/>
    <w:rsid w:val="0FDB0212"/>
    <w:rsid w:val="0FE514CF"/>
    <w:rsid w:val="10364E66"/>
    <w:rsid w:val="10DF751E"/>
    <w:rsid w:val="10FB55BA"/>
    <w:rsid w:val="112F3738"/>
    <w:rsid w:val="117C5DA3"/>
    <w:rsid w:val="11886AA1"/>
    <w:rsid w:val="11C511A2"/>
    <w:rsid w:val="11DD70FE"/>
    <w:rsid w:val="1209133E"/>
    <w:rsid w:val="12454FAC"/>
    <w:rsid w:val="129E624A"/>
    <w:rsid w:val="12A1421D"/>
    <w:rsid w:val="12CC0E80"/>
    <w:rsid w:val="12E56901"/>
    <w:rsid w:val="12EB2E5D"/>
    <w:rsid w:val="12EC31C7"/>
    <w:rsid w:val="133F7082"/>
    <w:rsid w:val="137E2056"/>
    <w:rsid w:val="13B4050B"/>
    <w:rsid w:val="13B97B67"/>
    <w:rsid w:val="13CC5E04"/>
    <w:rsid w:val="13E926AC"/>
    <w:rsid w:val="14022DF2"/>
    <w:rsid w:val="146A117E"/>
    <w:rsid w:val="14705291"/>
    <w:rsid w:val="155700B8"/>
    <w:rsid w:val="15832F33"/>
    <w:rsid w:val="15EB1923"/>
    <w:rsid w:val="1610097D"/>
    <w:rsid w:val="164C6E06"/>
    <w:rsid w:val="16823669"/>
    <w:rsid w:val="16A16087"/>
    <w:rsid w:val="170A6806"/>
    <w:rsid w:val="176A17E1"/>
    <w:rsid w:val="1771425D"/>
    <w:rsid w:val="17B97963"/>
    <w:rsid w:val="181F1FD8"/>
    <w:rsid w:val="183E1A7A"/>
    <w:rsid w:val="187B2C5D"/>
    <w:rsid w:val="18BF30A0"/>
    <w:rsid w:val="19221FF4"/>
    <w:rsid w:val="194C0B42"/>
    <w:rsid w:val="19522150"/>
    <w:rsid w:val="198F14E2"/>
    <w:rsid w:val="19912E70"/>
    <w:rsid w:val="199803F7"/>
    <w:rsid w:val="19E82D7E"/>
    <w:rsid w:val="1A275826"/>
    <w:rsid w:val="1A705464"/>
    <w:rsid w:val="1A7354FA"/>
    <w:rsid w:val="1A9B4DB4"/>
    <w:rsid w:val="1AD823AB"/>
    <w:rsid w:val="1AE6408C"/>
    <w:rsid w:val="1B232EB7"/>
    <w:rsid w:val="1B2B3B8B"/>
    <w:rsid w:val="1B436109"/>
    <w:rsid w:val="1BD41215"/>
    <w:rsid w:val="1BE41163"/>
    <w:rsid w:val="1BE76417"/>
    <w:rsid w:val="1C4F3EF2"/>
    <w:rsid w:val="1C526E63"/>
    <w:rsid w:val="1C780C32"/>
    <w:rsid w:val="1C7E53B0"/>
    <w:rsid w:val="1CB92F6D"/>
    <w:rsid w:val="1CD5544F"/>
    <w:rsid w:val="1CDE6D45"/>
    <w:rsid w:val="1CE47379"/>
    <w:rsid w:val="1CED04C1"/>
    <w:rsid w:val="1D242645"/>
    <w:rsid w:val="1DD309F6"/>
    <w:rsid w:val="1EA74758"/>
    <w:rsid w:val="1EC627DC"/>
    <w:rsid w:val="1F02234E"/>
    <w:rsid w:val="1F5321FA"/>
    <w:rsid w:val="1F5C63A2"/>
    <w:rsid w:val="1FD63AFA"/>
    <w:rsid w:val="1FDA5C9C"/>
    <w:rsid w:val="20601615"/>
    <w:rsid w:val="2092747E"/>
    <w:rsid w:val="21071B16"/>
    <w:rsid w:val="21512557"/>
    <w:rsid w:val="215F6ADB"/>
    <w:rsid w:val="21863BBA"/>
    <w:rsid w:val="219701D7"/>
    <w:rsid w:val="22373B55"/>
    <w:rsid w:val="22556A7B"/>
    <w:rsid w:val="225E3C75"/>
    <w:rsid w:val="2283065B"/>
    <w:rsid w:val="228703B1"/>
    <w:rsid w:val="22E36701"/>
    <w:rsid w:val="23026329"/>
    <w:rsid w:val="23552BE2"/>
    <w:rsid w:val="23DA7EA9"/>
    <w:rsid w:val="240525BF"/>
    <w:rsid w:val="2411056F"/>
    <w:rsid w:val="249616D3"/>
    <w:rsid w:val="253952F2"/>
    <w:rsid w:val="253E3DC0"/>
    <w:rsid w:val="2558604F"/>
    <w:rsid w:val="257A1A27"/>
    <w:rsid w:val="258D2006"/>
    <w:rsid w:val="25C31E91"/>
    <w:rsid w:val="25F402AE"/>
    <w:rsid w:val="263262F4"/>
    <w:rsid w:val="26636074"/>
    <w:rsid w:val="266970D5"/>
    <w:rsid w:val="26943754"/>
    <w:rsid w:val="26B12514"/>
    <w:rsid w:val="26B85024"/>
    <w:rsid w:val="26BF0815"/>
    <w:rsid w:val="26CD708E"/>
    <w:rsid w:val="26E51166"/>
    <w:rsid w:val="27140AAA"/>
    <w:rsid w:val="2715414D"/>
    <w:rsid w:val="27204B05"/>
    <w:rsid w:val="272E17A3"/>
    <w:rsid w:val="27382CC6"/>
    <w:rsid w:val="273B717A"/>
    <w:rsid w:val="273D4618"/>
    <w:rsid w:val="27450EF0"/>
    <w:rsid w:val="276E2282"/>
    <w:rsid w:val="27B63A4A"/>
    <w:rsid w:val="27C4240C"/>
    <w:rsid w:val="27DC43CC"/>
    <w:rsid w:val="27F167B2"/>
    <w:rsid w:val="281F4BBF"/>
    <w:rsid w:val="28EA237B"/>
    <w:rsid w:val="28EB039E"/>
    <w:rsid w:val="291124EF"/>
    <w:rsid w:val="295020D6"/>
    <w:rsid w:val="297827A9"/>
    <w:rsid w:val="29981ADD"/>
    <w:rsid w:val="29D03AF2"/>
    <w:rsid w:val="29EE6BF2"/>
    <w:rsid w:val="2A277B14"/>
    <w:rsid w:val="2A5502F5"/>
    <w:rsid w:val="2A6924CD"/>
    <w:rsid w:val="2AE9200D"/>
    <w:rsid w:val="2B323898"/>
    <w:rsid w:val="2BCA28AF"/>
    <w:rsid w:val="2C0C1C85"/>
    <w:rsid w:val="2C307F75"/>
    <w:rsid w:val="2C3945E0"/>
    <w:rsid w:val="2CCC2856"/>
    <w:rsid w:val="2D080128"/>
    <w:rsid w:val="2D8A5707"/>
    <w:rsid w:val="2E0D1E1A"/>
    <w:rsid w:val="2EBD0CC9"/>
    <w:rsid w:val="2EC52FE2"/>
    <w:rsid w:val="2EF37F93"/>
    <w:rsid w:val="2F145189"/>
    <w:rsid w:val="2F4A7349"/>
    <w:rsid w:val="2F764E72"/>
    <w:rsid w:val="2F9C3944"/>
    <w:rsid w:val="2FAC7352"/>
    <w:rsid w:val="2FBC4F7A"/>
    <w:rsid w:val="30211196"/>
    <w:rsid w:val="30590A67"/>
    <w:rsid w:val="308846BE"/>
    <w:rsid w:val="30D36C36"/>
    <w:rsid w:val="30FD24C5"/>
    <w:rsid w:val="31C66585"/>
    <w:rsid w:val="31CD2FDC"/>
    <w:rsid w:val="31FF293E"/>
    <w:rsid w:val="32504F44"/>
    <w:rsid w:val="32526865"/>
    <w:rsid w:val="326C1C78"/>
    <w:rsid w:val="32BA550B"/>
    <w:rsid w:val="32C5190B"/>
    <w:rsid w:val="32D96AA7"/>
    <w:rsid w:val="33543929"/>
    <w:rsid w:val="33863A2B"/>
    <w:rsid w:val="338D1086"/>
    <w:rsid w:val="33923CE7"/>
    <w:rsid w:val="33BC765A"/>
    <w:rsid w:val="33F1615D"/>
    <w:rsid w:val="34000E78"/>
    <w:rsid w:val="343B796A"/>
    <w:rsid w:val="34701E3B"/>
    <w:rsid w:val="347D5F11"/>
    <w:rsid w:val="34896EC7"/>
    <w:rsid w:val="34C64895"/>
    <w:rsid w:val="34E84D09"/>
    <w:rsid w:val="34ED36D7"/>
    <w:rsid w:val="3516261C"/>
    <w:rsid w:val="358774B9"/>
    <w:rsid w:val="35933E6E"/>
    <w:rsid w:val="35D21BB1"/>
    <w:rsid w:val="361E7C85"/>
    <w:rsid w:val="362F09EC"/>
    <w:rsid w:val="367C13FD"/>
    <w:rsid w:val="36AA6393"/>
    <w:rsid w:val="36CD0D2A"/>
    <w:rsid w:val="36F915A3"/>
    <w:rsid w:val="3714169E"/>
    <w:rsid w:val="371E1DC0"/>
    <w:rsid w:val="37AF7A22"/>
    <w:rsid w:val="37B9732B"/>
    <w:rsid w:val="37C00B24"/>
    <w:rsid w:val="3802616D"/>
    <w:rsid w:val="38124B25"/>
    <w:rsid w:val="38185C99"/>
    <w:rsid w:val="384C4243"/>
    <w:rsid w:val="384D374B"/>
    <w:rsid w:val="385133CB"/>
    <w:rsid w:val="3882047C"/>
    <w:rsid w:val="388F130C"/>
    <w:rsid w:val="390E1E6D"/>
    <w:rsid w:val="39105A15"/>
    <w:rsid w:val="394B43B3"/>
    <w:rsid w:val="396A3174"/>
    <w:rsid w:val="39BE37F1"/>
    <w:rsid w:val="39DB3FD3"/>
    <w:rsid w:val="3A4A7786"/>
    <w:rsid w:val="3A4C6F6C"/>
    <w:rsid w:val="3A5507E5"/>
    <w:rsid w:val="3B297800"/>
    <w:rsid w:val="3B890A2E"/>
    <w:rsid w:val="3BA026F9"/>
    <w:rsid w:val="3BDB05DB"/>
    <w:rsid w:val="3BFC769F"/>
    <w:rsid w:val="3C110FF9"/>
    <w:rsid w:val="3C1D49A2"/>
    <w:rsid w:val="3C8E2F9C"/>
    <w:rsid w:val="3C8F327B"/>
    <w:rsid w:val="3C987B28"/>
    <w:rsid w:val="3D2116D0"/>
    <w:rsid w:val="3E253C3C"/>
    <w:rsid w:val="3E3A5EE0"/>
    <w:rsid w:val="3E695BDD"/>
    <w:rsid w:val="3EB30CF0"/>
    <w:rsid w:val="3EC64358"/>
    <w:rsid w:val="3ED71D4F"/>
    <w:rsid w:val="3EDF392A"/>
    <w:rsid w:val="3F0F1F93"/>
    <w:rsid w:val="3F205830"/>
    <w:rsid w:val="3FFE7480"/>
    <w:rsid w:val="406C4CAE"/>
    <w:rsid w:val="40751713"/>
    <w:rsid w:val="407D66A2"/>
    <w:rsid w:val="410F5465"/>
    <w:rsid w:val="41506A9D"/>
    <w:rsid w:val="418E3CEF"/>
    <w:rsid w:val="419C2906"/>
    <w:rsid w:val="41A61FE4"/>
    <w:rsid w:val="42900A9D"/>
    <w:rsid w:val="42E20046"/>
    <w:rsid w:val="43493F87"/>
    <w:rsid w:val="435666FE"/>
    <w:rsid w:val="43843E8E"/>
    <w:rsid w:val="439F23C0"/>
    <w:rsid w:val="43E9687E"/>
    <w:rsid w:val="43FB5A53"/>
    <w:rsid w:val="43FD6E3E"/>
    <w:rsid w:val="44E569F1"/>
    <w:rsid w:val="44F26EBA"/>
    <w:rsid w:val="454067E1"/>
    <w:rsid w:val="45F9762B"/>
    <w:rsid w:val="46AC7471"/>
    <w:rsid w:val="46AD7101"/>
    <w:rsid w:val="46C1434F"/>
    <w:rsid w:val="46C24277"/>
    <w:rsid w:val="47290923"/>
    <w:rsid w:val="47366799"/>
    <w:rsid w:val="47D96B9D"/>
    <w:rsid w:val="47E17E47"/>
    <w:rsid w:val="480E5C4C"/>
    <w:rsid w:val="48121D18"/>
    <w:rsid w:val="486E1227"/>
    <w:rsid w:val="48C65B57"/>
    <w:rsid w:val="495664DC"/>
    <w:rsid w:val="495B6AFB"/>
    <w:rsid w:val="496A0F38"/>
    <w:rsid w:val="49867EEA"/>
    <w:rsid w:val="49AA1054"/>
    <w:rsid w:val="49C26A8B"/>
    <w:rsid w:val="49CD2048"/>
    <w:rsid w:val="49DB1DF5"/>
    <w:rsid w:val="49F77B6F"/>
    <w:rsid w:val="4A9554E5"/>
    <w:rsid w:val="4B5535DE"/>
    <w:rsid w:val="4B867766"/>
    <w:rsid w:val="4BEB6976"/>
    <w:rsid w:val="4C746CDA"/>
    <w:rsid w:val="4C8402A7"/>
    <w:rsid w:val="4CEE0926"/>
    <w:rsid w:val="4D9A248A"/>
    <w:rsid w:val="4D9E498D"/>
    <w:rsid w:val="4DA15ECB"/>
    <w:rsid w:val="4DC96046"/>
    <w:rsid w:val="4E5A54CD"/>
    <w:rsid w:val="4E6B7653"/>
    <w:rsid w:val="4E782E54"/>
    <w:rsid w:val="4E8D2208"/>
    <w:rsid w:val="4EA30CB9"/>
    <w:rsid w:val="4ED33D92"/>
    <w:rsid w:val="4ED96469"/>
    <w:rsid w:val="4F1F2086"/>
    <w:rsid w:val="4F5C2A10"/>
    <w:rsid w:val="4F64798B"/>
    <w:rsid w:val="4F6C58E7"/>
    <w:rsid w:val="502E4DFD"/>
    <w:rsid w:val="5039369F"/>
    <w:rsid w:val="50463BBC"/>
    <w:rsid w:val="50747F65"/>
    <w:rsid w:val="50AB69EE"/>
    <w:rsid w:val="51620B7D"/>
    <w:rsid w:val="51B53247"/>
    <w:rsid w:val="520E268F"/>
    <w:rsid w:val="526C38EF"/>
    <w:rsid w:val="530E2F32"/>
    <w:rsid w:val="53121C13"/>
    <w:rsid w:val="5354676C"/>
    <w:rsid w:val="53775871"/>
    <w:rsid w:val="538A080D"/>
    <w:rsid w:val="539B019B"/>
    <w:rsid w:val="53E812F2"/>
    <w:rsid w:val="54CF7BB9"/>
    <w:rsid w:val="54F35CD3"/>
    <w:rsid w:val="54FD6D12"/>
    <w:rsid w:val="550B0B20"/>
    <w:rsid w:val="552B480D"/>
    <w:rsid w:val="55390544"/>
    <w:rsid w:val="557411D2"/>
    <w:rsid w:val="557818B2"/>
    <w:rsid w:val="560F1CEA"/>
    <w:rsid w:val="575027DC"/>
    <w:rsid w:val="5758030A"/>
    <w:rsid w:val="575B2341"/>
    <w:rsid w:val="57964A00"/>
    <w:rsid w:val="579B6FBC"/>
    <w:rsid w:val="57BE3067"/>
    <w:rsid w:val="57D22422"/>
    <w:rsid w:val="57E50B81"/>
    <w:rsid w:val="580F0A1F"/>
    <w:rsid w:val="58B312BE"/>
    <w:rsid w:val="58E26DC8"/>
    <w:rsid w:val="58ED173C"/>
    <w:rsid w:val="595619CE"/>
    <w:rsid w:val="59832433"/>
    <w:rsid w:val="59A74D29"/>
    <w:rsid w:val="59D4589F"/>
    <w:rsid w:val="5A2749BC"/>
    <w:rsid w:val="5A7A0521"/>
    <w:rsid w:val="5A876021"/>
    <w:rsid w:val="5ACD3E41"/>
    <w:rsid w:val="5AEB3114"/>
    <w:rsid w:val="5B2D331C"/>
    <w:rsid w:val="5BCE555E"/>
    <w:rsid w:val="5C221C44"/>
    <w:rsid w:val="5CCB435D"/>
    <w:rsid w:val="5D196650"/>
    <w:rsid w:val="5D3459E4"/>
    <w:rsid w:val="5D3D74AA"/>
    <w:rsid w:val="5D78701A"/>
    <w:rsid w:val="5DCE2BCA"/>
    <w:rsid w:val="5DF81B31"/>
    <w:rsid w:val="5DFC2263"/>
    <w:rsid w:val="5E062DF0"/>
    <w:rsid w:val="5E17370D"/>
    <w:rsid w:val="5E4B28A8"/>
    <w:rsid w:val="5E5F1C3E"/>
    <w:rsid w:val="5EC924FD"/>
    <w:rsid w:val="5EDA00C6"/>
    <w:rsid w:val="5EDB688B"/>
    <w:rsid w:val="5F30159D"/>
    <w:rsid w:val="5F3F533C"/>
    <w:rsid w:val="5F6A57C3"/>
    <w:rsid w:val="601609A2"/>
    <w:rsid w:val="602B0069"/>
    <w:rsid w:val="60435F33"/>
    <w:rsid w:val="607B081F"/>
    <w:rsid w:val="607E3EC9"/>
    <w:rsid w:val="60892AF4"/>
    <w:rsid w:val="60D15275"/>
    <w:rsid w:val="60D66C62"/>
    <w:rsid w:val="60E52C63"/>
    <w:rsid w:val="61007725"/>
    <w:rsid w:val="610F6E17"/>
    <w:rsid w:val="611272EB"/>
    <w:rsid w:val="61392697"/>
    <w:rsid w:val="61474FBB"/>
    <w:rsid w:val="61752CC0"/>
    <w:rsid w:val="617E3C40"/>
    <w:rsid w:val="617E417E"/>
    <w:rsid w:val="61BD0458"/>
    <w:rsid w:val="61C051BD"/>
    <w:rsid w:val="61C85139"/>
    <w:rsid w:val="61F71A81"/>
    <w:rsid w:val="620441CE"/>
    <w:rsid w:val="62656784"/>
    <w:rsid w:val="62AD4DC7"/>
    <w:rsid w:val="62CF20E1"/>
    <w:rsid w:val="62D10ADA"/>
    <w:rsid w:val="62D1113C"/>
    <w:rsid w:val="62E33570"/>
    <w:rsid w:val="62F1679E"/>
    <w:rsid w:val="631C27AA"/>
    <w:rsid w:val="6332410D"/>
    <w:rsid w:val="634D0949"/>
    <w:rsid w:val="63B50C23"/>
    <w:rsid w:val="64042BD6"/>
    <w:rsid w:val="641609C6"/>
    <w:rsid w:val="645260B0"/>
    <w:rsid w:val="645924D9"/>
    <w:rsid w:val="64A25CBC"/>
    <w:rsid w:val="64A52805"/>
    <w:rsid w:val="64DF7A6E"/>
    <w:rsid w:val="650F0E70"/>
    <w:rsid w:val="65104810"/>
    <w:rsid w:val="654B29E3"/>
    <w:rsid w:val="6583187E"/>
    <w:rsid w:val="65A208CA"/>
    <w:rsid w:val="65F935CD"/>
    <w:rsid w:val="660C7559"/>
    <w:rsid w:val="662C2BFB"/>
    <w:rsid w:val="663775B5"/>
    <w:rsid w:val="66480995"/>
    <w:rsid w:val="6664148B"/>
    <w:rsid w:val="66794F75"/>
    <w:rsid w:val="66BE5F25"/>
    <w:rsid w:val="66E13841"/>
    <w:rsid w:val="671A4144"/>
    <w:rsid w:val="67483FD4"/>
    <w:rsid w:val="6748672F"/>
    <w:rsid w:val="6773739C"/>
    <w:rsid w:val="67821142"/>
    <w:rsid w:val="67EB5613"/>
    <w:rsid w:val="68634D6C"/>
    <w:rsid w:val="68956745"/>
    <w:rsid w:val="68FB5197"/>
    <w:rsid w:val="69782DED"/>
    <w:rsid w:val="69806CF3"/>
    <w:rsid w:val="69F17884"/>
    <w:rsid w:val="6A3608E6"/>
    <w:rsid w:val="6A4B6137"/>
    <w:rsid w:val="6A4D37A6"/>
    <w:rsid w:val="6AA44514"/>
    <w:rsid w:val="6B024A3E"/>
    <w:rsid w:val="6B263E67"/>
    <w:rsid w:val="6B6F5982"/>
    <w:rsid w:val="6B832E28"/>
    <w:rsid w:val="6BBD1960"/>
    <w:rsid w:val="6BDB5C89"/>
    <w:rsid w:val="6C030E8C"/>
    <w:rsid w:val="6C0F2A72"/>
    <w:rsid w:val="6C386636"/>
    <w:rsid w:val="6C4C3D20"/>
    <w:rsid w:val="6C552893"/>
    <w:rsid w:val="6C5838BC"/>
    <w:rsid w:val="6C7264E4"/>
    <w:rsid w:val="6CA0152C"/>
    <w:rsid w:val="6D035ECD"/>
    <w:rsid w:val="6D7427D8"/>
    <w:rsid w:val="6D770515"/>
    <w:rsid w:val="6D7A6875"/>
    <w:rsid w:val="6DF73906"/>
    <w:rsid w:val="6E0477A7"/>
    <w:rsid w:val="6E226E2A"/>
    <w:rsid w:val="6E7B3E9C"/>
    <w:rsid w:val="6EB30D13"/>
    <w:rsid w:val="6EB33F51"/>
    <w:rsid w:val="6EDB45A1"/>
    <w:rsid w:val="6F211E30"/>
    <w:rsid w:val="6F261011"/>
    <w:rsid w:val="6F6F67E8"/>
    <w:rsid w:val="6F7E3C2D"/>
    <w:rsid w:val="6F8A7611"/>
    <w:rsid w:val="6F98447D"/>
    <w:rsid w:val="70482881"/>
    <w:rsid w:val="70797A45"/>
    <w:rsid w:val="709B0022"/>
    <w:rsid w:val="70B17610"/>
    <w:rsid w:val="70D962EC"/>
    <w:rsid w:val="713127D7"/>
    <w:rsid w:val="717802CA"/>
    <w:rsid w:val="71DE3DC1"/>
    <w:rsid w:val="721C6DAC"/>
    <w:rsid w:val="722C351D"/>
    <w:rsid w:val="72477F9C"/>
    <w:rsid w:val="724E0C1E"/>
    <w:rsid w:val="7258606F"/>
    <w:rsid w:val="72654B41"/>
    <w:rsid w:val="728541CC"/>
    <w:rsid w:val="72D5387B"/>
    <w:rsid w:val="72EE4C8B"/>
    <w:rsid w:val="737C3BB2"/>
    <w:rsid w:val="74172EA7"/>
    <w:rsid w:val="746633C8"/>
    <w:rsid w:val="74D27F41"/>
    <w:rsid w:val="74EE2DD9"/>
    <w:rsid w:val="74F64344"/>
    <w:rsid w:val="754A6830"/>
    <w:rsid w:val="754A6968"/>
    <w:rsid w:val="75D538C7"/>
    <w:rsid w:val="75E07160"/>
    <w:rsid w:val="760262DF"/>
    <w:rsid w:val="76624822"/>
    <w:rsid w:val="76634CB6"/>
    <w:rsid w:val="76743B7C"/>
    <w:rsid w:val="7683167A"/>
    <w:rsid w:val="769107C4"/>
    <w:rsid w:val="76BA3C1B"/>
    <w:rsid w:val="7759793F"/>
    <w:rsid w:val="775F5DC5"/>
    <w:rsid w:val="778351F6"/>
    <w:rsid w:val="78550E5B"/>
    <w:rsid w:val="78706A74"/>
    <w:rsid w:val="78C8418D"/>
    <w:rsid w:val="79711051"/>
    <w:rsid w:val="79D76E02"/>
    <w:rsid w:val="7A091FEB"/>
    <w:rsid w:val="7A1241D5"/>
    <w:rsid w:val="7A440815"/>
    <w:rsid w:val="7A5062B2"/>
    <w:rsid w:val="7A5F2AC2"/>
    <w:rsid w:val="7A912292"/>
    <w:rsid w:val="7AA70853"/>
    <w:rsid w:val="7AAC73B1"/>
    <w:rsid w:val="7ACF6772"/>
    <w:rsid w:val="7B235D56"/>
    <w:rsid w:val="7B361EF8"/>
    <w:rsid w:val="7B8D2BDE"/>
    <w:rsid w:val="7B8E6E1D"/>
    <w:rsid w:val="7BD36A63"/>
    <w:rsid w:val="7C2E2529"/>
    <w:rsid w:val="7C3E3E4A"/>
    <w:rsid w:val="7CA52FEC"/>
    <w:rsid w:val="7D0E14BD"/>
    <w:rsid w:val="7D291BFA"/>
    <w:rsid w:val="7D445C41"/>
    <w:rsid w:val="7E3C5CE4"/>
    <w:rsid w:val="7E6717CA"/>
    <w:rsid w:val="7E823D5D"/>
    <w:rsid w:val="7E8A0750"/>
    <w:rsid w:val="7E8E13DB"/>
    <w:rsid w:val="7EA634CF"/>
    <w:rsid w:val="7F16162D"/>
    <w:rsid w:val="7F1A4175"/>
    <w:rsid w:val="7F6C1E98"/>
    <w:rsid w:val="7F817FAC"/>
    <w:rsid w:val="7FB10E5E"/>
    <w:rsid w:val="7FB57707"/>
    <w:rsid w:val="7FC95AC7"/>
    <w:rsid w:val="7FFB4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36"/>
    <w:qFormat/>
    <w:uiPriority w:val="0"/>
    <w:pPr>
      <w:spacing w:line="560" w:lineRule="exact"/>
      <w:jc w:val="center"/>
      <w:outlineLvl w:val="0"/>
    </w:pPr>
    <w:rPr>
      <w:rFonts w:eastAsia="宋体"/>
      <w:b/>
      <w:bCs/>
      <w:kern w:val="44"/>
      <w:sz w:val="36"/>
      <w:szCs w:val="36"/>
    </w:rPr>
  </w:style>
  <w:style w:type="paragraph" w:styleId="3">
    <w:name w:val="heading 2"/>
    <w:basedOn w:val="1"/>
    <w:next w:val="1"/>
    <w:link w:val="39"/>
    <w:qFormat/>
    <w:uiPriority w:val="0"/>
    <w:pPr>
      <w:adjustRightInd w:val="0"/>
      <w:spacing w:line="560" w:lineRule="exact"/>
      <w:jc w:val="center"/>
      <w:outlineLvl w:val="1"/>
    </w:pPr>
    <w:rPr>
      <w:rFonts w:eastAsia="黑体"/>
      <w:b/>
      <w:bCs/>
      <w:sz w:val="36"/>
      <w:szCs w:val="36"/>
    </w:rPr>
  </w:style>
  <w:style w:type="paragraph" w:styleId="4">
    <w:name w:val="heading 3"/>
    <w:basedOn w:val="1"/>
    <w:next w:val="1"/>
    <w:link w:val="30"/>
    <w:qFormat/>
    <w:uiPriority w:val="0"/>
    <w:pPr>
      <w:ind w:firstLine="629"/>
      <w:outlineLvl w:val="2"/>
    </w:pPr>
    <w:rPr>
      <w:rFonts w:eastAsia="黑体"/>
      <w:bCs/>
    </w:rPr>
  </w:style>
  <w:style w:type="paragraph" w:styleId="5">
    <w:name w:val="heading 4"/>
    <w:basedOn w:val="1"/>
    <w:next w:val="1"/>
    <w:link w:val="38"/>
    <w:qFormat/>
    <w:uiPriority w:val="0"/>
    <w:pPr>
      <w:ind w:firstLine="629"/>
      <w:outlineLvl w:val="3"/>
    </w:pPr>
    <w:rPr>
      <w:rFonts w:eastAsia="楷体_GB2312"/>
      <w:bCs/>
    </w:rPr>
  </w:style>
  <w:style w:type="paragraph" w:styleId="6">
    <w:name w:val="heading 5"/>
    <w:basedOn w:val="1"/>
    <w:next w:val="1"/>
    <w:link w:val="31"/>
    <w:qFormat/>
    <w:uiPriority w:val="0"/>
    <w:pPr>
      <w:jc w:val="center"/>
      <w:outlineLvl w:val="4"/>
    </w:pPr>
    <w:rPr>
      <w:rFonts w:eastAsia="楷体_GB2312"/>
      <w:bCs/>
      <w:szCs w:val="28"/>
    </w:rPr>
  </w:style>
  <w:style w:type="paragraph" w:styleId="7">
    <w:name w:val="heading 6"/>
    <w:basedOn w:val="1"/>
    <w:next w:val="1"/>
    <w:link w:val="44"/>
    <w:qFormat/>
    <w:uiPriority w:val="0"/>
    <w:pPr>
      <w:spacing w:before="120" w:line="440" w:lineRule="exact"/>
      <w:jc w:val="center"/>
      <w:outlineLvl w:val="5"/>
    </w:pPr>
    <w:rPr>
      <w:rFonts w:eastAsia="楷体_GB2312"/>
      <w:bCs/>
      <w:sz w:val="28"/>
      <w:szCs w:val="28"/>
    </w:rPr>
  </w:style>
  <w:style w:type="paragraph" w:styleId="8">
    <w:name w:val="heading 7"/>
    <w:basedOn w:val="1"/>
    <w:next w:val="1"/>
    <w:link w:val="28"/>
    <w:qFormat/>
    <w:uiPriority w:val="0"/>
    <w:pPr>
      <w:ind w:right="1361"/>
      <w:jc w:val="right"/>
      <w:outlineLvl w:val="6"/>
    </w:pPr>
    <w:rPr>
      <w:bCs/>
    </w:rPr>
  </w:style>
  <w:style w:type="paragraph" w:styleId="9">
    <w:name w:val="heading 8"/>
    <w:basedOn w:val="1"/>
    <w:next w:val="1"/>
    <w:link w:val="40"/>
    <w:qFormat/>
    <w:uiPriority w:val="0"/>
    <w:pPr>
      <w:spacing w:line="360" w:lineRule="exact"/>
      <w:outlineLvl w:val="7"/>
    </w:pPr>
    <w:rPr>
      <w:rFonts w:eastAsia="方正大标宋简体"/>
      <w:sz w:val="30"/>
    </w:rPr>
  </w:style>
  <w:style w:type="paragraph" w:styleId="10">
    <w:name w:val="heading 9"/>
    <w:basedOn w:val="1"/>
    <w:next w:val="1"/>
    <w:link w:val="41"/>
    <w:qFormat/>
    <w:uiPriority w:val="0"/>
    <w:pPr>
      <w:keepNext/>
      <w:keepLines/>
      <w:outlineLvl w:val="8"/>
    </w:pPr>
    <w:rPr>
      <w:rFonts w:eastAsia="黑体"/>
      <w:szCs w:val="21"/>
    </w:rPr>
  </w:style>
  <w:style w:type="character" w:default="1" w:styleId="21">
    <w:name w:val="Default Paragraph Font"/>
    <w:semiHidden/>
    <w:unhideWhenUsed/>
    <w:qFormat/>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
    <w:next w:val="12"/>
    <w:link w:val="33"/>
    <w:semiHidden/>
    <w:qFormat/>
    <w:uiPriority w:val="0"/>
    <w:rPr>
      <w:rFonts w:eastAsia="宋体"/>
      <w:b/>
      <w:bCs/>
      <w:szCs w:val="32"/>
    </w:rPr>
  </w:style>
  <w:style w:type="paragraph" w:styleId="12">
    <w:name w:val="annotation text"/>
    <w:basedOn w:val="1"/>
    <w:qFormat/>
    <w:uiPriority w:val="0"/>
    <w:pPr>
      <w:jc w:val="left"/>
    </w:pPr>
  </w:style>
  <w:style w:type="paragraph" w:styleId="13">
    <w:name w:val="Body Text Indent"/>
    <w:basedOn w:val="1"/>
    <w:qFormat/>
    <w:uiPriority w:val="0"/>
    <w:pPr>
      <w:ind w:firstLine="640" w:firstLineChars="200"/>
    </w:pPr>
    <w:rPr>
      <w:rFonts w:ascii="黑体" w:eastAsia="黑体"/>
      <w:szCs w:val="32"/>
    </w:rPr>
  </w:style>
  <w:style w:type="paragraph" w:styleId="14">
    <w:name w:val="Plain Text"/>
    <w:basedOn w:val="1"/>
    <w:link w:val="29"/>
    <w:qFormat/>
    <w:uiPriority w:val="0"/>
    <w:rPr>
      <w:rFonts w:ascii="宋体" w:hAnsi="Courier New" w:eastAsia="宋体" w:cs="Courier New"/>
      <w:sz w:val="21"/>
      <w:szCs w:val="21"/>
    </w:rPr>
  </w:style>
  <w:style w:type="paragraph" w:styleId="15">
    <w:name w:val="Date"/>
    <w:basedOn w:val="1"/>
    <w:next w:val="1"/>
    <w:link w:val="34"/>
    <w:qFormat/>
    <w:uiPriority w:val="0"/>
  </w:style>
  <w:style w:type="paragraph" w:styleId="16">
    <w:name w:val="Balloon Text"/>
    <w:basedOn w:val="1"/>
    <w:link w:val="43"/>
    <w:semiHidden/>
    <w:qFormat/>
    <w:uiPriority w:val="0"/>
    <w:rPr>
      <w:sz w:val="18"/>
      <w:szCs w:val="18"/>
    </w:rPr>
  </w:style>
  <w:style w:type="paragraph" w:styleId="17">
    <w:name w:val="footer"/>
    <w:basedOn w:val="1"/>
    <w:link w:val="42"/>
    <w:qFormat/>
    <w:uiPriority w:val="99"/>
    <w:pPr>
      <w:tabs>
        <w:tab w:val="center" w:pos="4153"/>
        <w:tab w:val="right" w:pos="8306"/>
      </w:tabs>
      <w:snapToGrid w:val="0"/>
      <w:jc w:val="left"/>
    </w:pPr>
    <w:rPr>
      <w:sz w:val="18"/>
      <w:szCs w:val="18"/>
    </w:rPr>
  </w:style>
  <w:style w:type="paragraph" w:styleId="18">
    <w:name w:val="header"/>
    <w:basedOn w:val="1"/>
    <w:link w:val="32"/>
    <w:qFormat/>
    <w:uiPriority w:val="99"/>
    <w:pPr>
      <w:pBdr>
        <w:bottom w:val="single" w:color="auto" w:sz="6" w:space="1"/>
      </w:pBdr>
      <w:tabs>
        <w:tab w:val="center" w:pos="4153"/>
        <w:tab w:val="right" w:pos="8306"/>
      </w:tabs>
      <w:snapToGrid w:val="0"/>
      <w:jc w:val="center"/>
    </w:pPr>
    <w:rPr>
      <w:sz w:val="18"/>
      <w:szCs w:val="18"/>
    </w:rPr>
  </w:style>
  <w:style w:type="paragraph" w:styleId="19">
    <w:name w:val="Normal (Web)"/>
    <w:basedOn w:val="1"/>
    <w:qFormat/>
    <w:uiPriority w:val="0"/>
    <w:pPr>
      <w:widowControl/>
      <w:spacing w:before="100" w:beforeAutospacing="1" w:after="100" w:afterAutospacing="1" w:line="480" w:lineRule="auto"/>
      <w:jc w:val="left"/>
    </w:pPr>
    <w:rPr>
      <w:rFonts w:ascii="宋体" w:hAnsi="宋体" w:eastAsia="宋体" w:cs="宋体"/>
      <w:kern w:val="0"/>
      <w:sz w:val="24"/>
    </w:rPr>
  </w:style>
  <w:style w:type="paragraph" w:styleId="20">
    <w:name w:val="Title"/>
    <w:basedOn w:val="1"/>
    <w:link w:val="37"/>
    <w:qFormat/>
    <w:uiPriority w:val="0"/>
    <w:pPr>
      <w:spacing w:line="640" w:lineRule="exact"/>
      <w:jc w:val="center"/>
      <w:outlineLvl w:val="0"/>
    </w:pPr>
    <w:rPr>
      <w:rFonts w:eastAsia="方正大标宋简体"/>
      <w:bCs/>
      <w:w w:val="90"/>
      <w:sz w:val="44"/>
      <w:szCs w:val="44"/>
    </w:rPr>
  </w:style>
  <w:style w:type="character" w:styleId="22">
    <w:name w:val="Strong"/>
    <w:qFormat/>
    <w:uiPriority w:val="0"/>
    <w:rPr>
      <w:b/>
      <w:bCs/>
    </w:rPr>
  </w:style>
  <w:style w:type="character" w:styleId="23">
    <w:name w:val="page number"/>
    <w:qFormat/>
    <w:uiPriority w:val="0"/>
    <w:rPr>
      <w:rFonts w:ascii="Times New Roman" w:hAnsi="Times New Roman" w:eastAsia="仿宋_GB2312"/>
      <w:snapToGrid/>
      <w:spacing w:val="0"/>
      <w:w w:val="100"/>
      <w:kern w:val="28"/>
      <w:position w:val="0"/>
      <w:sz w:val="28"/>
    </w:rPr>
  </w:style>
  <w:style w:type="character" w:styleId="24">
    <w:name w:val="annotation reference"/>
    <w:semiHidden/>
    <w:qFormat/>
    <w:uiPriority w:val="0"/>
    <w:rPr>
      <w:sz w:val="21"/>
      <w:szCs w:val="21"/>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批注文字 Char"/>
    <w:semiHidden/>
    <w:qFormat/>
    <w:locked/>
    <w:uiPriority w:val="0"/>
    <w:rPr>
      <w:rFonts w:cs="Times New Roman"/>
    </w:rPr>
  </w:style>
  <w:style w:type="character" w:customStyle="1" w:styleId="28">
    <w:name w:val="标题 7 Char"/>
    <w:link w:val="8"/>
    <w:semiHidden/>
    <w:qFormat/>
    <w:uiPriority w:val="0"/>
    <w:rPr>
      <w:rFonts w:eastAsia="仿宋_GB2312"/>
      <w:bCs/>
      <w:kern w:val="2"/>
      <w:sz w:val="32"/>
      <w:szCs w:val="24"/>
      <w:lang w:val="en-US" w:eastAsia="zh-CN" w:bidi="ar-SA"/>
    </w:rPr>
  </w:style>
  <w:style w:type="character" w:customStyle="1" w:styleId="29">
    <w:name w:val="纯文本 Char"/>
    <w:link w:val="14"/>
    <w:qFormat/>
    <w:locked/>
    <w:uiPriority w:val="0"/>
    <w:rPr>
      <w:rFonts w:ascii="宋体" w:hAnsi="Courier New" w:eastAsia="宋体" w:cs="Courier New"/>
      <w:kern w:val="2"/>
      <w:sz w:val="21"/>
      <w:szCs w:val="21"/>
      <w:lang w:val="en-US" w:eastAsia="zh-CN" w:bidi="ar-SA"/>
    </w:rPr>
  </w:style>
  <w:style w:type="character" w:customStyle="1" w:styleId="30">
    <w:name w:val="标题 3 Char"/>
    <w:link w:val="4"/>
    <w:semiHidden/>
    <w:qFormat/>
    <w:uiPriority w:val="0"/>
    <w:rPr>
      <w:rFonts w:eastAsia="黑体"/>
      <w:bCs/>
      <w:kern w:val="2"/>
      <w:sz w:val="32"/>
      <w:szCs w:val="24"/>
      <w:lang w:val="en-US" w:eastAsia="zh-CN" w:bidi="ar-SA"/>
    </w:rPr>
  </w:style>
  <w:style w:type="character" w:customStyle="1" w:styleId="31">
    <w:name w:val="标题 5 Char"/>
    <w:link w:val="6"/>
    <w:semiHidden/>
    <w:qFormat/>
    <w:uiPriority w:val="0"/>
    <w:rPr>
      <w:rFonts w:eastAsia="楷体_GB2312"/>
      <w:bCs/>
      <w:kern w:val="2"/>
      <w:sz w:val="32"/>
      <w:szCs w:val="28"/>
      <w:lang w:val="en-US" w:eastAsia="zh-CN" w:bidi="ar-SA"/>
    </w:rPr>
  </w:style>
  <w:style w:type="character" w:customStyle="1" w:styleId="32">
    <w:name w:val="页眉 Char"/>
    <w:link w:val="18"/>
    <w:qFormat/>
    <w:uiPriority w:val="99"/>
    <w:rPr>
      <w:rFonts w:eastAsia="仿宋_GB2312"/>
      <w:kern w:val="2"/>
      <w:sz w:val="18"/>
      <w:szCs w:val="18"/>
    </w:rPr>
  </w:style>
  <w:style w:type="character" w:customStyle="1" w:styleId="33">
    <w:name w:val="批注主题 Char"/>
    <w:link w:val="11"/>
    <w:semiHidden/>
    <w:qFormat/>
    <w:locked/>
    <w:uiPriority w:val="0"/>
    <w:rPr>
      <w:rFonts w:eastAsia="宋体"/>
      <w:b/>
      <w:bCs/>
      <w:kern w:val="2"/>
      <w:sz w:val="32"/>
      <w:szCs w:val="32"/>
      <w:lang w:val="en-US" w:eastAsia="zh-CN" w:bidi="ar-SA"/>
    </w:rPr>
  </w:style>
  <w:style w:type="character" w:customStyle="1" w:styleId="34">
    <w:name w:val="日期 Char"/>
    <w:link w:val="15"/>
    <w:qFormat/>
    <w:locked/>
    <w:uiPriority w:val="0"/>
    <w:rPr>
      <w:rFonts w:eastAsia="仿宋_GB2312"/>
      <w:kern w:val="2"/>
      <w:sz w:val="32"/>
      <w:szCs w:val="24"/>
      <w:lang w:val="en-US" w:eastAsia="zh-CN" w:bidi="ar-SA"/>
    </w:rPr>
  </w:style>
  <w:style w:type="character" w:customStyle="1" w:styleId="35">
    <w:name w:val="Char Char"/>
    <w:semiHidden/>
    <w:qFormat/>
    <w:uiPriority w:val="0"/>
    <w:rPr>
      <w:kern w:val="2"/>
      <w:sz w:val="18"/>
      <w:szCs w:val="18"/>
    </w:rPr>
  </w:style>
  <w:style w:type="character" w:customStyle="1" w:styleId="36">
    <w:name w:val="标题 1 Char"/>
    <w:link w:val="2"/>
    <w:qFormat/>
    <w:uiPriority w:val="0"/>
    <w:rPr>
      <w:rFonts w:eastAsia="宋体"/>
      <w:b/>
      <w:bCs/>
      <w:kern w:val="44"/>
      <w:sz w:val="36"/>
      <w:szCs w:val="36"/>
      <w:lang w:val="en-US" w:eastAsia="zh-CN" w:bidi="ar-SA"/>
    </w:rPr>
  </w:style>
  <w:style w:type="character" w:customStyle="1" w:styleId="37">
    <w:name w:val="标题 Char"/>
    <w:link w:val="20"/>
    <w:qFormat/>
    <w:locked/>
    <w:uiPriority w:val="0"/>
    <w:rPr>
      <w:rFonts w:eastAsia="方正大标宋简体"/>
      <w:bCs/>
      <w:w w:val="90"/>
      <w:kern w:val="2"/>
      <w:sz w:val="44"/>
      <w:szCs w:val="44"/>
      <w:lang w:val="en-US" w:eastAsia="zh-CN" w:bidi="ar-SA"/>
    </w:rPr>
  </w:style>
  <w:style w:type="character" w:customStyle="1" w:styleId="38">
    <w:name w:val="标题 4 Char"/>
    <w:link w:val="5"/>
    <w:semiHidden/>
    <w:qFormat/>
    <w:uiPriority w:val="0"/>
    <w:rPr>
      <w:rFonts w:eastAsia="楷体_GB2312"/>
      <w:bCs/>
      <w:kern w:val="2"/>
      <w:sz w:val="32"/>
      <w:szCs w:val="24"/>
      <w:lang w:val="en-US" w:eastAsia="zh-CN" w:bidi="ar-SA"/>
    </w:rPr>
  </w:style>
  <w:style w:type="character" w:customStyle="1" w:styleId="39">
    <w:name w:val="标题 2 Char"/>
    <w:link w:val="3"/>
    <w:semiHidden/>
    <w:qFormat/>
    <w:uiPriority w:val="0"/>
    <w:rPr>
      <w:rFonts w:eastAsia="黑体"/>
      <w:b/>
      <w:bCs/>
      <w:kern w:val="2"/>
      <w:sz w:val="36"/>
      <w:szCs w:val="36"/>
      <w:lang w:val="en-US" w:eastAsia="zh-CN" w:bidi="ar-SA"/>
    </w:rPr>
  </w:style>
  <w:style w:type="character" w:customStyle="1" w:styleId="40">
    <w:name w:val="标题 8 Char"/>
    <w:link w:val="9"/>
    <w:semiHidden/>
    <w:qFormat/>
    <w:uiPriority w:val="0"/>
    <w:rPr>
      <w:rFonts w:eastAsia="方正大标宋简体"/>
      <w:kern w:val="2"/>
      <w:sz w:val="30"/>
      <w:szCs w:val="24"/>
      <w:lang w:val="en-US" w:eastAsia="zh-CN" w:bidi="ar-SA"/>
    </w:rPr>
  </w:style>
  <w:style w:type="character" w:customStyle="1" w:styleId="41">
    <w:name w:val="标题 9 Char"/>
    <w:link w:val="10"/>
    <w:semiHidden/>
    <w:qFormat/>
    <w:uiPriority w:val="0"/>
    <w:rPr>
      <w:rFonts w:eastAsia="黑体"/>
      <w:kern w:val="2"/>
      <w:sz w:val="32"/>
      <w:szCs w:val="21"/>
      <w:lang w:val="en-US" w:eastAsia="zh-CN" w:bidi="ar-SA"/>
    </w:rPr>
  </w:style>
  <w:style w:type="character" w:customStyle="1" w:styleId="42">
    <w:name w:val="页脚 Char"/>
    <w:link w:val="17"/>
    <w:qFormat/>
    <w:uiPriority w:val="99"/>
    <w:rPr>
      <w:rFonts w:eastAsia="仿宋_GB2312"/>
      <w:kern w:val="2"/>
      <w:sz w:val="18"/>
      <w:szCs w:val="18"/>
    </w:rPr>
  </w:style>
  <w:style w:type="character" w:customStyle="1" w:styleId="43">
    <w:name w:val="批注框文本 Char"/>
    <w:link w:val="16"/>
    <w:qFormat/>
    <w:locked/>
    <w:uiPriority w:val="0"/>
    <w:rPr>
      <w:rFonts w:eastAsia="仿宋_GB2312"/>
      <w:kern w:val="2"/>
      <w:sz w:val="18"/>
      <w:szCs w:val="18"/>
      <w:lang w:val="en-US" w:eastAsia="zh-CN" w:bidi="ar-SA"/>
    </w:rPr>
  </w:style>
  <w:style w:type="character" w:customStyle="1" w:styleId="44">
    <w:name w:val="标题 6 Char"/>
    <w:link w:val="7"/>
    <w:semiHidden/>
    <w:qFormat/>
    <w:uiPriority w:val="0"/>
    <w:rPr>
      <w:rFonts w:eastAsia="楷体_GB2312"/>
      <w:bCs/>
      <w:kern w:val="2"/>
      <w:sz w:val="28"/>
      <w:szCs w:val="28"/>
      <w:lang w:val="en-US" w:eastAsia="zh-CN" w:bidi="ar-SA"/>
    </w:rPr>
  </w:style>
  <w:style w:type="paragraph" w:customStyle="1" w:styleId="45">
    <w:name w:val="yiv1526748219msonormal"/>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46">
    <w:name w:val="reader-word-layer reader-word-s28-0"/>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47">
    <w:name w:val="修订1"/>
    <w:semiHidden/>
    <w:qFormat/>
    <w:uiPriority w:val="0"/>
    <w:rPr>
      <w:rFonts w:ascii="Times New Roman" w:hAnsi="Times New Roman" w:eastAsia="宋体" w:cs="Times New Roman"/>
      <w:kern w:val="2"/>
      <w:sz w:val="21"/>
      <w:szCs w:val="24"/>
      <w:lang w:val="en-US" w:eastAsia="zh-CN" w:bidi="ar-SA"/>
    </w:rPr>
  </w:style>
  <w:style w:type="paragraph" w:customStyle="1" w:styleId="48">
    <w:name w:val="修订2"/>
    <w:semiHidden/>
    <w:qFormat/>
    <w:uiPriority w:val="0"/>
    <w:rPr>
      <w:rFonts w:ascii="Times New Roman" w:hAnsi="Times New Roman" w:eastAsia="宋体" w:cs="Times New Roman"/>
      <w:kern w:val="2"/>
      <w:sz w:val="21"/>
      <w:szCs w:val="24"/>
      <w:lang w:val="en-US" w:eastAsia="zh-CN" w:bidi="ar-SA"/>
    </w:rPr>
  </w:style>
  <w:style w:type="paragraph" w:customStyle="1" w:styleId="49">
    <w:name w:val="msonormal msonormal"/>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50">
    <w:name w:val="p0"/>
    <w:basedOn w:val="1"/>
    <w:qFormat/>
    <w:uiPriority w:val="0"/>
    <w:pPr>
      <w:widowControl/>
    </w:pPr>
    <w:rPr>
      <w:rFonts w:eastAsia="宋体"/>
      <w:kern w:val="0"/>
      <w:sz w:val="21"/>
      <w:szCs w:val="21"/>
    </w:rPr>
  </w:style>
  <w:style w:type="paragraph" w:customStyle="1" w:styleId="51">
    <w:name w:val="Char Char Char Char"/>
    <w:basedOn w:val="1"/>
    <w:qFormat/>
    <w:uiPriority w:val="0"/>
    <w:rPr>
      <w:rFonts w:eastAsia="宋体"/>
      <w:sz w:val="21"/>
      <w:szCs w:val="20"/>
    </w:rPr>
  </w:style>
  <w:style w:type="paragraph" w:customStyle="1" w:styleId="52">
    <w:name w:val="Char"/>
    <w:basedOn w:val="1"/>
    <w:qFormat/>
    <w:uiPriority w:val="0"/>
    <w:rPr>
      <w:rFonts w:ascii="Tahoma" w:hAnsi="Tahoma" w:eastAsia="宋体"/>
      <w:sz w:val="24"/>
      <w:szCs w:val="20"/>
    </w:rPr>
  </w:style>
  <w:style w:type="paragraph" w:customStyle="1" w:styleId="53">
    <w:name w:val="样式1"/>
    <w:basedOn w:val="1"/>
    <w:qFormat/>
    <w:uiPriority w:val="0"/>
    <w:pPr>
      <w:spacing w:line="620" w:lineRule="exact"/>
      <w:outlineLvl w:val="0"/>
    </w:pPr>
    <w:rPr>
      <w:rFonts w:ascii="黑体" w:eastAsia="黑体"/>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08C566-07CE-4B79-B908-88306378974E}">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16</Pages>
  <Words>1186</Words>
  <Characters>6761</Characters>
  <Lines>56</Lines>
  <Paragraphs>15</Paragraphs>
  <TotalTime>3</TotalTime>
  <ScaleCrop>false</ScaleCrop>
  <LinksUpToDate>false</LinksUpToDate>
  <CharactersWithSpaces>7932</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2020-01-10T04:02:00Z</dcterms:created>
  <dc:creator>Lenovo User</dc:creator>
  <cp:lastModifiedBy>施东良</cp:lastModifiedBy>
  <cp:lastPrinted>2020-01-09T02:26:00Z</cp:lastPrinted>
  <dcterms:modified xsi:type="dcterms:W3CDTF">2020-07-10T08:12:59Z</dcterms:modified>
  <dc:title>陕司函〔2011〕162号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