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fonts/font7.odttf" ContentType="application/vnd.openxmlformats-officedocument.obfuscatedFont"/>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600" w:lineRule="exact"/>
        <w:jc w:val="center"/>
        <w:textAlignment w:val="auto"/>
        <w:rPr>
          <w:rFonts w:ascii="黑体" w:hAnsi="黑体" w:eastAsia="黑体" w:cs="方正小标宋_GBK"/>
          <w:color w:val="auto"/>
          <w:sz w:val="44"/>
          <w:szCs w:val="44"/>
        </w:rPr>
      </w:pPr>
      <w:bookmarkStart w:id="0" w:name="_GoBack"/>
      <w:bookmarkEnd w:id="0"/>
    </w:p>
    <w:p>
      <w:pPr>
        <w:keepNext w:val="0"/>
        <w:keepLines w:val="0"/>
        <w:pageBreakBefore w:val="0"/>
        <w:widowControl w:val="0"/>
        <w:kinsoku/>
        <w:wordWrap/>
        <w:overflowPunct/>
        <w:topLinePunct w:val="0"/>
        <w:autoSpaceDE/>
        <w:autoSpaceDN/>
        <w:bidi w:val="0"/>
        <w:spacing w:line="600" w:lineRule="exact"/>
        <w:jc w:val="center"/>
        <w:textAlignment w:val="auto"/>
        <w:rPr>
          <w:rFonts w:ascii="黑体" w:hAnsi="黑体" w:eastAsia="黑体" w:cs="方正小标宋_GBK"/>
          <w:color w:val="auto"/>
          <w:sz w:val="44"/>
          <w:szCs w:val="44"/>
        </w:rPr>
      </w:pPr>
    </w:p>
    <w:p>
      <w:pPr>
        <w:keepNext w:val="0"/>
        <w:keepLines w:val="0"/>
        <w:pageBreakBefore w:val="0"/>
        <w:widowControl w:val="0"/>
        <w:kinsoku/>
        <w:wordWrap/>
        <w:overflowPunct/>
        <w:topLinePunct w:val="0"/>
        <w:autoSpaceDE/>
        <w:autoSpaceDN/>
        <w:bidi w:val="0"/>
        <w:spacing w:line="600" w:lineRule="exact"/>
        <w:jc w:val="center"/>
        <w:textAlignment w:val="auto"/>
        <w:rPr>
          <w:rFonts w:hint="eastAsia" w:asciiTheme="majorEastAsia" w:hAnsiTheme="majorEastAsia" w:eastAsiaTheme="majorEastAsia" w:cstheme="majorEastAsia"/>
          <w:color w:val="auto"/>
          <w:sz w:val="44"/>
          <w:szCs w:val="44"/>
        </w:rPr>
      </w:pPr>
      <w:r>
        <w:rPr>
          <w:rFonts w:hint="eastAsia" w:asciiTheme="majorEastAsia" w:hAnsiTheme="majorEastAsia" w:eastAsiaTheme="majorEastAsia" w:cstheme="majorEastAsia"/>
          <w:color w:val="auto"/>
          <w:sz w:val="44"/>
          <w:szCs w:val="44"/>
        </w:rPr>
        <w:t>陕西省实施《中华人民共和国禁毒法》办法</w:t>
      </w:r>
    </w:p>
    <w:p>
      <w:pPr>
        <w:pStyle w:val="2"/>
        <w:rPr>
          <w:rFonts w:hint="eastAsia"/>
        </w:rPr>
      </w:pP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outlineLvl w:val="9"/>
        <w:rPr>
          <w:rFonts w:hint="eastAsia" w:ascii="楷体" w:hAnsi="楷体" w:eastAsia="楷体" w:cs="楷体"/>
          <w:color w:val="auto"/>
          <w:sz w:val="32"/>
          <w:szCs w:val="32"/>
        </w:rPr>
      </w:pPr>
      <w:r>
        <w:rPr>
          <w:rFonts w:hint="eastAsia" w:ascii="楷体" w:hAnsi="楷体" w:eastAsia="楷体" w:cs="楷体"/>
          <w:color w:val="auto"/>
          <w:sz w:val="32"/>
          <w:szCs w:val="32"/>
          <w:lang w:val="en-US" w:eastAsia="zh-CN"/>
        </w:rPr>
        <w:t>（2022年9月29日陕西省第十三届人民代表大会常务委员会第三十六次会议通过）</w:t>
      </w:r>
    </w:p>
    <w:p>
      <w:pPr>
        <w:keepNext w:val="0"/>
        <w:keepLines w:val="0"/>
        <w:pageBreakBefore w:val="0"/>
        <w:widowControl w:val="0"/>
        <w:kinsoku/>
        <w:wordWrap/>
        <w:overflowPunct/>
        <w:topLinePunct w:val="0"/>
        <w:autoSpaceDE/>
        <w:autoSpaceDN/>
        <w:bidi w:val="0"/>
        <w:spacing w:line="600" w:lineRule="exact"/>
        <w:ind w:firstLine="640" w:firstLineChars="200"/>
        <w:jc w:val="center"/>
        <w:textAlignment w:val="auto"/>
        <w:rPr>
          <w:rFonts w:ascii="仿宋" w:hAnsi="仿宋" w:eastAsia="仿宋" w:cs="仿宋"/>
          <w:color w:val="auto"/>
          <w:sz w:val="32"/>
          <w:szCs w:val="32"/>
        </w:rPr>
      </w:pPr>
    </w:p>
    <w:p>
      <w:pPr>
        <w:keepNext w:val="0"/>
        <w:keepLines w:val="0"/>
        <w:pageBreakBefore w:val="0"/>
        <w:widowControl w:val="0"/>
        <w:kinsoku/>
        <w:wordWrap/>
        <w:overflowPunct/>
        <w:topLinePunct w:val="0"/>
        <w:autoSpaceDE/>
        <w:autoSpaceDN/>
        <w:bidi w:val="0"/>
        <w:spacing w:line="600" w:lineRule="exact"/>
        <w:ind w:firstLine="640" w:firstLineChars="200"/>
        <w:jc w:val="center"/>
        <w:textAlignment w:val="auto"/>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rPr>
        <w:t>目</w:t>
      </w: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录</w:t>
      </w: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rPr>
        <w:t>第一章  总则</w:t>
      </w: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rPr>
        <w:t>第二章  禁毒宣传教育</w:t>
      </w: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rPr>
        <w:t>第三章  毒品和制毒物品管制</w:t>
      </w: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rPr>
        <w:t>第四章  戒毒措施</w:t>
      </w: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rPr>
        <w:t>第五章  法律责任</w:t>
      </w: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rPr>
        <w:t>第六章  附则</w:t>
      </w: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rFonts w:ascii="仿宋" w:hAnsi="仿宋" w:eastAsia="仿宋" w:cs="仿宋"/>
          <w:color w:val="auto"/>
          <w:sz w:val="32"/>
          <w:szCs w:val="32"/>
        </w:rPr>
      </w:pPr>
    </w:p>
    <w:p>
      <w:pPr>
        <w:keepNext w:val="0"/>
        <w:keepLines w:val="0"/>
        <w:pageBreakBefore w:val="0"/>
        <w:widowControl w:val="0"/>
        <w:kinsoku/>
        <w:wordWrap/>
        <w:overflowPunct/>
        <w:topLinePunct w:val="0"/>
        <w:autoSpaceDE/>
        <w:autoSpaceDN/>
        <w:bidi w:val="0"/>
        <w:spacing w:line="600" w:lineRule="exact"/>
        <w:ind w:firstLine="640" w:firstLineChars="200"/>
        <w:jc w:val="center"/>
        <w:textAlignment w:val="auto"/>
        <w:rPr>
          <w:rFonts w:ascii="黑体" w:hAnsi="黑体" w:eastAsia="黑体" w:cs="黑体"/>
          <w:color w:val="auto"/>
          <w:sz w:val="32"/>
          <w:szCs w:val="32"/>
        </w:rPr>
      </w:pPr>
      <w:r>
        <w:rPr>
          <w:rFonts w:hint="eastAsia" w:ascii="黑体" w:hAnsi="黑体" w:eastAsia="黑体" w:cs="黑体"/>
          <w:color w:val="auto"/>
          <w:sz w:val="32"/>
          <w:szCs w:val="32"/>
        </w:rPr>
        <w:t>第一章  总  则</w:t>
      </w: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rFonts w:ascii="仿宋" w:hAnsi="仿宋" w:eastAsia="仿宋" w:cs="仿宋"/>
          <w:color w:val="auto"/>
          <w:sz w:val="32"/>
          <w:szCs w:val="32"/>
        </w:rPr>
      </w:pP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rFonts w:ascii="仿宋" w:hAnsi="仿宋" w:eastAsia="仿宋" w:cs="仿宋"/>
          <w:color w:val="auto"/>
          <w:sz w:val="32"/>
          <w:szCs w:val="32"/>
        </w:rPr>
      </w:pPr>
      <w:r>
        <w:rPr>
          <w:rFonts w:hint="eastAsia" w:ascii="黑体" w:hAnsi="黑体" w:eastAsia="黑体" w:cs="黑体"/>
          <w:color w:val="auto"/>
          <w:sz w:val="32"/>
          <w:szCs w:val="32"/>
        </w:rPr>
        <w:t>第一条</w:t>
      </w:r>
      <w:r>
        <w:rPr>
          <w:rFonts w:hint="eastAsia" w:ascii="楷体" w:hAnsi="楷体" w:eastAsia="楷体" w:cs="楷体"/>
          <w:color w:val="auto"/>
          <w:sz w:val="32"/>
          <w:szCs w:val="32"/>
        </w:rPr>
        <w:t xml:space="preserve"> </w:t>
      </w:r>
      <w:r>
        <w:rPr>
          <w:rFonts w:hint="eastAsia" w:ascii="仿宋" w:hAnsi="仿宋" w:eastAsia="仿宋" w:cs="仿宋"/>
          <w:color w:val="auto"/>
          <w:sz w:val="32"/>
          <w:szCs w:val="32"/>
        </w:rPr>
        <w:t>为了实施《中华人民共和国禁毒法》，结合本省实际，制定本办法。</w:t>
      </w: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rFonts w:ascii="仿宋" w:hAnsi="仿宋" w:eastAsia="仿宋" w:cs="仿宋"/>
          <w:color w:val="auto"/>
          <w:sz w:val="32"/>
          <w:szCs w:val="32"/>
        </w:rPr>
      </w:pPr>
      <w:r>
        <w:rPr>
          <w:rFonts w:hint="eastAsia" w:ascii="黑体" w:hAnsi="黑体" w:eastAsia="黑体" w:cs="黑体"/>
          <w:color w:val="auto"/>
          <w:sz w:val="32"/>
          <w:szCs w:val="32"/>
        </w:rPr>
        <w:t>第二条</w:t>
      </w:r>
      <w:r>
        <w:rPr>
          <w:rFonts w:hint="eastAsia" w:ascii="楷体" w:hAnsi="楷体" w:eastAsia="楷体" w:cs="楷体"/>
          <w:color w:val="auto"/>
          <w:sz w:val="32"/>
          <w:szCs w:val="32"/>
        </w:rPr>
        <w:t xml:space="preserve"> </w:t>
      </w:r>
      <w:r>
        <w:rPr>
          <w:rFonts w:hint="eastAsia" w:ascii="仿宋" w:hAnsi="仿宋" w:eastAsia="仿宋" w:cs="仿宋"/>
          <w:color w:val="auto"/>
          <w:sz w:val="32"/>
          <w:szCs w:val="32"/>
        </w:rPr>
        <w:t>本省行政区域内的禁毒宣传教育、毒品和制毒物品管制、戒毒管理、禁毒工作保障等，适用本办法。</w:t>
      </w: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rFonts w:ascii="仿宋" w:hAnsi="仿宋" w:eastAsia="仿宋" w:cs="仿宋"/>
          <w:color w:val="auto"/>
          <w:sz w:val="32"/>
          <w:szCs w:val="32"/>
        </w:rPr>
      </w:pPr>
      <w:r>
        <w:rPr>
          <w:rFonts w:hint="eastAsia" w:ascii="黑体" w:hAnsi="黑体" w:eastAsia="黑体" w:cs="黑体"/>
          <w:color w:val="auto"/>
          <w:sz w:val="32"/>
          <w:szCs w:val="32"/>
        </w:rPr>
        <w:t>第三条</w:t>
      </w:r>
      <w:r>
        <w:rPr>
          <w:rFonts w:hint="eastAsia" w:ascii="楷体" w:hAnsi="楷体" w:eastAsia="楷体" w:cs="楷体"/>
          <w:color w:val="auto"/>
          <w:sz w:val="32"/>
          <w:szCs w:val="32"/>
        </w:rPr>
        <w:t xml:space="preserve"> </w:t>
      </w:r>
      <w:r>
        <w:rPr>
          <w:rFonts w:hint="eastAsia" w:ascii="仿宋" w:hAnsi="仿宋" w:eastAsia="仿宋" w:cs="仿宋"/>
          <w:color w:val="auto"/>
          <w:sz w:val="32"/>
          <w:szCs w:val="32"/>
        </w:rPr>
        <w:t>禁毒是全社会的共同责任。国家机关、社会团体、企业事业单位以及其他组织和公民，应当依法履行禁毒职责或者义务。</w:t>
      </w: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rFonts w:ascii="仿宋" w:hAnsi="仿宋" w:eastAsia="仿宋" w:cs="仿宋"/>
          <w:color w:val="auto"/>
          <w:sz w:val="32"/>
          <w:szCs w:val="32"/>
        </w:rPr>
      </w:pPr>
      <w:r>
        <w:rPr>
          <w:rFonts w:hint="eastAsia" w:ascii="黑体" w:hAnsi="黑体" w:eastAsia="黑体" w:cs="黑体"/>
          <w:color w:val="auto"/>
          <w:sz w:val="32"/>
          <w:szCs w:val="32"/>
        </w:rPr>
        <w:t>第四条</w:t>
      </w:r>
      <w:r>
        <w:rPr>
          <w:rFonts w:hint="eastAsia" w:ascii="楷体" w:hAnsi="楷体" w:eastAsia="楷体" w:cs="楷体"/>
          <w:color w:val="auto"/>
          <w:sz w:val="32"/>
          <w:szCs w:val="32"/>
        </w:rPr>
        <w:t xml:space="preserve"> </w:t>
      </w:r>
      <w:r>
        <w:rPr>
          <w:rFonts w:hint="eastAsia" w:ascii="仿宋" w:hAnsi="仿宋" w:eastAsia="仿宋" w:cs="仿宋"/>
          <w:color w:val="auto"/>
          <w:sz w:val="32"/>
          <w:szCs w:val="32"/>
        </w:rPr>
        <w:t>禁毒工作坚持预防为主、综合治理，禁种、禁制、禁贩、禁吸并举的方针，实行党委领导、政府负责、部门协同、社会参与的工作机制。</w:t>
      </w: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rFonts w:ascii="仿宋" w:hAnsi="仿宋" w:eastAsia="仿宋" w:cs="仿宋"/>
          <w:color w:val="auto"/>
          <w:sz w:val="32"/>
          <w:szCs w:val="32"/>
        </w:rPr>
      </w:pPr>
      <w:r>
        <w:rPr>
          <w:rFonts w:hint="eastAsia" w:ascii="黑体" w:hAnsi="黑体" w:eastAsia="黑体" w:cs="黑体"/>
          <w:color w:val="auto"/>
          <w:sz w:val="32"/>
          <w:szCs w:val="32"/>
        </w:rPr>
        <w:t>第五条</w:t>
      </w:r>
      <w:r>
        <w:rPr>
          <w:rFonts w:hint="eastAsia" w:ascii="楷体" w:hAnsi="楷体" w:eastAsia="楷体" w:cs="楷体"/>
          <w:color w:val="auto"/>
          <w:sz w:val="32"/>
          <w:szCs w:val="32"/>
        </w:rPr>
        <w:t xml:space="preserve"> </w:t>
      </w:r>
      <w:r>
        <w:rPr>
          <w:rFonts w:hint="eastAsia" w:ascii="仿宋" w:hAnsi="仿宋" w:eastAsia="仿宋" w:cs="仿宋"/>
          <w:color w:val="auto"/>
          <w:sz w:val="32"/>
          <w:szCs w:val="32"/>
        </w:rPr>
        <w:t>县级以上人民政府应当加强对禁毒工作的</w:t>
      </w:r>
      <w:r>
        <w:rPr>
          <w:rFonts w:hint="eastAsia" w:ascii="仿宋" w:hAnsi="仿宋" w:eastAsia="仿宋" w:cs="仿宋"/>
          <w:color w:val="auto"/>
          <w:sz w:val="32"/>
          <w:szCs w:val="32"/>
          <w:lang w:eastAsia="zh-CN"/>
        </w:rPr>
        <w:t>统一</w:t>
      </w:r>
      <w:r>
        <w:rPr>
          <w:rFonts w:hint="eastAsia" w:ascii="仿宋" w:hAnsi="仿宋" w:eastAsia="仿宋" w:cs="仿宋"/>
          <w:color w:val="auto"/>
          <w:sz w:val="32"/>
          <w:szCs w:val="32"/>
        </w:rPr>
        <w:t>领导，设立禁毒委员会，负责组织、协调、指导本行政区域内的禁毒工作，履行下列职责：</w:t>
      </w: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rFonts w:ascii="仿宋" w:hAnsi="仿宋" w:eastAsia="仿宋" w:cs="仿宋"/>
          <w:color w:val="auto"/>
          <w:sz w:val="32"/>
          <w:szCs w:val="32"/>
        </w:rPr>
      </w:pPr>
      <w:r>
        <w:rPr>
          <w:rFonts w:hint="eastAsia" w:ascii="仿宋" w:hAnsi="仿宋" w:eastAsia="仿宋" w:cs="仿宋"/>
          <w:color w:val="auto"/>
          <w:sz w:val="32"/>
          <w:szCs w:val="32"/>
        </w:rPr>
        <w:t>(一）制定有关禁毒</w:t>
      </w:r>
      <w:r>
        <w:rPr>
          <w:rFonts w:hint="eastAsia" w:ascii="仿宋" w:hAnsi="仿宋" w:eastAsia="仿宋" w:cs="仿宋"/>
          <w:color w:val="auto"/>
          <w:sz w:val="32"/>
          <w:szCs w:val="32"/>
          <w:lang w:val="en-US" w:eastAsia="zh-CN"/>
        </w:rPr>
        <w:t>宣传教育、毒品和制毒物品管制、戒毒等</w:t>
      </w:r>
      <w:r>
        <w:rPr>
          <w:rFonts w:hint="eastAsia" w:ascii="仿宋" w:hAnsi="仿宋" w:eastAsia="仿宋" w:cs="仿宋"/>
          <w:color w:val="auto"/>
          <w:sz w:val="32"/>
          <w:szCs w:val="32"/>
        </w:rPr>
        <w:t>工作规划、计划并组织实施；</w:t>
      </w: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rFonts w:ascii="仿宋" w:hAnsi="仿宋" w:eastAsia="仿宋" w:cs="仿宋"/>
          <w:color w:val="auto"/>
          <w:sz w:val="32"/>
          <w:szCs w:val="32"/>
        </w:rPr>
      </w:pPr>
      <w:r>
        <w:rPr>
          <w:rFonts w:hint="eastAsia" w:ascii="仿宋" w:hAnsi="仿宋" w:eastAsia="仿宋" w:cs="仿宋"/>
          <w:color w:val="auto"/>
          <w:sz w:val="32"/>
          <w:szCs w:val="32"/>
        </w:rPr>
        <w:t>（二）确定、调整成员单位禁毒工作职责分工，建立健全禁毒工作协调机制，研究解决禁毒工作中的重大问题；</w:t>
      </w: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（三）检查、督促有关法律法规政策和工作规划、计划的执行情况；</w:t>
      </w: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rFonts w:ascii="仿宋" w:hAnsi="仿宋" w:eastAsia="仿宋" w:cs="仿宋"/>
          <w:color w:val="auto"/>
          <w:sz w:val="32"/>
          <w:szCs w:val="32"/>
        </w:rPr>
      </w:pPr>
      <w:r>
        <w:rPr>
          <w:rFonts w:hint="eastAsia" w:ascii="仿宋" w:hAnsi="仿宋" w:eastAsia="仿宋" w:cs="仿宋"/>
          <w:color w:val="auto"/>
          <w:sz w:val="32"/>
          <w:szCs w:val="32"/>
        </w:rPr>
        <w:t>（四）完成上级禁毒委员会和本级人民政府交办的其他禁毒工作。</w:t>
      </w: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rFonts w:ascii="仿宋" w:hAnsi="仿宋" w:eastAsia="仿宋" w:cs="仿宋"/>
          <w:color w:val="auto"/>
          <w:sz w:val="32"/>
          <w:szCs w:val="32"/>
        </w:rPr>
      </w:pPr>
      <w:r>
        <w:rPr>
          <w:rFonts w:hint="eastAsia" w:ascii="仿宋" w:hAnsi="仿宋" w:eastAsia="仿宋" w:cs="仿宋"/>
          <w:color w:val="auto"/>
          <w:sz w:val="32"/>
          <w:szCs w:val="32"/>
        </w:rPr>
        <w:t>县级以上人民政府应当健全禁毒委员会及其办事机构，配备相应工作人员，负责禁毒委员会日常工作。</w:t>
      </w: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rFonts w:ascii="仿宋" w:hAnsi="仿宋" w:eastAsia="仿宋" w:cs="仿宋"/>
          <w:color w:val="auto"/>
          <w:sz w:val="32"/>
          <w:szCs w:val="32"/>
        </w:rPr>
      </w:pPr>
      <w:r>
        <w:rPr>
          <w:rFonts w:hint="eastAsia" w:ascii="仿宋" w:hAnsi="仿宋" w:eastAsia="仿宋" w:cs="仿宋"/>
          <w:color w:val="auto"/>
          <w:sz w:val="32"/>
          <w:szCs w:val="32"/>
        </w:rPr>
        <w:t>乡（镇）人民政府、街道办事处成立社区戒毒工作领导小组，负责本辖区的禁毒宣传教育、社区戒毒、社区康复和解除强制隔离戒毒人员后续照管服务等工作。</w:t>
      </w: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rFonts w:ascii="仿宋" w:hAnsi="仿宋" w:eastAsia="仿宋" w:cs="仿宋"/>
          <w:color w:val="auto"/>
          <w:sz w:val="32"/>
          <w:szCs w:val="32"/>
        </w:rPr>
      </w:pPr>
      <w:r>
        <w:rPr>
          <w:rFonts w:hint="eastAsia" w:ascii="黑体" w:hAnsi="黑体" w:eastAsia="黑体" w:cs="黑体"/>
          <w:color w:val="auto"/>
          <w:sz w:val="32"/>
          <w:szCs w:val="32"/>
        </w:rPr>
        <w:t>第六条</w:t>
      </w:r>
      <w:r>
        <w:rPr>
          <w:rFonts w:hint="eastAsia" w:ascii="楷体" w:hAnsi="楷体" w:eastAsia="楷体" w:cs="楷体"/>
          <w:color w:val="auto"/>
          <w:sz w:val="32"/>
          <w:szCs w:val="32"/>
        </w:rPr>
        <w:t xml:space="preserve"> </w:t>
      </w:r>
      <w:r>
        <w:rPr>
          <w:rFonts w:hint="eastAsia" w:ascii="仿宋" w:hAnsi="仿宋" w:eastAsia="仿宋" w:cs="仿宋"/>
          <w:color w:val="auto"/>
          <w:sz w:val="32"/>
          <w:szCs w:val="32"/>
        </w:rPr>
        <w:t>公安机关负责毒品查缉、毒品原植物禁种、易制毒化学品相关监督管理、吸毒人员查处管控和公安系统强制隔离戒毒场所管理等工作。</w:t>
      </w: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司法行政主管部门负责指导协调推动禁毒法治宣传、司法行政系统强制隔离戒毒等场所管理、涉毒服刑人员教育改造等工作</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lang w:val="en-US" w:eastAsia="zh-CN"/>
        </w:rPr>
        <w:t>指导、支持社区戒毒、社区康复工作</w:t>
      </w:r>
      <w:r>
        <w:rPr>
          <w:rFonts w:hint="eastAsia" w:ascii="仿宋" w:hAnsi="仿宋" w:eastAsia="仿宋" w:cs="仿宋"/>
          <w:color w:val="auto"/>
          <w:sz w:val="32"/>
          <w:szCs w:val="32"/>
        </w:rPr>
        <w:t>。</w:t>
      </w: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rFonts w:ascii="仿宋" w:hAnsi="仿宋" w:eastAsia="仿宋" w:cs="仿宋"/>
          <w:color w:val="auto"/>
          <w:sz w:val="32"/>
          <w:szCs w:val="32"/>
        </w:rPr>
      </w:pPr>
      <w:r>
        <w:rPr>
          <w:rFonts w:hint="eastAsia" w:ascii="仿宋" w:hAnsi="仿宋" w:eastAsia="仿宋" w:cs="仿宋"/>
          <w:color w:val="auto"/>
          <w:sz w:val="32"/>
          <w:szCs w:val="32"/>
        </w:rPr>
        <w:t>卫生健康行政主管部门负责戒毒医疗机构和从事戒毒治疗业务医疗机构的监督管理，会同公安、司法行政等部门制定戒毒医疗机构设置规划，指导和支持戒毒医疗服务、吸毒所致精神障碍防治等工作。</w:t>
      </w: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rFonts w:ascii="仿宋" w:hAnsi="仿宋" w:eastAsia="仿宋" w:cs="仿宋"/>
          <w:color w:val="auto"/>
          <w:sz w:val="32"/>
          <w:szCs w:val="32"/>
        </w:rPr>
      </w:pPr>
      <w:r>
        <w:rPr>
          <w:rFonts w:hint="eastAsia" w:ascii="仿宋" w:hAnsi="仿宋" w:eastAsia="仿宋" w:cs="仿宋"/>
          <w:color w:val="auto"/>
          <w:sz w:val="32"/>
          <w:szCs w:val="32"/>
        </w:rPr>
        <w:t>药品监督管理部门负责麻醉药品、精神药品、药品类易制毒化学品相关监督管理和药物滥用监测等工作。</w:t>
      </w: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rFonts w:ascii="仿宋" w:hAnsi="仿宋" w:eastAsia="仿宋" w:cs="仿宋"/>
          <w:color w:val="auto"/>
          <w:sz w:val="32"/>
          <w:szCs w:val="32"/>
        </w:rPr>
      </w:pPr>
      <w:r>
        <w:rPr>
          <w:rFonts w:hint="eastAsia" w:ascii="仿宋" w:hAnsi="仿宋" w:eastAsia="仿宋" w:cs="仿宋"/>
          <w:color w:val="auto"/>
          <w:sz w:val="32"/>
          <w:szCs w:val="32"/>
        </w:rPr>
        <w:t>宣传、教育、民政、人力资源和社会保障、交通运输等其他禁毒委员会成员单位依照各自职责，做好禁毒相关工作。</w:t>
      </w: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rFonts w:ascii="仿宋" w:hAnsi="仿宋" w:eastAsia="仿宋" w:cs="仿宋"/>
          <w:color w:val="auto"/>
          <w:sz w:val="32"/>
          <w:szCs w:val="32"/>
        </w:rPr>
      </w:pPr>
      <w:r>
        <w:rPr>
          <w:rFonts w:hint="eastAsia" w:ascii="黑体" w:hAnsi="黑体" w:eastAsia="黑体" w:cs="黑体"/>
          <w:color w:val="auto"/>
          <w:sz w:val="32"/>
          <w:szCs w:val="32"/>
        </w:rPr>
        <w:t>第七条</w:t>
      </w:r>
      <w:r>
        <w:rPr>
          <w:rFonts w:hint="eastAsia" w:ascii="楷体" w:hAnsi="楷体" w:eastAsia="楷体" w:cs="楷体"/>
          <w:color w:val="auto"/>
          <w:sz w:val="32"/>
          <w:szCs w:val="32"/>
        </w:rPr>
        <w:t xml:space="preserve"> </w:t>
      </w:r>
      <w:r>
        <w:rPr>
          <w:rFonts w:hint="eastAsia" w:ascii="仿宋" w:hAnsi="仿宋" w:eastAsia="仿宋" w:cs="仿宋"/>
          <w:color w:val="auto"/>
          <w:sz w:val="32"/>
          <w:szCs w:val="32"/>
        </w:rPr>
        <w:t>县级以上人民政府应当将禁毒经费列入本级财政预算，保障禁毒工作需要。</w:t>
      </w: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rFonts w:ascii="仿宋" w:hAnsi="仿宋" w:eastAsia="仿宋" w:cs="仿宋"/>
          <w:color w:val="auto"/>
          <w:sz w:val="32"/>
          <w:szCs w:val="32"/>
        </w:rPr>
      </w:pPr>
      <w:r>
        <w:rPr>
          <w:rFonts w:hint="eastAsia" w:ascii="仿宋" w:hAnsi="仿宋" w:eastAsia="仿宋" w:cs="仿宋"/>
          <w:color w:val="auto"/>
          <w:sz w:val="32"/>
          <w:szCs w:val="32"/>
        </w:rPr>
        <w:t>各级人民政府和有关部门可以通过政府购买服务的方式，引导社会力量参与禁毒宣传教育、戒毒康复、心理干预、工作培训等专业服务。</w:t>
      </w: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第八条</w:t>
      </w:r>
      <w:r>
        <w:rPr>
          <w:rFonts w:hint="eastAsia" w:ascii="楷体" w:hAnsi="楷体" w:eastAsia="楷体" w:cs="楷体"/>
          <w:color w:val="auto"/>
          <w:sz w:val="32"/>
          <w:szCs w:val="32"/>
        </w:rPr>
        <w:t xml:space="preserve"> </w:t>
      </w:r>
      <w:r>
        <w:rPr>
          <w:rFonts w:hint="eastAsia" w:ascii="仿宋" w:hAnsi="仿宋" w:eastAsia="仿宋" w:cs="仿宋"/>
          <w:color w:val="auto"/>
          <w:sz w:val="32"/>
          <w:szCs w:val="32"/>
        </w:rPr>
        <w:t>县级以上人民政府需要设置强制隔离戒毒场所、戒毒康复场所的，应当合理布局，报省人民政府批准，按照国家相关标准和规定建设。</w:t>
      </w: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rFonts w:ascii="仿宋" w:hAnsi="仿宋" w:eastAsia="仿宋" w:cs="仿宋"/>
          <w:color w:val="auto"/>
          <w:sz w:val="32"/>
          <w:szCs w:val="32"/>
        </w:rPr>
      </w:pPr>
      <w:r>
        <w:rPr>
          <w:rFonts w:hint="eastAsia" w:ascii="仿宋" w:hAnsi="仿宋" w:eastAsia="仿宋" w:cs="仿宋"/>
          <w:color w:val="auto"/>
          <w:sz w:val="32"/>
          <w:szCs w:val="32"/>
        </w:rPr>
        <w:t>县级以上人民政府应当加强禁毒教育基地、毒品检查站、禁毒情报中心、毒品实验室等禁毒基础设施建设，按照有关标准配备设施。</w:t>
      </w: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rFonts w:ascii="黑体" w:hAnsi="黑体" w:eastAsia="黑体" w:cs="黑体"/>
          <w:color w:val="auto"/>
          <w:sz w:val="32"/>
          <w:szCs w:val="32"/>
        </w:rPr>
      </w:pPr>
      <w:r>
        <w:rPr>
          <w:rFonts w:hint="eastAsia" w:ascii="黑体" w:hAnsi="黑体" w:eastAsia="黑体" w:cs="黑体"/>
          <w:color w:val="auto"/>
          <w:sz w:val="32"/>
          <w:szCs w:val="32"/>
        </w:rPr>
        <w:t xml:space="preserve">第九条 </w:t>
      </w:r>
      <w:r>
        <w:rPr>
          <w:rFonts w:hint="eastAsia" w:ascii="仿宋" w:hAnsi="仿宋" w:eastAsia="仿宋" w:cs="仿宋"/>
          <w:color w:val="auto"/>
          <w:sz w:val="32"/>
          <w:szCs w:val="32"/>
        </w:rPr>
        <w:t>禁毒委员会应当推进禁毒信息化建设，健全毒品监测评估和毒品问题预警通报机制</w:t>
      </w:r>
      <w:r>
        <w:rPr>
          <w:rFonts w:hint="eastAsia" w:ascii="黑体" w:hAnsi="黑体" w:eastAsia="黑体" w:cs="黑体"/>
          <w:color w:val="auto"/>
          <w:sz w:val="32"/>
          <w:szCs w:val="32"/>
        </w:rPr>
        <w:t>。</w:t>
      </w: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rFonts w:ascii="仿宋" w:hAnsi="仿宋" w:eastAsia="仿宋" w:cs="仿宋"/>
          <w:color w:val="auto"/>
          <w:sz w:val="32"/>
          <w:szCs w:val="32"/>
        </w:rPr>
      </w:pPr>
      <w:r>
        <w:rPr>
          <w:rFonts w:hint="eastAsia" w:ascii="仿宋" w:hAnsi="仿宋" w:eastAsia="仿宋" w:cs="仿宋"/>
          <w:color w:val="auto"/>
          <w:sz w:val="32"/>
          <w:szCs w:val="32"/>
        </w:rPr>
        <w:t>禁毒委员会工作机构定期组织开展城市生活污水毒品检测，根据检测数据综合研判、科学评估毒情形势。</w:t>
      </w: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rFonts w:ascii="仿宋" w:hAnsi="仿宋" w:eastAsia="仿宋" w:cs="仿宋"/>
          <w:color w:val="auto"/>
          <w:sz w:val="32"/>
          <w:szCs w:val="32"/>
        </w:rPr>
      </w:pPr>
      <w:r>
        <w:rPr>
          <w:rFonts w:hint="eastAsia" w:ascii="黑体" w:hAnsi="黑体" w:eastAsia="黑体" w:cs="黑体"/>
          <w:color w:val="auto"/>
          <w:sz w:val="32"/>
          <w:szCs w:val="32"/>
        </w:rPr>
        <w:t>第十条</w:t>
      </w:r>
      <w:r>
        <w:rPr>
          <w:rFonts w:hint="eastAsia" w:ascii="楷体" w:hAnsi="楷体" w:eastAsia="楷体" w:cs="楷体"/>
          <w:color w:val="auto"/>
          <w:sz w:val="32"/>
          <w:szCs w:val="32"/>
        </w:rPr>
        <w:t xml:space="preserve"> </w:t>
      </w:r>
      <w:r>
        <w:rPr>
          <w:rFonts w:hint="eastAsia" w:ascii="仿宋" w:hAnsi="仿宋" w:eastAsia="仿宋" w:cs="仿宋"/>
          <w:color w:val="auto"/>
          <w:sz w:val="32"/>
          <w:szCs w:val="32"/>
        </w:rPr>
        <w:t>县级以上人民政府应当加强禁毒队伍建设和禁毒工作人员职业保护、医疗保障，定期开展职业培训，防范和减少禁毒工作职业风险。</w:t>
      </w: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rFonts w:ascii="仿宋" w:hAnsi="仿宋" w:eastAsia="仿宋" w:cs="仿宋"/>
          <w:color w:val="auto"/>
          <w:sz w:val="32"/>
          <w:szCs w:val="32"/>
        </w:rPr>
      </w:pPr>
      <w:r>
        <w:rPr>
          <w:rFonts w:hint="eastAsia" w:ascii="仿宋" w:hAnsi="仿宋" w:eastAsia="仿宋" w:cs="仿宋"/>
          <w:color w:val="auto"/>
          <w:sz w:val="32"/>
          <w:szCs w:val="32"/>
        </w:rPr>
        <w:t>对禁毒工作中牺牲、伤残的人员，县级以上人民政府及其有关部门应当按照有关规定给予抚恤和优待。</w:t>
      </w: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第十一条</w:t>
      </w:r>
      <w:r>
        <w:rPr>
          <w:rFonts w:hint="eastAsia" w:ascii="楷体" w:hAnsi="楷体" w:eastAsia="楷体" w:cs="楷体"/>
          <w:color w:val="auto"/>
          <w:sz w:val="32"/>
          <w:szCs w:val="32"/>
        </w:rPr>
        <w:t xml:space="preserve"> </w:t>
      </w:r>
      <w:r>
        <w:rPr>
          <w:rFonts w:hint="eastAsia" w:ascii="仿宋" w:hAnsi="仿宋" w:eastAsia="仿宋" w:cs="仿宋"/>
          <w:color w:val="auto"/>
          <w:sz w:val="32"/>
          <w:szCs w:val="32"/>
        </w:rPr>
        <w:t>工会、共青团、妇联等人民团体应当发挥各自优势，组织开展禁毒宣传教育、社会帮扶、志愿服务活动等工作。</w:t>
      </w: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村民委员会、居民委员会协助人民政府及其有关部门开展有关禁毒管理服务工作。</w:t>
      </w: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rFonts w:ascii="仿宋" w:hAnsi="仿宋" w:eastAsia="仿宋" w:cs="仿宋"/>
          <w:color w:val="auto"/>
          <w:sz w:val="32"/>
          <w:szCs w:val="32"/>
        </w:rPr>
      </w:pPr>
      <w:r>
        <w:rPr>
          <w:rFonts w:hint="eastAsia" w:ascii="仿宋" w:hAnsi="仿宋" w:eastAsia="仿宋" w:cs="仿宋"/>
          <w:color w:val="auto"/>
          <w:sz w:val="32"/>
          <w:szCs w:val="32"/>
        </w:rPr>
        <w:t>鼓励单位和个人依法参与禁毒宣传教育、科学研究和戒毒社会服务等工作。单位和个人通过捐赠、设立帮扶项目、创办服务机构、提供服务等方式参与禁毒工作的，按照有关规定享受税收等优惠政策。</w:t>
      </w: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rFonts w:ascii="仿宋" w:hAnsi="仿宋" w:eastAsia="仿宋" w:cs="仿宋"/>
          <w:color w:val="auto"/>
          <w:sz w:val="32"/>
          <w:szCs w:val="32"/>
        </w:rPr>
      </w:pPr>
      <w:r>
        <w:rPr>
          <w:rFonts w:hint="eastAsia" w:ascii="黑体" w:hAnsi="黑体" w:eastAsia="黑体" w:cs="黑体"/>
          <w:color w:val="auto"/>
          <w:sz w:val="32"/>
          <w:szCs w:val="32"/>
        </w:rPr>
        <w:t>第十二条</w:t>
      </w:r>
      <w:r>
        <w:rPr>
          <w:rFonts w:hint="eastAsia" w:ascii="楷体" w:hAnsi="楷体" w:eastAsia="楷体" w:cs="楷体"/>
          <w:color w:val="auto"/>
          <w:sz w:val="32"/>
          <w:szCs w:val="32"/>
        </w:rPr>
        <w:t xml:space="preserve"> </w:t>
      </w:r>
      <w:r>
        <w:rPr>
          <w:rFonts w:hint="eastAsia" w:ascii="仿宋" w:hAnsi="仿宋" w:eastAsia="仿宋" w:cs="仿宋"/>
          <w:color w:val="auto"/>
          <w:sz w:val="32"/>
          <w:szCs w:val="32"/>
        </w:rPr>
        <w:t>鼓励公民举报毒品违法犯罪活动。各级人民政府和有关部门应当依法建立毒品违法犯罪举报奖励制度，落实举报人保护责任。</w:t>
      </w:r>
    </w:p>
    <w:p>
      <w:pPr>
        <w:keepNext w:val="0"/>
        <w:keepLines w:val="0"/>
        <w:pageBreakBefore w:val="0"/>
        <w:widowControl w:val="0"/>
        <w:kinsoku/>
        <w:wordWrap/>
        <w:overflowPunct/>
        <w:topLinePunct w:val="0"/>
        <w:autoSpaceDE/>
        <w:autoSpaceDN/>
        <w:bidi w:val="0"/>
        <w:spacing w:line="600" w:lineRule="exact"/>
        <w:jc w:val="center"/>
        <w:textAlignment w:val="auto"/>
        <w:rPr>
          <w:rFonts w:hint="eastAsia" w:ascii="黑体" w:hAnsi="黑体" w:eastAsia="黑体" w:cs="黑体"/>
          <w:color w:val="auto"/>
          <w:sz w:val="32"/>
          <w:szCs w:val="32"/>
        </w:rPr>
      </w:pPr>
    </w:p>
    <w:p>
      <w:pPr>
        <w:keepNext w:val="0"/>
        <w:keepLines w:val="0"/>
        <w:pageBreakBefore w:val="0"/>
        <w:widowControl w:val="0"/>
        <w:kinsoku/>
        <w:wordWrap/>
        <w:overflowPunct/>
        <w:topLinePunct w:val="0"/>
        <w:autoSpaceDE/>
        <w:autoSpaceDN/>
        <w:bidi w:val="0"/>
        <w:spacing w:line="600" w:lineRule="exact"/>
        <w:jc w:val="center"/>
        <w:textAlignment w:val="auto"/>
        <w:rPr>
          <w:rFonts w:ascii="黑体" w:hAnsi="黑体" w:eastAsia="黑体" w:cs="黑体"/>
          <w:color w:val="auto"/>
          <w:sz w:val="32"/>
          <w:szCs w:val="32"/>
        </w:rPr>
      </w:pPr>
      <w:r>
        <w:rPr>
          <w:rFonts w:hint="eastAsia" w:ascii="黑体" w:hAnsi="黑体" w:eastAsia="黑体" w:cs="黑体"/>
          <w:color w:val="auto"/>
          <w:sz w:val="32"/>
          <w:szCs w:val="32"/>
        </w:rPr>
        <w:t>第二章  禁毒宣传教育</w:t>
      </w: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rFonts w:ascii="仿宋" w:hAnsi="仿宋" w:eastAsia="仿宋" w:cs="仿宋"/>
          <w:color w:val="auto"/>
          <w:sz w:val="32"/>
          <w:szCs w:val="32"/>
        </w:rPr>
      </w:pP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rFonts w:ascii="仿宋" w:hAnsi="仿宋" w:eastAsia="仿宋" w:cs="仿宋"/>
          <w:color w:val="auto"/>
          <w:sz w:val="32"/>
          <w:szCs w:val="32"/>
        </w:rPr>
      </w:pPr>
      <w:r>
        <w:rPr>
          <w:rFonts w:hint="eastAsia" w:ascii="黑体" w:hAnsi="黑体" w:eastAsia="黑体" w:cs="黑体"/>
          <w:color w:val="auto"/>
          <w:sz w:val="32"/>
          <w:szCs w:val="32"/>
        </w:rPr>
        <w:t>第十三条</w:t>
      </w:r>
      <w:r>
        <w:rPr>
          <w:rFonts w:hint="eastAsia" w:ascii="楷体" w:hAnsi="楷体" w:eastAsia="楷体" w:cs="楷体"/>
          <w:color w:val="auto"/>
          <w:sz w:val="32"/>
          <w:szCs w:val="32"/>
        </w:rPr>
        <w:t xml:space="preserve"> </w:t>
      </w:r>
      <w:r>
        <w:rPr>
          <w:rFonts w:hint="eastAsia" w:ascii="仿宋" w:hAnsi="仿宋" w:eastAsia="仿宋" w:cs="仿宋"/>
          <w:color w:val="auto"/>
          <w:sz w:val="32"/>
          <w:szCs w:val="32"/>
        </w:rPr>
        <w:t>各级人民政府和有关部门应当采取多种形式开展全民禁毒宣传教育，将禁毒宣传教育与公民道德教育、普法教育、健康教育、科普教育、</w:t>
      </w:r>
      <w:r>
        <w:rPr>
          <w:rFonts w:hint="eastAsia" w:ascii="仿宋" w:hAnsi="仿宋" w:eastAsia="仿宋" w:cs="仿宋"/>
          <w:color w:val="auto"/>
          <w:sz w:val="32"/>
          <w:szCs w:val="32"/>
          <w:lang w:eastAsia="zh-CN"/>
        </w:rPr>
        <w:t>应急教育</w:t>
      </w:r>
      <w:r>
        <w:rPr>
          <w:rFonts w:hint="eastAsia" w:ascii="仿宋" w:hAnsi="仿宋" w:eastAsia="仿宋" w:cs="仿宋"/>
          <w:color w:val="auto"/>
          <w:sz w:val="32"/>
          <w:szCs w:val="32"/>
        </w:rPr>
        <w:t>和预防艾滋病教育等相结合，增强公民自觉抵制毒品的意识，提升识毒、防毒、拒毒能力。</w:t>
      </w: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rFonts w:ascii="仿宋" w:hAnsi="仿宋" w:eastAsia="仿宋" w:cs="仿宋"/>
          <w:color w:val="auto"/>
          <w:sz w:val="32"/>
          <w:szCs w:val="32"/>
        </w:rPr>
      </w:pPr>
      <w:r>
        <w:rPr>
          <w:rFonts w:hint="eastAsia" w:ascii="黑体" w:hAnsi="黑体" w:eastAsia="黑体" w:cs="黑体"/>
          <w:color w:val="auto"/>
          <w:sz w:val="32"/>
          <w:szCs w:val="32"/>
        </w:rPr>
        <w:t>第十四条</w:t>
      </w:r>
      <w:r>
        <w:rPr>
          <w:rFonts w:hint="eastAsia" w:ascii="楷体" w:hAnsi="楷体" w:eastAsia="楷体" w:cs="楷体"/>
          <w:color w:val="auto"/>
          <w:sz w:val="32"/>
          <w:szCs w:val="32"/>
        </w:rPr>
        <w:t xml:space="preserve"> </w:t>
      </w:r>
      <w:r>
        <w:rPr>
          <w:rFonts w:hint="eastAsia" w:ascii="仿宋" w:hAnsi="仿宋" w:eastAsia="仿宋" w:cs="仿宋"/>
          <w:color w:val="auto"/>
          <w:sz w:val="32"/>
          <w:szCs w:val="32"/>
        </w:rPr>
        <w:t>国家机关、社会团体、企业事业单位以及其他组织应当结合实际，定期对本单位人员开展禁毒宣传教育，增强禁毒意识。</w:t>
      </w: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rFonts w:ascii="仿宋" w:hAnsi="仿宋" w:eastAsia="仿宋" w:cs="仿宋"/>
          <w:color w:val="auto"/>
          <w:sz w:val="32"/>
          <w:szCs w:val="32"/>
        </w:rPr>
      </w:pPr>
      <w:r>
        <w:rPr>
          <w:rFonts w:hint="eastAsia" w:ascii="仿宋" w:hAnsi="仿宋" w:eastAsia="仿宋" w:cs="仿宋"/>
          <w:color w:val="auto"/>
          <w:sz w:val="32"/>
          <w:szCs w:val="32"/>
        </w:rPr>
        <w:t>公职人员培训机构应当将禁毒宣传教育列入相关教育培训计划。</w:t>
      </w: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rFonts w:ascii="仿宋" w:hAnsi="仿宋" w:eastAsia="仿宋" w:cs="仿宋"/>
          <w:color w:val="auto"/>
          <w:sz w:val="32"/>
          <w:szCs w:val="32"/>
        </w:rPr>
      </w:pPr>
      <w:r>
        <w:rPr>
          <w:rFonts w:hint="eastAsia" w:ascii="黑体" w:hAnsi="黑体" w:eastAsia="黑体" w:cs="黑体"/>
          <w:color w:val="auto"/>
          <w:sz w:val="32"/>
          <w:szCs w:val="32"/>
        </w:rPr>
        <w:t>第十五条</w:t>
      </w:r>
      <w:r>
        <w:rPr>
          <w:rFonts w:hint="eastAsia" w:ascii="仿宋" w:hAnsi="仿宋" w:eastAsia="仿宋" w:cs="仿宋"/>
          <w:color w:val="auto"/>
          <w:sz w:val="32"/>
          <w:szCs w:val="32"/>
        </w:rPr>
        <w:t xml:space="preserve"> 教育行政主管部门应当将禁毒知识纳入相关教育教学内容</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对学校开展禁毒宣传教育情况进行监督指导。</w:t>
      </w: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rFonts w:ascii="仿宋" w:hAnsi="仿宋" w:eastAsia="仿宋" w:cs="仿宋"/>
          <w:color w:val="auto"/>
          <w:sz w:val="32"/>
          <w:szCs w:val="32"/>
        </w:rPr>
      </w:pPr>
      <w:r>
        <w:rPr>
          <w:rFonts w:hint="eastAsia" w:ascii="仿宋" w:hAnsi="仿宋" w:eastAsia="仿宋" w:cs="仿宋"/>
          <w:color w:val="auto"/>
          <w:sz w:val="32"/>
          <w:szCs w:val="32"/>
        </w:rPr>
        <w:t>公安、司法行政、卫生健康、市场监督管理等部门应当协助教育部门开展禁毒宣传教育，推动学校与家庭、社会禁毒宣传教育相衔接。</w:t>
      </w: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rFonts w:ascii="仿宋" w:hAnsi="仿宋" w:eastAsia="仿宋" w:cs="仿宋"/>
          <w:color w:val="auto"/>
          <w:sz w:val="32"/>
          <w:szCs w:val="32"/>
        </w:rPr>
      </w:pPr>
      <w:r>
        <w:rPr>
          <w:rFonts w:hint="eastAsia" w:ascii="仿宋" w:hAnsi="仿宋" w:eastAsia="仿宋" w:cs="仿宋"/>
          <w:color w:val="auto"/>
          <w:sz w:val="32"/>
          <w:szCs w:val="32"/>
        </w:rPr>
        <w:t>各级共青团组织应当加强对青少年的宣传教育，对面向青少年开展的禁毒志愿服务活动给予指导和支持。</w:t>
      </w: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rFonts w:ascii="仿宋" w:hAnsi="仿宋" w:eastAsia="仿宋" w:cs="仿宋"/>
          <w:color w:val="auto"/>
          <w:sz w:val="32"/>
          <w:szCs w:val="32"/>
        </w:rPr>
      </w:pPr>
      <w:r>
        <w:rPr>
          <w:rFonts w:hint="eastAsia" w:ascii="仿宋" w:hAnsi="仿宋" w:eastAsia="仿宋" w:cs="仿宋"/>
          <w:color w:val="auto"/>
          <w:sz w:val="32"/>
          <w:szCs w:val="32"/>
        </w:rPr>
        <w:t>未成年人的父母或者其他监护人应当对未成年人进行毒品危害教育，关注其社会交往，防止其吸食、注射毒品或者进行其他毒品违法犯罪活动。</w:t>
      </w: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rFonts w:ascii="仿宋" w:hAnsi="仿宋" w:eastAsia="仿宋" w:cs="仿宋"/>
          <w:color w:val="auto"/>
          <w:sz w:val="32"/>
          <w:szCs w:val="32"/>
        </w:rPr>
      </w:pPr>
      <w:r>
        <w:rPr>
          <w:rFonts w:hint="eastAsia" w:ascii="黑体" w:hAnsi="黑体" w:eastAsia="黑体" w:cs="黑体"/>
          <w:color w:val="auto"/>
          <w:sz w:val="32"/>
          <w:szCs w:val="32"/>
        </w:rPr>
        <w:t>第十六条</w:t>
      </w:r>
      <w:r>
        <w:rPr>
          <w:rFonts w:hint="eastAsia" w:ascii="楷体" w:hAnsi="楷体" w:eastAsia="楷体" w:cs="楷体"/>
          <w:color w:val="auto"/>
          <w:sz w:val="32"/>
          <w:szCs w:val="32"/>
        </w:rPr>
        <w:t xml:space="preserve"> </w:t>
      </w:r>
      <w:r>
        <w:rPr>
          <w:rFonts w:hint="eastAsia" w:ascii="仿宋" w:hAnsi="仿宋" w:eastAsia="仿宋" w:cs="仿宋"/>
          <w:color w:val="auto"/>
          <w:sz w:val="32"/>
          <w:szCs w:val="32"/>
        </w:rPr>
        <w:t>村民委员会、居民委员会应当加强对村民、居民和本区域流动人口的禁毒宣传教育。鼓励将禁毒宣传教育内容纳入村规民约和居民公约。</w:t>
      </w: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rFonts w:ascii="仿宋" w:hAnsi="仿宋" w:eastAsia="仿宋" w:cs="仿宋"/>
          <w:color w:val="auto"/>
          <w:sz w:val="32"/>
          <w:szCs w:val="32"/>
        </w:rPr>
      </w:pPr>
      <w:r>
        <w:rPr>
          <w:rFonts w:hint="eastAsia" w:ascii="黑体" w:hAnsi="黑体" w:eastAsia="黑体" w:cs="黑体"/>
          <w:color w:val="auto"/>
          <w:sz w:val="32"/>
          <w:szCs w:val="32"/>
        </w:rPr>
        <w:t>第十七条</w:t>
      </w:r>
      <w:r>
        <w:rPr>
          <w:rFonts w:hint="eastAsia" w:ascii="楷体" w:hAnsi="楷体" w:eastAsia="楷体" w:cs="楷体"/>
          <w:color w:val="auto"/>
          <w:sz w:val="32"/>
          <w:szCs w:val="32"/>
        </w:rPr>
        <w:t xml:space="preserve"> </w:t>
      </w:r>
      <w:r>
        <w:rPr>
          <w:rFonts w:hint="eastAsia" w:ascii="仿宋" w:hAnsi="仿宋" w:eastAsia="仿宋" w:cs="仿宋"/>
          <w:color w:val="auto"/>
          <w:sz w:val="32"/>
          <w:szCs w:val="32"/>
        </w:rPr>
        <w:t>广播电视、新闻出版、互联网信息服务提供者等应当开展常态化禁毒宣传教育，免费刊登、播放公益禁毒广告和节目。</w:t>
      </w: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rFonts w:ascii="仿宋" w:hAnsi="仿宋" w:eastAsia="仿宋" w:cs="仿宋"/>
          <w:color w:val="auto"/>
          <w:sz w:val="32"/>
          <w:szCs w:val="32"/>
        </w:rPr>
      </w:pPr>
      <w:r>
        <w:rPr>
          <w:rFonts w:hint="eastAsia" w:ascii="仿宋" w:hAnsi="仿宋" w:eastAsia="仿宋" w:cs="仿宋"/>
          <w:color w:val="auto"/>
          <w:sz w:val="32"/>
          <w:szCs w:val="32"/>
        </w:rPr>
        <w:t>广播电视、电影、新闻出版、互联网信息服务提供者、文艺团体及相关单位，制作广播电视节目、举办文艺演出，播出、发布电影、电视剧、广播电视节目、音视频以及商业广告，应当遵守国家有关对吸毒人员的限制性规定。</w:t>
      </w: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rFonts w:ascii="仿宋" w:hAnsi="仿宋" w:eastAsia="仿宋" w:cs="仿宋"/>
          <w:color w:val="auto"/>
          <w:sz w:val="32"/>
          <w:szCs w:val="32"/>
        </w:rPr>
      </w:pPr>
      <w:r>
        <w:rPr>
          <w:rFonts w:hint="eastAsia" w:ascii="仿宋" w:hAnsi="仿宋" w:eastAsia="仿宋" w:cs="仿宋"/>
          <w:color w:val="auto"/>
          <w:sz w:val="32"/>
          <w:szCs w:val="32"/>
        </w:rPr>
        <w:t>公共图书馆等综合性文化服务场所应当提供禁毒知识读物，展播禁毒知识内容。</w:t>
      </w: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第十八条</w:t>
      </w:r>
      <w:r>
        <w:rPr>
          <w:rFonts w:hint="eastAsia" w:ascii="楷体" w:hAnsi="楷体" w:eastAsia="楷体" w:cs="楷体"/>
          <w:color w:val="auto"/>
          <w:sz w:val="32"/>
          <w:szCs w:val="32"/>
        </w:rPr>
        <w:t xml:space="preserve"> </w:t>
      </w:r>
      <w:r>
        <w:rPr>
          <w:rFonts w:hint="eastAsia" w:ascii="仿宋" w:hAnsi="仿宋" w:eastAsia="仿宋" w:cs="仿宋"/>
          <w:color w:val="auto"/>
          <w:sz w:val="32"/>
          <w:szCs w:val="32"/>
        </w:rPr>
        <w:t>机场、火车站、汽车站、轨道交通场站以及娱乐场所、宾馆、餐饮服务场所、洗浴场所、互联网上网服务营业场所等公共场所的经营者、管理者，应当依法加强对公共场所的管理和从业人员禁毒教育培训，在场所内显著位置、人员密集区域公布禁毒举报电话，采取多种形式开展禁毒宣传教育。</w:t>
      </w:r>
    </w:p>
    <w:p>
      <w:pPr>
        <w:pStyle w:val="4"/>
        <w:keepNext w:val="0"/>
        <w:keepLines w:val="0"/>
        <w:pageBreakBefore w:val="0"/>
        <w:widowControl w:val="0"/>
        <w:kinsoku/>
        <w:wordWrap/>
        <w:overflowPunct/>
        <w:topLinePunct w:val="0"/>
        <w:autoSpaceDE/>
        <w:autoSpaceDN/>
        <w:bidi w:val="0"/>
        <w:spacing w:line="600" w:lineRule="exact"/>
        <w:ind w:firstLine="640"/>
        <w:textAlignment w:val="auto"/>
        <w:rPr>
          <w:rFonts w:ascii="黑体" w:hAnsi="黑体" w:eastAsia="黑体" w:cs="黑体"/>
          <w:color w:val="auto"/>
        </w:rPr>
      </w:pPr>
      <w:r>
        <w:rPr>
          <w:rFonts w:hint="eastAsia" w:ascii="仿宋" w:hAnsi="仿宋" w:eastAsia="仿宋" w:cs="仿宋"/>
          <w:color w:val="auto"/>
        </w:rPr>
        <w:t>前款所列场所的经营者、管理者应当建立巡查制度，发现场所内有涉毒违法犯罪活动的，应当立即报告公安机关并协助调查。</w:t>
      </w:r>
    </w:p>
    <w:p>
      <w:pPr>
        <w:keepNext w:val="0"/>
        <w:keepLines w:val="0"/>
        <w:pageBreakBefore w:val="0"/>
        <w:widowControl w:val="0"/>
        <w:kinsoku/>
        <w:wordWrap/>
        <w:overflowPunct/>
        <w:topLinePunct w:val="0"/>
        <w:autoSpaceDE/>
        <w:autoSpaceDN/>
        <w:bidi w:val="0"/>
        <w:spacing w:line="600" w:lineRule="exact"/>
        <w:jc w:val="center"/>
        <w:textAlignment w:val="auto"/>
        <w:rPr>
          <w:rFonts w:ascii="黑体" w:hAnsi="黑体" w:eastAsia="黑体" w:cs="黑体"/>
          <w:color w:val="auto"/>
          <w:sz w:val="32"/>
          <w:szCs w:val="32"/>
        </w:rPr>
      </w:pPr>
    </w:p>
    <w:p>
      <w:pPr>
        <w:keepNext w:val="0"/>
        <w:keepLines w:val="0"/>
        <w:pageBreakBefore w:val="0"/>
        <w:widowControl w:val="0"/>
        <w:kinsoku/>
        <w:wordWrap/>
        <w:overflowPunct/>
        <w:topLinePunct w:val="0"/>
        <w:autoSpaceDE/>
        <w:autoSpaceDN/>
        <w:bidi w:val="0"/>
        <w:spacing w:line="600" w:lineRule="exact"/>
        <w:jc w:val="center"/>
        <w:textAlignment w:val="auto"/>
        <w:rPr>
          <w:rFonts w:ascii="黑体" w:hAnsi="黑体" w:eastAsia="黑体" w:cs="黑体"/>
          <w:color w:val="auto"/>
          <w:sz w:val="32"/>
          <w:szCs w:val="32"/>
        </w:rPr>
      </w:pPr>
      <w:r>
        <w:rPr>
          <w:rFonts w:hint="eastAsia" w:ascii="黑体" w:hAnsi="黑体" w:eastAsia="黑体" w:cs="黑体"/>
          <w:color w:val="auto"/>
          <w:sz w:val="32"/>
          <w:szCs w:val="32"/>
        </w:rPr>
        <w:t>第三章  毒品和制毒物品管制</w:t>
      </w:r>
    </w:p>
    <w:p>
      <w:pPr>
        <w:pStyle w:val="4"/>
        <w:keepNext w:val="0"/>
        <w:keepLines w:val="0"/>
        <w:pageBreakBefore w:val="0"/>
        <w:widowControl w:val="0"/>
        <w:kinsoku/>
        <w:wordWrap/>
        <w:overflowPunct/>
        <w:topLinePunct w:val="0"/>
        <w:autoSpaceDE/>
        <w:autoSpaceDN/>
        <w:bidi w:val="0"/>
        <w:spacing w:line="600" w:lineRule="exact"/>
        <w:ind w:firstLine="640"/>
        <w:textAlignment w:val="auto"/>
        <w:rPr>
          <w:color w:val="auto"/>
        </w:rPr>
      </w:pP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rFonts w:ascii="仿宋" w:hAnsi="仿宋" w:eastAsia="仿宋" w:cs="仿宋"/>
          <w:color w:val="auto"/>
          <w:sz w:val="32"/>
          <w:szCs w:val="32"/>
        </w:rPr>
      </w:pPr>
      <w:r>
        <w:rPr>
          <w:rFonts w:hint="eastAsia" w:ascii="黑体" w:hAnsi="黑体" w:eastAsia="黑体" w:cs="黑体"/>
          <w:color w:val="auto"/>
          <w:sz w:val="32"/>
          <w:szCs w:val="32"/>
        </w:rPr>
        <w:t>第十九条</w:t>
      </w:r>
      <w:r>
        <w:rPr>
          <w:rFonts w:hint="eastAsia" w:ascii="楷体" w:hAnsi="楷体" w:eastAsia="楷体" w:cs="楷体"/>
          <w:color w:val="auto"/>
          <w:sz w:val="32"/>
          <w:szCs w:val="32"/>
        </w:rPr>
        <w:t xml:space="preserve"> </w:t>
      </w:r>
      <w:r>
        <w:rPr>
          <w:rFonts w:hint="eastAsia" w:ascii="仿宋" w:hAnsi="仿宋" w:eastAsia="仿宋" w:cs="仿宋"/>
          <w:color w:val="auto"/>
          <w:sz w:val="32"/>
          <w:szCs w:val="32"/>
        </w:rPr>
        <w:t>禁止非法种植罂粟、古柯植物、大麻植物以及国家规定管制的可以用于提炼加工毒品的其他原植物。</w:t>
      </w: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县级以上人民政府应当组织公安、农业农村、林业等部门定期开展巡查、监测，做好禁种工作，发现非法种植毒品原植物的，立即采取措施，依法予以制止、铲除。</w:t>
      </w: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rFonts w:ascii="黑体" w:hAnsi="黑体" w:eastAsia="黑体" w:cs="黑体"/>
          <w:color w:val="auto"/>
          <w:sz w:val="32"/>
          <w:szCs w:val="32"/>
        </w:rPr>
      </w:pPr>
      <w:r>
        <w:rPr>
          <w:rFonts w:hint="eastAsia" w:ascii="仿宋" w:hAnsi="仿宋" w:eastAsia="仿宋" w:cs="仿宋"/>
          <w:color w:val="auto"/>
          <w:sz w:val="32"/>
          <w:szCs w:val="32"/>
        </w:rPr>
        <w:t>乡（镇）人民政府、街道办事处负责组织辖区内的村民委员会、居民委员会加强巡查，发现非法种植毒品原植物的，及时予以制止、铲除，并向当地公安机关报告。</w:t>
      </w: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 xml:space="preserve">第二十条 </w:t>
      </w:r>
      <w:r>
        <w:rPr>
          <w:rFonts w:hint="eastAsia" w:ascii="仿宋" w:hAnsi="仿宋" w:eastAsia="仿宋" w:cs="仿宋"/>
          <w:color w:val="auto"/>
          <w:sz w:val="32"/>
          <w:szCs w:val="32"/>
        </w:rPr>
        <w:t>高等学校、科研院所、医疗机构、检验检测机构、药品研发企业等单位应当加强对可用于制造毒品或者鉴定毒品的重点仪器设备的管理，按照国家要求建立重点仪器设备购置、销售、租赁、使用等信息登记制度。</w:t>
      </w:r>
    </w:p>
    <w:p>
      <w:pPr>
        <w:keepNext w:val="0"/>
        <w:keepLines w:val="0"/>
        <w:pageBreakBefore w:val="0"/>
        <w:widowControl w:val="0"/>
        <w:kinsoku/>
        <w:wordWrap/>
        <w:overflowPunct/>
        <w:topLinePunct w:val="0"/>
        <w:autoSpaceDE/>
        <w:autoSpaceDN/>
        <w:bidi w:val="0"/>
        <w:adjustRightInd w:val="0"/>
        <w:snapToGrid w:val="0"/>
        <w:spacing w:line="600" w:lineRule="exact"/>
        <w:ind w:firstLine="640" w:firstLineChars="200"/>
        <w:textAlignment w:val="auto"/>
        <w:rPr>
          <w:rFonts w:hint="eastAsia" w:ascii="黑体" w:hAnsi="黑体" w:eastAsia="黑体" w:cs="黑体"/>
          <w:color w:val="auto"/>
          <w:sz w:val="32"/>
          <w:szCs w:val="32"/>
        </w:rPr>
      </w:pPr>
      <w:r>
        <w:rPr>
          <w:rFonts w:hint="eastAsia" w:ascii="仿宋" w:hAnsi="仿宋" w:eastAsia="仿宋" w:cs="仿宋"/>
          <w:color w:val="auto"/>
          <w:sz w:val="32"/>
          <w:szCs w:val="32"/>
        </w:rPr>
        <w:t>对尚未列入国家规定管制的、具有成瘾性的物质，公安机关应当会同卫生健康、药品监督管理等部门组织专家进行风险评估；对存在滥用风险等可能造成社会危害的物质，公安机关应当重点监测，并及时向社会发布预警信息，必要时可以采取要求经营管理单位留存购销记录等管理措施。</w:t>
      </w: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rFonts w:ascii="仿宋" w:hAnsi="仿宋" w:eastAsia="仿宋" w:cs="仿宋"/>
          <w:color w:val="auto"/>
          <w:sz w:val="32"/>
          <w:szCs w:val="32"/>
        </w:rPr>
      </w:pPr>
      <w:r>
        <w:rPr>
          <w:rFonts w:hint="eastAsia" w:ascii="黑体" w:hAnsi="黑体" w:eastAsia="黑体" w:cs="黑体"/>
          <w:color w:val="auto"/>
          <w:sz w:val="32"/>
          <w:szCs w:val="32"/>
        </w:rPr>
        <w:t>第二十一条</w:t>
      </w:r>
      <w:r>
        <w:rPr>
          <w:rFonts w:hint="eastAsia" w:ascii="楷体" w:hAnsi="楷体" w:eastAsia="楷体" w:cs="楷体"/>
          <w:color w:val="auto"/>
          <w:sz w:val="32"/>
          <w:szCs w:val="32"/>
        </w:rPr>
        <w:t xml:space="preserve"> </w:t>
      </w:r>
      <w:r>
        <w:rPr>
          <w:rFonts w:hint="eastAsia" w:ascii="仿宋" w:hAnsi="仿宋" w:eastAsia="仿宋" w:cs="仿宋"/>
          <w:color w:val="auto"/>
          <w:sz w:val="32"/>
          <w:szCs w:val="32"/>
        </w:rPr>
        <w:t>禁止在食品和食品添加剂中添加《中华人民共和国禁毒法》规定的毒品原植物及其种子、幼苗或者其他含有毒品成分的物质。</w:t>
      </w: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rFonts w:ascii="仿宋" w:hAnsi="仿宋" w:eastAsia="仿宋" w:cs="仿宋"/>
          <w:color w:val="auto"/>
          <w:sz w:val="32"/>
          <w:szCs w:val="32"/>
        </w:rPr>
      </w:pPr>
      <w:r>
        <w:rPr>
          <w:rFonts w:hint="eastAsia" w:ascii="仿宋" w:hAnsi="仿宋" w:eastAsia="仿宋" w:cs="仿宋"/>
          <w:color w:val="auto"/>
          <w:sz w:val="32"/>
          <w:szCs w:val="32"/>
        </w:rPr>
        <w:t>市场监督管理部门对食品进行抽样检测或者检验中，发现前款情形的，应当及时通报公安机关。</w:t>
      </w: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rFonts w:ascii="仿宋" w:hAnsi="仿宋" w:eastAsia="仿宋" w:cs="仿宋"/>
          <w:color w:val="auto"/>
          <w:sz w:val="32"/>
          <w:szCs w:val="32"/>
        </w:rPr>
      </w:pPr>
      <w:r>
        <w:rPr>
          <w:rFonts w:hint="eastAsia" w:ascii="黑体" w:hAnsi="黑体" w:eastAsia="黑体" w:cs="黑体"/>
          <w:color w:val="auto"/>
          <w:sz w:val="32"/>
          <w:szCs w:val="32"/>
        </w:rPr>
        <w:t>第二十二条</w:t>
      </w:r>
      <w:r>
        <w:rPr>
          <w:rFonts w:hint="eastAsia" w:ascii="楷体" w:hAnsi="楷体" w:eastAsia="楷体" w:cs="楷体"/>
          <w:color w:val="auto"/>
          <w:sz w:val="32"/>
          <w:szCs w:val="32"/>
        </w:rPr>
        <w:t xml:space="preserve"> </w:t>
      </w:r>
      <w:r>
        <w:rPr>
          <w:rFonts w:hint="eastAsia" w:ascii="仿宋" w:hAnsi="仿宋" w:eastAsia="仿宋" w:cs="仿宋"/>
          <w:color w:val="auto"/>
          <w:sz w:val="32"/>
          <w:szCs w:val="32"/>
        </w:rPr>
        <w:t>生产、运输、储存、销售、购买、使用和进（出）口麻醉药品、精神药品、易制毒化学品的单位，应当执行国家有关许可、查验规定，建立单位内部管理制度，防止麻醉药品、精神药品、易制毒化学品流入非法渠道。</w:t>
      </w: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rFonts w:ascii="仿宋" w:hAnsi="仿宋" w:eastAsia="仿宋" w:cs="仿宋"/>
          <w:color w:val="auto"/>
          <w:sz w:val="32"/>
          <w:szCs w:val="32"/>
        </w:rPr>
      </w:pPr>
      <w:r>
        <w:rPr>
          <w:rFonts w:hint="eastAsia" w:ascii="仿宋" w:hAnsi="仿宋" w:eastAsia="仿宋" w:cs="仿宋"/>
          <w:color w:val="auto"/>
          <w:sz w:val="32"/>
          <w:szCs w:val="32"/>
        </w:rPr>
        <w:t>麻醉药品、精神药品、易制毒化学品的生产、运输、储存、销售、购买、使用和进（出）口等信息应当全程记录，并长期保存。</w:t>
      </w: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第二十三条</w:t>
      </w:r>
      <w:r>
        <w:rPr>
          <w:rFonts w:hint="eastAsia" w:ascii="楷体" w:hAnsi="楷体" w:eastAsia="楷体" w:cs="楷体"/>
          <w:color w:val="auto"/>
          <w:sz w:val="32"/>
          <w:szCs w:val="32"/>
        </w:rPr>
        <w:t xml:space="preserve"> </w:t>
      </w:r>
      <w:r>
        <w:rPr>
          <w:rFonts w:hint="eastAsia" w:ascii="仿宋" w:hAnsi="仿宋" w:eastAsia="仿宋" w:cs="仿宋"/>
          <w:color w:val="auto"/>
          <w:sz w:val="32"/>
          <w:szCs w:val="32"/>
        </w:rPr>
        <w:t>公安、商务、卫生健康、药品监督管理、海关以及其他有关部门应当在各自的职责范围内，按照国家有关规定，加强对麻醉药品药用原植物和麻醉药品、精神药品、易制毒化学品等的监督管理，建立健全协作机制和信息通报制度。</w:t>
      </w: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rFonts w:ascii="仿宋" w:hAnsi="仿宋" w:eastAsia="仿宋" w:cs="仿宋"/>
          <w:color w:val="auto"/>
          <w:sz w:val="32"/>
          <w:szCs w:val="32"/>
        </w:rPr>
      </w:pPr>
      <w:r>
        <w:rPr>
          <w:rFonts w:hint="eastAsia" w:ascii="黑体" w:hAnsi="黑体" w:eastAsia="黑体" w:cs="黑体"/>
          <w:color w:val="auto"/>
          <w:sz w:val="32"/>
          <w:szCs w:val="32"/>
        </w:rPr>
        <w:t>第二十四条</w:t>
      </w:r>
      <w:r>
        <w:rPr>
          <w:rFonts w:hint="eastAsia" w:ascii="楷体" w:hAnsi="楷体" w:eastAsia="楷体" w:cs="楷体"/>
          <w:color w:val="auto"/>
          <w:sz w:val="32"/>
          <w:szCs w:val="32"/>
        </w:rPr>
        <w:t xml:space="preserve"> </w:t>
      </w:r>
      <w:r>
        <w:rPr>
          <w:rFonts w:hint="eastAsia" w:ascii="仿宋" w:hAnsi="仿宋" w:eastAsia="仿宋" w:cs="仿宋"/>
          <w:color w:val="auto"/>
          <w:sz w:val="32"/>
          <w:szCs w:val="32"/>
        </w:rPr>
        <w:t>物流、寄递、仓储、运输企业应当建立健全禁毒管理制度，按照国家有关规定落实收寄验视和实名寄递制度，相关单据、凭证资料、电子信息档案等保存时间不得少于一年。</w:t>
      </w: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rFonts w:ascii="仿宋" w:hAnsi="仿宋" w:eastAsia="仿宋" w:cs="仿宋"/>
          <w:color w:val="auto"/>
          <w:sz w:val="32"/>
          <w:szCs w:val="32"/>
        </w:rPr>
      </w:pPr>
      <w:r>
        <w:rPr>
          <w:rFonts w:hint="eastAsia" w:ascii="仿宋" w:hAnsi="仿宋" w:eastAsia="仿宋" w:cs="仿宋"/>
          <w:color w:val="auto"/>
          <w:sz w:val="32"/>
          <w:szCs w:val="32"/>
        </w:rPr>
        <w:t>发现客户委托运输、寄递、仓储疑似毒品或者非法委托运输、寄递、仓储易制毒化学品的，应当停止运输、寄递，不予仓储，立即向公安机关或者海关报告，并配合公安机关或者海关进行调查。</w:t>
      </w:r>
    </w:p>
    <w:p>
      <w:pPr>
        <w:pStyle w:val="10"/>
        <w:keepNext w:val="0"/>
        <w:keepLines w:val="0"/>
        <w:pageBreakBefore w:val="0"/>
        <w:widowControl w:val="0"/>
        <w:kinsoku/>
        <w:wordWrap/>
        <w:overflowPunct/>
        <w:topLinePunct w:val="0"/>
        <w:autoSpaceDE/>
        <w:autoSpaceDN/>
        <w:bidi w:val="0"/>
        <w:spacing w:line="600" w:lineRule="exact"/>
        <w:ind w:left="0" w:leftChars="0" w:firstLine="640"/>
        <w:textAlignment w:val="auto"/>
        <w:rPr>
          <w:rFonts w:ascii="仿宋" w:hAnsi="仿宋" w:eastAsia="仿宋" w:cs="仿宋"/>
          <w:color w:val="auto"/>
          <w:sz w:val="32"/>
          <w:szCs w:val="32"/>
        </w:rPr>
      </w:pPr>
      <w:r>
        <w:rPr>
          <w:rFonts w:hint="eastAsia" w:ascii="仿宋" w:hAnsi="仿宋" w:eastAsia="仿宋" w:cs="仿宋"/>
          <w:color w:val="auto"/>
          <w:sz w:val="32"/>
          <w:szCs w:val="32"/>
        </w:rPr>
        <w:t>公安、交通运输等部门应当建立健全禁毒联合检查机制，对邮政、寄递、物流等经营单位执行禁毒管理制度进行检查，对托运、寄递的物品进行抽查。对未严格执行相关管理制度的邮政、寄递、物流等经营单位应当增加检查频次。</w:t>
      </w: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rFonts w:ascii="仿宋" w:hAnsi="仿宋" w:eastAsia="仿宋" w:cs="仿宋"/>
          <w:color w:val="auto"/>
          <w:sz w:val="32"/>
          <w:szCs w:val="32"/>
        </w:rPr>
      </w:pPr>
      <w:r>
        <w:rPr>
          <w:rFonts w:hint="eastAsia" w:ascii="黑体" w:hAnsi="黑体" w:eastAsia="黑体" w:cs="黑体"/>
          <w:color w:val="auto"/>
          <w:sz w:val="32"/>
          <w:szCs w:val="32"/>
        </w:rPr>
        <w:t>第二十五条</w:t>
      </w:r>
      <w:r>
        <w:rPr>
          <w:rFonts w:hint="eastAsia" w:ascii="楷体" w:hAnsi="楷体" w:eastAsia="楷体" w:cs="楷体"/>
          <w:color w:val="auto"/>
          <w:sz w:val="32"/>
          <w:szCs w:val="32"/>
        </w:rPr>
        <w:t xml:space="preserve"> </w:t>
      </w:r>
      <w:r>
        <w:rPr>
          <w:rFonts w:hint="eastAsia" w:ascii="仿宋" w:hAnsi="仿宋" w:eastAsia="仿宋" w:cs="仿宋"/>
          <w:color w:val="auto"/>
          <w:sz w:val="32"/>
          <w:szCs w:val="32"/>
        </w:rPr>
        <w:t>网信、公安、通信管理等部门应当建立协作机制，加强对互联网涉嫌毒品违法犯罪信息的监测。</w:t>
      </w: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网络运营者发现利用互联网服务进行涉嫌毒品违法犯罪活动的，应当</w:t>
      </w:r>
      <w:r>
        <w:rPr>
          <w:rFonts w:hint="eastAsia" w:ascii="仿宋" w:hAnsi="仿宋" w:eastAsia="仿宋" w:cs="仿宋"/>
          <w:color w:val="auto"/>
          <w:sz w:val="32"/>
          <w:szCs w:val="32"/>
          <w:lang w:val="en-US" w:eastAsia="zh-CN"/>
        </w:rPr>
        <w:t>立即停止传输、删除违法信息，</w:t>
      </w:r>
      <w:r>
        <w:rPr>
          <w:rFonts w:hint="eastAsia" w:ascii="仿宋" w:hAnsi="仿宋" w:eastAsia="仿宋" w:cs="仿宋"/>
          <w:color w:val="auto"/>
          <w:sz w:val="32"/>
          <w:szCs w:val="32"/>
        </w:rPr>
        <w:t>向公安机关报告，并采取保存记录、留存后台日志等措施固定证据、协助调查。</w:t>
      </w: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互联网群组的建立者、管理者应当履行管理责任，依法规范群组网络行为和信息发布，发现涉嫌毒品违法犯罪信息的，应当立即向公安机关报告，并配合调查。</w:t>
      </w: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rFonts w:ascii="黑体" w:hAnsi="黑体" w:eastAsia="黑体" w:cs="黑体"/>
          <w:color w:val="auto"/>
          <w:sz w:val="32"/>
          <w:szCs w:val="32"/>
        </w:rPr>
      </w:pPr>
      <w:r>
        <w:rPr>
          <w:rFonts w:hint="eastAsia" w:ascii="黑体" w:hAnsi="黑体" w:eastAsia="黑体" w:cs="黑体"/>
          <w:color w:val="auto"/>
          <w:sz w:val="32"/>
          <w:szCs w:val="32"/>
        </w:rPr>
        <w:t>第二十六条</w:t>
      </w:r>
      <w:r>
        <w:rPr>
          <w:rFonts w:hint="eastAsia"/>
          <w:color w:val="auto"/>
        </w:rPr>
        <w:t xml:space="preserve"> </w:t>
      </w:r>
      <w:r>
        <w:rPr>
          <w:rFonts w:hint="eastAsia" w:ascii="仿宋" w:hAnsi="仿宋" w:eastAsia="仿宋" w:cs="仿宋"/>
          <w:color w:val="auto"/>
          <w:sz w:val="32"/>
          <w:szCs w:val="32"/>
        </w:rPr>
        <w:t>物业服务人发现服务管理区域内有涉毒行为的，应当立即向公安机关报告。</w:t>
      </w: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rFonts w:ascii="仿宋" w:hAnsi="仿宋" w:eastAsia="仿宋" w:cs="仿宋"/>
          <w:color w:val="auto"/>
          <w:sz w:val="32"/>
          <w:szCs w:val="32"/>
        </w:rPr>
      </w:pPr>
      <w:r>
        <w:rPr>
          <w:rFonts w:hint="eastAsia" w:ascii="黑体" w:hAnsi="黑体" w:eastAsia="黑体" w:cs="黑体"/>
          <w:color w:val="auto"/>
          <w:sz w:val="32"/>
          <w:szCs w:val="32"/>
        </w:rPr>
        <w:t>第二十七条</w:t>
      </w:r>
      <w:r>
        <w:rPr>
          <w:rFonts w:hint="eastAsia" w:ascii="楷体" w:hAnsi="楷体" w:eastAsia="楷体" w:cs="楷体"/>
          <w:color w:val="auto"/>
          <w:sz w:val="32"/>
          <w:szCs w:val="32"/>
        </w:rPr>
        <w:t xml:space="preserve"> </w:t>
      </w:r>
      <w:r>
        <w:rPr>
          <w:rFonts w:hint="eastAsia" w:ascii="仿宋" w:hAnsi="仿宋" w:eastAsia="仿宋" w:cs="仿宋"/>
          <w:color w:val="auto"/>
          <w:sz w:val="32"/>
          <w:szCs w:val="32"/>
        </w:rPr>
        <w:t>禁止吸毒后驾驶机动车、船舶、轨道交通工具和航空器等。</w:t>
      </w: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rFonts w:ascii="仿宋" w:hAnsi="仿宋" w:eastAsia="仿宋" w:cs="仿宋"/>
          <w:color w:val="auto"/>
          <w:sz w:val="32"/>
          <w:szCs w:val="32"/>
        </w:rPr>
      </w:pPr>
      <w:r>
        <w:rPr>
          <w:rFonts w:hint="eastAsia" w:ascii="仿宋" w:hAnsi="仿宋" w:eastAsia="仿宋" w:cs="仿宋"/>
          <w:color w:val="auto"/>
          <w:sz w:val="32"/>
          <w:szCs w:val="32"/>
        </w:rPr>
        <w:t>有下列情形之一的人员，其已经取得的相关驾驶证照应当依法注销：</w:t>
      </w: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rFonts w:ascii="仿宋" w:hAnsi="仿宋" w:eastAsia="仿宋" w:cs="仿宋"/>
          <w:color w:val="auto"/>
          <w:sz w:val="32"/>
          <w:szCs w:val="32"/>
        </w:rPr>
      </w:pPr>
      <w:r>
        <w:rPr>
          <w:rFonts w:hint="eastAsia" w:ascii="仿宋" w:hAnsi="仿宋" w:eastAsia="仿宋" w:cs="仿宋"/>
          <w:color w:val="auto"/>
          <w:sz w:val="32"/>
          <w:szCs w:val="32"/>
        </w:rPr>
        <w:t>（一）被查获有吸毒后驾驶机动车、船舶、轨道交通工具和航空器等的；</w:t>
      </w: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rFonts w:ascii="仿宋" w:hAnsi="仿宋" w:eastAsia="仿宋" w:cs="仿宋"/>
          <w:color w:val="auto"/>
          <w:sz w:val="32"/>
          <w:szCs w:val="32"/>
        </w:rPr>
      </w:pPr>
      <w:r>
        <w:rPr>
          <w:rFonts w:hint="eastAsia" w:ascii="仿宋" w:hAnsi="仿宋" w:eastAsia="仿宋" w:cs="仿宋"/>
          <w:color w:val="auto"/>
          <w:sz w:val="32"/>
          <w:szCs w:val="32"/>
        </w:rPr>
        <w:t>（二）依法被责令社区戒毒、社区康复或者决定强制隔离戒毒的；</w:t>
      </w: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（三）长期服用依赖性精神药品成瘾尚未戒除的。</w:t>
      </w: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三年内有吸食、注射毒品行为或者解除强制隔离戒毒措施未满三年，或者长期服用依赖性精神药品成瘾尚未戒除的，不得申请机动车驾驶证。</w:t>
      </w: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color w:val="auto"/>
        </w:rPr>
      </w:pPr>
      <w:r>
        <w:rPr>
          <w:rFonts w:hint="eastAsia" w:ascii="黑体" w:hAnsi="黑体" w:eastAsia="黑体" w:cs="黑体"/>
          <w:color w:val="auto"/>
          <w:sz w:val="32"/>
          <w:szCs w:val="32"/>
        </w:rPr>
        <w:t>第二十八条</w:t>
      </w:r>
      <w:r>
        <w:rPr>
          <w:rFonts w:hint="eastAsia" w:ascii="楷体" w:hAnsi="楷体" w:eastAsia="楷体" w:cs="楷体"/>
          <w:color w:val="auto"/>
          <w:sz w:val="32"/>
          <w:szCs w:val="32"/>
        </w:rPr>
        <w:t xml:space="preserve"> </w:t>
      </w:r>
      <w:r>
        <w:rPr>
          <w:rFonts w:hint="eastAsia" w:ascii="仿宋" w:hAnsi="仿宋" w:eastAsia="仿宋" w:cs="仿宋"/>
          <w:color w:val="auto"/>
          <w:sz w:val="32"/>
          <w:szCs w:val="32"/>
        </w:rPr>
        <w:t>铁路、公路、城市公共交通、船舶和航空器等运输企业及相关单位应当建立驾驶人员吸毒筛查制度，定期对驾驶人员进行吸毒检测，发现驾驶人员有吸毒行为的，应当立即停止其驾驶行为，并向公安机关报告。</w:t>
      </w: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rFonts w:ascii="仿宋" w:hAnsi="仿宋" w:eastAsia="仿宋" w:cs="仿宋"/>
          <w:color w:val="auto"/>
          <w:sz w:val="32"/>
          <w:szCs w:val="32"/>
        </w:rPr>
      </w:pPr>
      <w:r>
        <w:rPr>
          <w:rFonts w:hint="eastAsia" w:ascii="黑体" w:hAnsi="黑体" w:eastAsia="黑体" w:cs="黑体"/>
          <w:color w:val="auto"/>
          <w:sz w:val="32"/>
          <w:szCs w:val="32"/>
        </w:rPr>
        <w:t>第二十九条</w:t>
      </w:r>
      <w:r>
        <w:rPr>
          <w:rFonts w:hint="eastAsia" w:ascii="楷体" w:hAnsi="楷体" w:eastAsia="楷体" w:cs="楷体"/>
          <w:color w:val="auto"/>
          <w:sz w:val="32"/>
          <w:szCs w:val="32"/>
        </w:rPr>
        <w:t xml:space="preserve"> </w:t>
      </w:r>
      <w:r>
        <w:rPr>
          <w:rFonts w:hint="eastAsia" w:ascii="仿宋" w:hAnsi="仿宋" w:eastAsia="仿宋" w:cs="仿宋"/>
          <w:color w:val="auto"/>
          <w:sz w:val="32"/>
          <w:szCs w:val="32"/>
        </w:rPr>
        <w:t>公安机关根据工作需要，可以在交通要道、机场、车站等场所，设置毒品和易制毒化学品检查站点，开展毒品查缉和易制毒化学品检查工作，相关单位和个人应当予以配合。检查站点应当设置警示标识。</w:t>
      </w: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rFonts w:ascii="仿宋" w:hAnsi="仿宋" w:eastAsia="仿宋" w:cs="仿宋"/>
          <w:color w:val="auto"/>
          <w:sz w:val="32"/>
          <w:szCs w:val="32"/>
        </w:rPr>
      </w:pPr>
      <w:r>
        <w:rPr>
          <w:rFonts w:hint="eastAsia" w:ascii="黑体" w:hAnsi="黑体" w:eastAsia="黑体" w:cs="黑体"/>
          <w:color w:val="auto"/>
          <w:sz w:val="32"/>
          <w:szCs w:val="32"/>
        </w:rPr>
        <w:t>第三十条</w:t>
      </w:r>
      <w:r>
        <w:rPr>
          <w:rFonts w:hint="eastAsia" w:ascii="楷体" w:hAnsi="楷体" w:eastAsia="楷体" w:cs="楷体"/>
          <w:color w:val="auto"/>
          <w:sz w:val="32"/>
          <w:szCs w:val="32"/>
        </w:rPr>
        <w:t xml:space="preserve"> </w:t>
      </w:r>
      <w:r>
        <w:rPr>
          <w:rFonts w:hint="eastAsia" w:ascii="仿宋" w:hAnsi="仿宋" w:eastAsia="仿宋" w:cs="仿宋"/>
          <w:color w:val="auto"/>
          <w:sz w:val="32"/>
          <w:szCs w:val="32"/>
        </w:rPr>
        <w:t>金融机构应当依法执行大额交易和可疑交易报告管理制度，加强毒品违法犯罪可疑资金监测，发现涉嫌毒品违法犯罪资金流动情况的，及时向反洗钱行政主管部门和所在地公安机关报告，配合公安机关调查取证。</w:t>
      </w:r>
    </w:p>
    <w:p>
      <w:pPr>
        <w:keepNext w:val="0"/>
        <w:keepLines w:val="0"/>
        <w:pageBreakBefore w:val="0"/>
        <w:widowControl w:val="0"/>
        <w:kinsoku/>
        <w:wordWrap/>
        <w:overflowPunct/>
        <w:topLinePunct w:val="0"/>
        <w:autoSpaceDE/>
        <w:autoSpaceDN/>
        <w:bidi w:val="0"/>
        <w:spacing w:line="600" w:lineRule="exact"/>
        <w:ind w:firstLine="616" w:firstLineChars="200"/>
        <w:textAlignment w:val="auto"/>
        <w:rPr>
          <w:rFonts w:ascii="仿宋_GB2312" w:hAnsi="宋体" w:eastAsia="仿宋_GB2312" w:cs="宋体"/>
          <w:color w:val="auto"/>
          <w:spacing w:val="-6"/>
          <w:kern w:val="0"/>
          <w:sz w:val="32"/>
          <w:szCs w:val="32"/>
        </w:rPr>
      </w:pPr>
    </w:p>
    <w:p>
      <w:pPr>
        <w:keepNext w:val="0"/>
        <w:keepLines w:val="0"/>
        <w:pageBreakBefore w:val="0"/>
        <w:widowControl w:val="0"/>
        <w:kinsoku/>
        <w:wordWrap/>
        <w:overflowPunct/>
        <w:topLinePunct w:val="0"/>
        <w:autoSpaceDE/>
        <w:autoSpaceDN/>
        <w:bidi w:val="0"/>
        <w:spacing w:line="600" w:lineRule="exact"/>
        <w:jc w:val="center"/>
        <w:textAlignment w:val="auto"/>
        <w:rPr>
          <w:rFonts w:ascii="黑体" w:hAnsi="黑体" w:eastAsia="黑体" w:cs="黑体"/>
          <w:color w:val="auto"/>
          <w:sz w:val="32"/>
          <w:szCs w:val="32"/>
        </w:rPr>
      </w:pPr>
      <w:r>
        <w:rPr>
          <w:rFonts w:hint="eastAsia" w:ascii="黑体" w:hAnsi="黑体" w:eastAsia="黑体" w:cs="黑体"/>
          <w:color w:val="auto"/>
          <w:sz w:val="32"/>
          <w:szCs w:val="32"/>
        </w:rPr>
        <w:t>第四章  戒毒措施</w:t>
      </w:r>
    </w:p>
    <w:p>
      <w:pPr>
        <w:keepNext w:val="0"/>
        <w:keepLines w:val="0"/>
        <w:pageBreakBefore w:val="0"/>
        <w:widowControl w:val="0"/>
        <w:kinsoku/>
        <w:wordWrap/>
        <w:overflowPunct/>
        <w:topLinePunct w:val="0"/>
        <w:autoSpaceDE/>
        <w:autoSpaceDN/>
        <w:bidi w:val="0"/>
        <w:spacing w:line="600" w:lineRule="exact"/>
        <w:jc w:val="center"/>
        <w:textAlignment w:val="auto"/>
        <w:rPr>
          <w:rFonts w:ascii="黑体" w:hAnsi="黑体" w:eastAsia="黑体" w:cs="黑体"/>
          <w:color w:val="auto"/>
          <w:sz w:val="32"/>
          <w:szCs w:val="32"/>
        </w:rPr>
      </w:pP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rFonts w:ascii="仿宋" w:hAnsi="仿宋" w:eastAsia="仿宋" w:cs="仿宋"/>
          <w:color w:val="auto"/>
          <w:sz w:val="32"/>
          <w:szCs w:val="32"/>
        </w:rPr>
      </w:pPr>
      <w:r>
        <w:rPr>
          <w:rFonts w:hint="eastAsia" w:ascii="黑体" w:hAnsi="黑体" w:eastAsia="黑体" w:cs="黑体"/>
          <w:color w:val="auto"/>
          <w:sz w:val="32"/>
          <w:szCs w:val="32"/>
        </w:rPr>
        <w:t>第三十一条</w:t>
      </w:r>
      <w:r>
        <w:rPr>
          <w:rFonts w:hint="eastAsia" w:ascii="楷体" w:hAnsi="楷体" w:eastAsia="楷体" w:cs="楷体"/>
          <w:color w:val="auto"/>
          <w:sz w:val="32"/>
          <w:szCs w:val="32"/>
        </w:rPr>
        <w:t xml:space="preserve"> </w:t>
      </w:r>
      <w:r>
        <w:rPr>
          <w:rFonts w:hint="eastAsia" w:ascii="仿宋" w:hAnsi="仿宋" w:eastAsia="仿宋" w:cs="仿宋"/>
          <w:color w:val="auto"/>
          <w:sz w:val="32"/>
          <w:szCs w:val="32"/>
        </w:rPr>
        <w:t>戒毒工作采取自愿戒毒、社区戒毒、强制隔离戒毒、社区康复等多种措施，建立戒毒治疗、心理矫治、康复指导、救助服务兼备的工作体系。</w:t>
      </w:r>
    </w:p>
    <w:p>
      <w:pPr>
        <w:pStyle w:val="10"/>
        <w:keepNext w:val="0"/>
        <w:keepLines w:val="0"/>
        <w:pageBreakBefore w:val="0"/>
        <w:widowControl w:val="0"/>
        <w:kinsoku/>
        <w:wordWrap/>
        <w:overflowPunct/>
        <w:topLinePunct w:val="0"/>
        <w:autoSpaceDE/>
        <w:autoSpaceDN/>
        <w:bidi w:val="0"/>
        <w:spacing w:line="600" w:lineRule="exact"/>
        <w:ind w:left="0" w:leftChars="0" w:firstLine="640"/>
        <w:textAlignment w:val="auto"/>
        <w:rPr>
          <w:color w:val="auto"/>
        </w:rPr>
      </w:pPr>
      <w:r>
        <w:rPr>
          <w:rFonts w:hint="eastAsia" w:ascii="黑体" w:hAnsi="黑体" w:eastAsia="黑体" w:cs="黑体"/>
          <w:color w:val="auto"/>
          <w:sz w:val="32"/>
          <w:szCs w:val="32"/>
        </w:rPr>
        <w:t>第三十二条</w:t>
      </w:r>
      <w:r>
        <w:rPr>
          <w:rFonts w:hint="eastAsia" w:ascii="楷体" w:hAnsi="楷体" w:eastAsia="楷体" w:cs="楷体"/>
          <w:color w:val="auto"/>
          <w:sz w:val="32"/>
          <w:szCs w:val="32"/>
        </w:rPr>
        <w:t xml:space="preserve"> </w:t>
      </w:r>
      <w:r>
        <w:rPr>
          <w:rFonts w:hint="eastAsia" w:ascii="仿宋" w:hAnsi="仿宋" w:eastAsia="仿宋" w:cs="仿宋"/>
          <w:color w:val="auto"/>
          <w:sz w:val="32"/>
          <w:szCs w:val="32"/>
        </w:rPr>
        <w:t>公安机关应当依法严格对吸毒人员进行确认登记，实行分类管理、动态管控。吸毒人员户籍所在地与现居住地不一致的，由现居住地公安机关负责管控，户籍所在地公安机关予以配合。</w:t>
      </w: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rFonts w:ascii="仿宋" w:hAnsi="仿宋" w:eastAsia="仿宋" w:cs="仿宋"/>
          <w:color w:val="auto"/>
          <w:sz w:val="32"/>
          <w:szCs w:val="32"/>
        </w:rPr>
      </w:pPr>
      <w:r>
        <w:rPr>
          <w:rFonts w:hint="eastAsia" w:ascii="仿宋" w:hAnsi="仿宋" w:eastAsia="仿宋" w:cs="仿宋"/>
          <w:color w:val="auto"/>
          <w:sz w:val="32"/>
          <w:szCs w:val="32"/>
        </w:rPr>
        <w:t>对戒断三年未复吸的人员，不再实行动态管控。</w:t>
      </w: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rFonts w:ascii="仿宋" w:hAnsi="仿宋" w:eastAsia="仿宋" w:cs="仿宋"/>
          <w:color w:val="auto"/>
          <w:sz w:val="32"/>
          <w:szCs w:val="32"/>
        </w:rPr>
      </w:pPr>
      <w:r>
        <w:rPr>
          <w:rFonts w:hint="eastAsia" w:ascii="黑体" w:hAnsi="黑体" w:eastAsia="黑体" w:cs="黑体"/>
          <w:color w:val="auto"/>
          <w:sz w:val="32"/>
          <w:szCs w:val="32"/>
        </w:rPr>
        <w:t>第三十三条</w:t>
      </w:r>
      <w:r>
        <w:rPr>
          <w:rFonts w:hint="eastAsia" w:ascii="楷体" w:hAnsi="楷体" w:eastAsia="楷体" w:cs="楷体"/>
          <w:color w:val="auto"/>
          <w:sz w:val="32"/>
          <w:szCs w:val="32"/>
        </w:rPr>
        <w:t xml:space="preserve"> </w:t>
      </w:r>
      <w:r>
        <w:rPr>
          <w:rFonts w:hint="eastAsia" w:ascii="仿宋" w:hAnsi="仿宋" w:eastAsia="仿宋" w:cs="仿宋"/>
          <w:color w:val="auto"/>
          <w:sz w:val="32"/>
          <w:szCs w:val="32"/>
        </w:rPr>
        <w:t>公安机关、司法行政主管部门应当建立传染病暴发流行期间的吸毒人员查处管控和收治管理机制，并做好疫情防控工作。</w:t>
      </w: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rFonts w:ascii="仿宋" w:hAnsi="仿宋" w:eastAsia="仿宋" w:cs="仿宋"/>
          <w:color w:val="auto"/>
          <w:sz w:val="32"/>
          <w:szCs w:val="32"/>
        </w:rPr>
      </w:pPr>
      <w:r>
        <w:rPr>
          <w:rFonts w:hint="eastAsia" w:ascii="黑体" w:hAnsi="黑体" w:eastAsia="黑体" w:cs="黑体"/>
          <w:color w:val="auto"/>
          <w:sz w:val="32"/>
          <w:szCs w:val="32"/>
        </w:rPr>
        <w:t>第三十四条</w:t>
      </w:r>
      <w:r>
        <w:rPr>
          <w:rFonts w:hint="eastAsia" w:ascii="楷体" w:hAnsi="楷体" w:eastAsia="楷体" w:cs="楷体"/>
          <w:color w:val="auto"/>
          <w:sz w:val="32"/>
          <w:szCs w:val="32"/>
        </w:rPr>
        <w:t xml:space="preserve"> </w:t>
      </w:r>
      <w:r>
        <w:rPr>
          <w:rFonts w:hint="eastAsia" w:ascii="仿宋" w:hAnsi="仿宋" w:eastAsia="仿宋" w:cs="仿宋"/>
          <w:color w:val="auto"/>
          <w:sz w:val="32"/>
          <w:szCs w:val="32"/>
        </w:rPr>
        <w:t>公安机关责令社区戒毒、社区康复的人员，应当在户籍所在地接受社区戒毒、社区康复；在户籍所在地以外的现居住地居住半年以上，有合法职业或者稳定住所的，可以在现居住地接受社区戒毒、社区康复。</w:t>
      </w: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rFonts w:ascii="仿宋" w:hAnsi="仿宋" w:eastAsia="仿宋" w:cs="仿宋"/>
          <w:color w:val="auto"/>
          <w:sz w:val="32"/>
          <w:szCs w:val="32"/>
        </w:rPr>
      </w:pPr>
      <w:r>
        <w:rPr>
          <w:rFonts w:hint="eastAsia" w:ascii="黑体" w:hAnsi="黑体" w:eastAsia="黑体" w:cs="黑体"/>
          <w:color w:val="auto"/>
          <w:sz w:val="32"/>
          <w:szCs w:val="32"/>
        </w:rPr>
        <w:t>第三十五条</w:t>
      </w:r>
      <w:r>
        <w:rPr>
          <w:rFonts w:hint="eastAsia" w:ascii="楷体" w:hAnsi="楷体" w:eastAsia="楷体" w:cs="楷体"/>
          <w:color w:val="auto"/>
          <w:sz w:val="32"/>
          <w:szCs w:val="32"/>
        </w:rPr>
        <w:t xml:space="preserve"> </w:t>
      </w:r>
      <w:r>
        <w:rPr>
          <w:rFonts w:hint="eastAsia" w:ascii="仿宋" w:hAnsi="仿宋" w:eastAsia="仿宋" w:cs="仿宋"/>
          <w:color w:val="auto"/>
          <w:sz w:val="32"/>
          <w:szCs w:val="32"/>
        </w:rPr>
        <w:t>乡（镇）人民政府、街道办事处应当加强社区戒毒、社区康复工作标准化建设，运用信息化、智能化手段，对吸毒人员实行分类评估、分级管理、综合干预，纳入网格化社会管理服务体系，做好社区戒毒、社区康复以及解除强制隔离戒毒人员后续照管服务等工作，帮助吸毒人员戒除毒瘾，教育和挽救吸毒人员。</w:t>
      </w: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rFonts w:ascii="仿宋" w:hAnsi="仿宋" w:eastAsia="仿宋" w:cs="仿宋"/>
          <w:color w:val="auto"/>
          <w:sz w:val="32"/>
          <w:szCs w:val="32"/>
        </w:rPr>
      </w:pPr>
      <w:r>
        <w:rPr>
          <w:rFonts w:hint="eastAsia" w:ascii="黑体" w:hAnsi="黑体" w:eastAsia="黑体" w:cs="黑体"/>
          <w:color w:val="auto"/>
          <w:sz w:val="32"/>
          <w:szCs w:val="32"/>
        </w:rPr>
        <w:t>第三十六条</w:t>
      </w:r>
      <w:r>
        <w:rPr>
          <w:rFonts w:hint="eastAsia" w:ascii="楷体" w:hAnsi="楷体" w:eastAsia="楷体" w:cs="楷体"/>
          <w:color w:val="auto"/>
          <w:sz w:val="32"/>
          <w:szCs w:val="32"/>
        </w:rPr>
        <w:t xml:space="preserve"> </w:t>
      </w:r>
      <w:r>
        <w:rPr>
          <w:rFonts w:hint="eastAsia" w:ascii="仿宋" w:hAnsi="仿宋" w:eastAsia="仿宋" w:cs="仿宋"/>
          <w:color w:val="auto"/>
          <w:sz w:val="32"/>
          <w:szCs w:val="32"/>
        </w:rPr>
        <w:t>县级以上人民政府应当根据社区戒毒、社区康复工作需要，为乡（镇）人民政府、街道办事处配备与工作相适应的专职人员、办公场所，并保障工作经费。</w:t>
      </w: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县级以上人民政府可以通过政府购买服务等方式，加强禁毒社会工作者队伍建设，充实社区戒毒、社区康复工作队伍，开展戒毒康复、帮扶救助、宣传教育和有关禁毒管理服务工作。</w:t>
      </w: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rFonts w:ascii="仿宋" w:hAnsi="仿宋" w:eastAsia="仿宋" w:cs="仿宋"/>
          <w:color w:val="auto"/>
          <w:sz w:val="32"/>
          <w:szCs w:val="32"/>
        </w:rPr>
      </w:pPr>
      <w:r>
        <w:rPr>
          <w:rFonts w:hint="eastAsia" w:ascii="仿宋" w:hAnsi="仿宋" w:eastAsia="仿宋" w:cs="仿宋"/>
          <w:color w:val="auto"/>
          <w:sz w:val="32"/>
          <w:szCs w:val="32"/>
        </w:rPr>
        <w:t>县（市、区）人民政府应当建立禁毒社会工作者统一管理制度，实行统一招录、统一调配使用，加强职业培训，依法保障其工资福利、社会保险、健康体检等待遇，防范和减少职业风险，将获得全国社会工作者职业水平证书的禁毒社会工作者纳入专业技术人员管理范围。</w:t>
      </w: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rFonts w:ascii="仿宋" w:hAnsi="仿宋" w:eastAsia="仿宋" w:cs="仿宋"/>
          <w:color w:val="auto"/>
          <w:sz w:val="32"/>
          <w:szCs w:val="32"/>
        </w:rPr>
      </w:pPr>
      <w:r>
        <w:rPr>
          <w:rFonts w:hint="eastAsia" w:ascii="黑体" w:hAnsi="黑体" w:eastAsia="黑体" w:cs="黑体"/>
          <w:color w:val="auto"/>
          <w:sz w:val="32"/>
          <w:szCs w:val="32"/>
        </w:rPr>
        <w:t>第三十七条</w:t>
      </w:r>
      <w:r>
        <w:rPr>
          <w:rFonts w:hint="eastAsia" w:ascii="楷体" w:hAnsi="楷体" w:eastAsia="楷体" w:cs="楷体"/>
          <w:color w:val="auto"/>
          <w:sz w:val="32"/>
          <w:szCs w:val="32"/>
        </w:rPr>
        <w:t xml:space="preserve"> </w:t>
      </w:r>
      <w:r>
        <w:rPr>
          <w:rFonts w:hint="eastAsia" w:ascii="仿宋" w:hAnsi="仿宋" w:eastAsia="仿宋" w:cs="仿宋"/>
          <w:color w:val="auto"/>
          <w:sz w:val="32"/>
          <w:szCs w:val="32"/>
        </w:rPr>
        <w:t>社区戒毒、社区康复人员应当自收到公安机关社区戒毒决定书、社区康复决定书之日起十五日内，到执行地乡（镇）人民政府、街道办事处的社区戒毒、社区康复工作机构报到。</w:t>
      </w: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rFonts w:ascii="仿宋" w:hAnsi="仿宋" w:eastAsia="仿宋" w:cs="仿宋"/>
          <w:color w:val="auto"/>
          <w:sz w:val="32"/>
          <w:szCs w:val="32"/>
        </w:rPr>
      </w:pPr>
      <w:r>
        <w:rPr>
          <w:rFonts w:hint="eastAsia" w:ascii="仿宋" w:hAnsi="仿宋" w:eastAsia="仿宋" w:cs="仿宋"/>
          <w:color w:val="auto"/>
          <w:sz w:val="32"/>
          <w:szCs w:val="32"/>
        </w:rPr>
        <w:t>社区戒毒、社区康复人员无正当理由逾期不报到的，视为拒绝接受社区戒毒、社区康复。社区戒毒、社区康复工作机构应当在其报到时限逾期后三日内通报作出社区戒毒、社区康复决定的公安机关以及执行地公安机关。</w:t>
      </w: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rFonts w:ascii="仿宋" w:hAnsi="仿宋" w:eastAsia="仿宋" w:cs="仿宋"/>
          <w:color w:val="auto"/>
          <w:sz w:val="32"/>
          <w:szCs w:val="32"/>
        </w:rPr>
      </w:pPr>
      <w:r>
        <w:rPr>
          <w:rFonts w:hint="eastAsia" w:ascii="黑体" w:hAnsi="黑体" w:eastAsia="黑体" w:cs="黑体"/>
          <w:color w:val="auto"/>
          <w:sz w:val="32"/>
          <w:szCs w:val="32"/>
        </w:rPr>
        <w:t>第三十八条</w:t>
      </w:r>
      <w:r>
        <w:rPr>
          <w:rFonts w:hint="eastAsia" w:ascii="楷体" w:hAnsi="楷体" w:eastAsia="楷体" w:cs="楷体"/>
          <w:color w:val="auto"/>
          <w:sz w:val="32"/>
          <w:szCs w:val="32"/>
        </w:rPr>
        <w:t xml:space="preserve"> </w:t>
      </w:r>
      <w:r>
        <w:rPr>
          <w:rFonts w:hint="eastAsia" w:ascii="仿宋" w:hAnsi="仿宋" w:eastAsia="仿宋" w:cs="仿宋"/>
          <w:color w:val="auto"/>
          <w:sz w:val="32"/>
          <w:szCs w:val="32"/>
        </w:rPr>
        <w:t>社区戒毒、社区康复人员需要变更执行地的，应当向现执行地公安机关提出书面申请，现执行地公安机关应当自收到书面申请七日内进行审批。同意变更的，应当告知社区戒毒、社区康复人员十五日内到新执行地报到，并通知现执行地乡（镇）人民政府、街道办事处依法转送有关资料。</w:t>
      </w: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rFonts w:ascii="仿宋" w:hAnsi="仿宋" w:eastAsia="仿宋" w:cs="仿宋"/>
          <w:color w:val="auto"/>
          <w:sz w:val="32"/>
          <w:szCs w:val="32"/>
        </w:rPr>
      </w:pPr>
      <w:r>
        <w:rPr>
          <w:rFonts w:hint="eastAsia" w:ascii="黑体" w:hAnsi="黑体" w:eastAsia="黑体" w:cs="黑体"/>
          <w:color w:val="auto"/>
          <w:sz w:val="32"/>
          <w:szCs w:val="32"/>
        </w:rPr>
        <w:t>第三十九条</w:t>
      </w:r>
      <w:r>
        <w:rPr>
          <w:rFonts w:hint="eastAsia" w:ascii="楷体" w:hAnsi="楷体" w:eastAsia="楷体" w:cs="楷体"/>
          <w:color w:val="auto"/>
          <w:sz w:val="32"/>
          <w:szCs w:val="32"/>
        </w:rPr>
        <w:t xml:space="preserve"> </w:t>
      </w:r>
      <w:r>
        <w:rPr>
          <w:rFonts w:hint="eastAsia" w:ascii="仿宋" w:hAnsi="仿宋" w:eastAsia="仿宋" w:cs="仿宋"/>
          <w:color w:val="auto"/>
          <w:sz w:val="32"/>
          <w:szCs w:val="32"/>
        </w:rPr>
        <w:t>公安机关应当按照相关规定对社区戒毒、社区康复人员进行检测。因故推迟检测或者漏检不超过三个月的，可以采取毛发检测等方式进行补检。</w:t>
      </w: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rFonts w:ascii="仿宋" w:hAnsi="仿宋" w:eastAsia="仿宋" w:cs="仿宋"/>
          <w:color w:val="auto"/>
          <w:sz w:val="32"/>
          <w:szCs w:val="32"/>
        </w:rPr>
      </w:pPr>
      <w:r>
        <w:rPr>
          <w:rFonts w:hint="eastAsia" w:ascii="仿宋" w:hAnsi="仿宋" w:eastAsia="仿宋" w:cs="仿宋"/>
          <w:color w:val="auto"/>
          <w:sz w:val="32"/>
          <w:szCs w:val="32"/>
        </w:rPr>
        <w:t>社区戒毒、社区康复人员短期离开执行地的，执行地公安机关可以委托社区戒毒、社区康复人员临时所在地公安机关进行检测，相关公安机关应当开展检测，并将结果及时反馈执行地公安机关。</w:t>
      </w: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第四十条</w:t>
      </w:r>
      <w:r>
        <w:rPr>
          <w:rFonts w:hint="eastAsia" w:ascii="楷体" w:hAnsi="楷体" w:eastAsia="楷体" w:cs="楷体"/>
          <w:color w:val="auto"/>
          <w:sz w:val="32"/>
          <w:szCs w:val="32"/>
        </w:rPr>
        <w:t xml:space="preserve"> </w:t>
      </w:r>
      <w:r>
        <w:rPr>
          <w:rFonts w:hint="eastAsia" w:ascii="仿宋" w:hAnsi="仿宋" w:eastAsia="仿宋" w:cs="仿宋"/>
          <w:color w:val="auto"/>
          <w:sz w:val="32"/>
          <w:szCs w:val="32"/>
        </w:rPr>
        <w:t>社区戒毒、社区康复人员应当履行社区戒毒、社区康复协议，按时接受毒品检测，遵守相关规定。</w:t>
      </w: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rFonts w:ascii="仿宋" w:hAnsi="仿宋" w:eastAsia="仿宋" w:cs="仿宋"/>
          <w:color w:val="auto"/>
          <w:sz w:val="32"/>
          <w:szCs w:val="32"/>
        </w:rPr>
      </w:pPr>
      <w:r>
        <w:rPr>
          <w:rFonts w:hint="eastAsia" w:ascii="仿宋" w:hAnsi="仿宋" w:eastAsia="仿宋" w:cs="仿宋"/>
          <w:color w:val="auto"/>
          <w:sz w:val="32"/>
          <w:szCs w:val="32"/>
        </w:rPr>
        <w:t>社区戒毒、社区康复工作机构发现戒毒人员拒绝接受社区戒毒、社区康复，严重违反相关协议和规定的，应当及时报告执行地公安机关，由公安机关依法处理。</w:t>
      </w:r>
    </w:p>
    <w:p>
      <w:pPr>
        <w:pStyle w:val="4"/>
        <w:keepNext w:val="0"/>
        <w:keepLines w:val="0"/>
        <w:pageBreakBefore w:val="0"/>
        <w:widowControl w:val="0"/>
        <w:kinsoku/>
        <w:wordWrap/>
        <w:overflowPunct/>
        <w:topLinePunct w:val="0"/>
        <w:autoSpaceDE/>
        <w:autoSpaceDN/>
        <w:bidi w:val="0"/>
        <w:spacing w:line="600" w:lineRule="exact"/>
        <w:ind w:firstLine="640"/>
        <w:textAlignment w:val="auto"/>
        <w:rPr>
          <w:rFonts w:hint="eastAsia" w:ascii="仿宋" w:hAnsi="仿宋" w:eastAsia="仿宋" w:cs="仿宋"/>
          <w:color w:val="auto"/>
          <w:shd w:val="clear" w:color="auto" w:fill="FFFFFF"/>
        </w:rPr>
      </w:pPr>
      <w:r>
        <w:rPr>
          <w:rFonts w:hint="eastAsia" w:ascii="黑体" w:hAnsi="黑体" w:eastAsia="黑体" w:cs="黑体"/>
          <w:color w:val="auto"/>
        </w:rPr>
        <w:t>第四十一条</w:t>
      </w:r>
      <w:r>
        <w:rPr>
          <w:rStyle w:val="13"/>
          <w:rFonts w:hint="eastAsia" w:eastAsia="黑体" w:cs="黑体"/>
          <w:b w:val="0"/>
          <w:bCs w:val="0"/>
          <w:color w:val="auto"/>
          <w:sz w:val="28"/>
          <w:szCs w:val="28"/>
          <w:shd w:val="clear" w:color="auto" w:fill="FFFFFF"/>
        </w:rPr>
        <w:t xml:space="preserve"> </w:t>
      </w:r>
      <w:r>
        <w:rPr>
          <w:rFonts w:hint="eastAsia" w:ascii="仿宋" w:hAnsi="仿宋" w:eastAsia="仿宋" w:cs="仿宋"/>
          <w:color w:val="auto"/>
          <w:shd w:val="clear" w:color="auto" w:fill="FFFFFF"/>
        </w:rPr>
        <w:t>强制隔离戒毒场所应当依法做好戒毒人员的戒毒</w:t>
      </w:r>
      <w:r>
        <w:rPr>
          <w:rFonts w:hint="eastAsia" w:ascii="仿宋" w:hAnsi="仿宋" w:eastAsia="仿宋" w:cs="仿宋"/>
          <w:color w:val="auto"/>
          <w:shd w:val="clear" w:color="auto" w:fill="FFFFFF"/>
          <w:lang w:val="en-US" w:eastAsia="zh-CN"/>
        </w:rPr>
        <w:t>、治疗</w:t>
      </w:r>
      <w:r>
        <w:rPr>
          <w:rFonts w:hint="eastAsia" w:ascii="仿宋" w:hAnsi="仿宋" w:eastAsia="仿宋" w:cs="仿宋"/>
          <w:color w:val="auto"/>
          <w:shd w:val="clear" w:color="auto" w:fill="FFFFFF"/>
        </w:rPr>
        <w:t>和教育工作，与乡（镇）人民政府、街道办事处做好被强制隔离戒毒出所人员的信息对接和管控衔接工作。</w:t>
      </w:r>
    </w:p>
    <w:p>
      <w:pPr>
        <w:pStyle w:val="4"/>
        <w:keepNext w:val="0"/>
        <w:keepLines w:val="0"/>
        <w:pageBreakBefore w:val="0"/>
        <w:widowControl w:val="0"/>
        <w:kinsoku/>
        <w:wordWrap/>
        <w:overflowPunct/>
        <w:topLinePunct w:val="0"/>
        <w:autoSpaceDE/>
        <w:autoSpaceDN/>
        <w:bidi w:val="0"/>
        <w:adjustRightInd/>
        <w:snapToGrid/>
        <w:spacing w:line="600" w:lineRule="exact"/>
        <w:ind w:firstLine="640"/>
        <w:textAlignment w:val="auto"/>
        <w:rPr>
          <w:rFonts w:hint="eastAsia" w:ascii="仿宋" w:hAnsi="仿宋" w:eastAsia="仿宋" w:cs="仿宋"/>
          <w:color w:val="auto"/>
          <w:shd w:val="clear" w:color="auto" w:fill="FFFFFF"/>
        </w:rPr>
      </w:pPr>
      <w:r>
        <w:rPr>
          <w:rFonts w:hint="eastAsia" w:ascii="仿宋" w:hAnsi="仿宋" w:eastAsia="仿宋" w:cs="仿宋"/>
          <w:color w:val="auto"/>
          <w:shd w:val="clear" w:color="auto" w:fill="FFFFFF"/>
        </w:rPr>
        <w:t>强制隔离戒毒场所主管部门应当加强对强制隔离戒毒场所工作的检查监督，对侵犯戒毒人员人身安全和合法权益的违法犯罪行为，依法调查处理。</w:t>
      </w:r>
    </w:p>
    <w:p>
      <w:pPr>
        <w:pStyle w:val="4"/>
        <w:keepNext w:val="0"/>
        <w:keepLines w:val="0"/>
        <w:pageBreakBefore w:val="0"/>
        <w:widowControl w:val="0"/>
        <w:kinsoku/>
        <w:wordWrap/>
        <w:overflowPunct/>
        <w:topLinePunct w:val="0"/>
        <w:autoSpaceDE/>
        <w:autoSpaceDN/>
        <w:bidi w:val="0"/>
        <w:adjustRightInd/>
        <w:snapToGrid/>
        <w:spacing w:line="600" w:lineRule="exact"/>
        <w:ind w:firstLine="640"/>
        <w:textAlignment w:val="auto"/>
        <w:rPr>
          <w:rFonts w:hint="eastAsia" w:ascii="黑体" w:hAnsi="黑体" w:eastAsia="黑体" w:cs="黑体"/>
          <w:color w:val="auto"/>
          <w:shd w:val="clear" w:color="auto" w:fill="FFFFFF"/>
          <w:lang w:eastAsia="zh-CN"/>
        </w:rPr>
      </w:pPr>
      <w:r>
        <w:rPr>
          <w:rFonts w:hint="eastAsia" w:ascii="仿宋" w:hAnsi="仿宋" w:eastAsia="仿宋" w:cs="仿宋"/>
          <w:color w:val="auto"/>
          <w:shd w:val="clear" w:color="auto" w:fill="FFFFFF"/>
        </w:rPr>
        <w:t>人民检察院</w:t>
      </w:r>
      <w:r>
        <w:rPr>
          <w:rFonts w:hint="eastAsia" w:ascii="仿宋" w:hAnsi="仿宋" w:eastAsia="仿宋" w:cs="仿宋"/>
          <w:color w:val="auto"/>
          <w:shd w:val="clear" w:color="auto" w:fill="FFFFFF"/>
          <w:lang w:eastAsia="zh-CN"/>
        </w:rPr>
        <w:t>依照法律或有关规定对强制隔离戒毒场所戒毒执法活动开展检察监督。</w:t>
      </w: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第四十二条</w:t>
      </w:r>
      <w:r>
        <w:rPr>
          <w:rFonts w:hint="eastAsia" w:ascii="楷体" w:hAnsi="楷体" w:eastAsia="楷体" w:cs="楷体"/>
          <w:color w:val="auto"/>
          <w:sz w:val="32"/>
          <w:szCs w:val="32"/>
        </w:rPr>
        <w:t xml:space="preserve"> </w:t>
      </w:r>
      <w:r>
        <w:rPr>
          <w:rFonts w:hint="eastAsia" w:ascii="仿宋" w:hAnsi="仿宋" w:eastAsia="仿宋" w:cs="仿宋"/>
          <w:color w:val="auto"/>
          <w:sz w:val="32"/>
          <w:szCs w:val="32"/>
        </w:rPr>
        <w:t>公安机关对依法决定强制隔离戒毒的人员，除存在危及生命需要立即医疗抢救的情形外，应当送强制隔离戒毒场所，强制隔离戒毒所依法予以收治；对于强制隔离戒毒场所不具备收治条件的病残吸毒人员，公安机关应当送至开辟有病残吸毒人员收治专门区域的医疗机构收治。</w:t>
      </w: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被强制隔离戒毒的人员系未成年人或者生活不能自理人员的唯一抚养人、扶养人、赡养人的，公安机关在作出强制隔离戒毒决定同时，应当将未成年人或者生活不能自理人员的情况书面通知其户籍所在地或者现居住地的乡（镇）人民政府、街道办事处。乡（镇）人民政府、街道办事处收到通知后，应当在二十四小时内对未成年人或者生活不能自理人员进行妥善安置，及时将安置情况书面报告公安机关，由公安机关通知被强制隔离戒毒的人员。</w:t>
      </w:r>
    </w:p>
    <w:p>
      <w:pPr>
        <w:pStyle w:val="4"/>
        <w:keepNext w:val="0"/>
        <w:keepLines w:val="0"/>
        <w:pageBreakBefore w:val="0"/>
        <w:widowControl w:val="0"/>
        <w:kinsoku/>
        <w:wordWrap/>
        <w:overflowPunct/>
        <w:topLinePunct w:val="0"/>
        <w:autoSpaceDE/>
        <w:autoSpaceDN/>
        <w:bidi w:val="0"/>
        <w:adjustRightInd/>
        <w:snapToGrid/>
        <w:spacing w:line="600" w:lineRule="exact"/>
        <w:ind w:firstLine="640"/>
        <w:textAlignment w:val="auto"/>
        <w:rPr>
          <w:color w:val="auto"/>
        </w:rPr>
      </w:pPr>
      <w:r>
        <w:rPr>
          <w:rFonts w:hint="eastAsia" w:ascii="黑体" w:hAnsi="黑体" w:eastAsia="黑体" w:cs="黑体"/>
          <w:color w:val="auto"/>
        </w:rPr>
        <w:t>第四十三条</w:t>
      </w:r>
      <w:r>
        <w:rPr>
          <w:rFonts w:hint="eastAsia" w:ascii="楷体" w:hAnsi="楷体" w:eastAsia="楷体" w:cs="楷体"/>
          <w:color w:val="auto"/>
        </w:rPr>
        <w:t xml:space="preserve"> </w:t>
      </w:r>
      <w:r>
        <w:rPr>
          <w:rFonts w:hint="eastAsia" w:ascii="仿宋" w:hAnsi="仿宋" w:eastAsia="仿宋" w:cs="仿宋"/>
          <w:color w:val="auto"/>
          <w:kern w:val="2"/>
          <w:sz w:val="32"/>
          <w:szCs w:val="32"/>
          <w:lang w:val="en-US" w:eastAsia="zh-CN" w:bidi="ar-SA"/>
        </w:rPr>
        <w:t>县级以上人民政府应当在有条件的医疗机构内开辟病残吸毒人员收治专门区域。卫生健康行政主管部门负责组织</w:t>
      </w:r>
      <w:r>
        <w:rPr>
          <w:rFonts w:hint="eastAsia" w:ascii="仿宋" w:hAnsi="仿宋" w:eastAsia="仿宋" w:cs="仿宋"/>
          <w:color w:val="auto"/>
        </w:rPr>
        <w:t>医护人员开展诊疗服务，公安机关、司法行政主管部门派驻专门力量负责场所安全和人员管理。</w:t>
      </w: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第四十四条</w:t>
      </w:r>
      <w:r>
        <w:rPr>
          <w:rFonts w:hint="eastAsia" w:ascii="楷体" w:hAnsi="楷体" w:eastAsia="楷体" w:cs="楷体"/>
          <w:color w:val="auto"/>
          <w:sz w:val="32"/>
          <w:szCs w:val="32"/>
        </w:rPr>
        <w:t xml:space="preserve"> </w:t>
      </w:r>
      <w:r>
        <w:rPr>
          <w:rFonts w:hint="eastAsia" w:ascii="仿宋" w:hAnsi="仿宋" w:eastAsia="仿宋" w:cs="仿宋"/>
          <w:color w:val="auto"/>
          <w:sz w:val="32"/>
          <w:szCs w:val="32"/>
        </w:rPr>
        <w:t>强制隔离戒毒场所、为收治病残吸毒人员开辟专门区域的医疗机构，应当配备必要的医疗卫生设备，做好戒毒人员的戒毒治疗、常规治疗和艾滋病等传染病预防、监测、咨询、健康教育、报告、转诊等。</w:t>
      </w: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rFonts w:ascii="仿宋" w:hAnsi="仿宋" w:eastAsia="仿宋" w:cs="仿宋"/>
          <w:color w:val="auto"/>
          <w:sz w:val="32"/>
          <w:szCs w:val="32"/>
        </w:rPr>
      </w:pPr>
      <w:r>
        <w:rPr>
          <w:rFonts w:hint="eastAsia" w:ascii="仿宋" w:hAnsi="仿宋" w:eastAsia="仿宋" w:cs="仿宋"/>
          <w:color w:val="auto"/>
          <w:sz w:val="32"/>
          <w:szCs w:val="32"/>
        </w:rPr>
        <w:t>公安机关、司法行政主管部门应当会同卫生健康行政主管部门，通过政府购买服务、鼓励强制隔离戒毒场所与医疗机构合作、指定医疗机构、派驻医护人员等形式，做好戒毒治疗工作。卫生健康行政主管部门应当加强对强制隔离戒毒场所医疗工作的业务指导。</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仿宋" w:hAnsi="仿宋" w:eastAsia="仿宋" w:cs="仿宋"/>
          <w:color w:val="auto"/>
          <w:sz w:val="32"/>
          <w:szCs w:val="32"/>
        </w:rPr>
      </w:pPr>
      <w:r>
        <w:rPr>
          <w:rFonts w:hint="eastAsia" w:ascii="黑体" w:hAnsi="黑体" w:eastAsia="黑体" w:cs="黑体"/>
          <w:color w:val="auto"/>
          <w:sz w:val="32"/>
          <w:szCs w:val="32"/>
        </w:rPr>
        <w:t>第四十五条</w:t>
      </w:r>
      <w:r>
        <w:rPr>
          <w:rFonts w:hint="eastAsia" w:ascii="楷体" w:hAnsi="楷体" w:eastAsia="楷体" w:cs="楷体"/>
          <w:color w:val="auto"/>
          <w:sz w:val="32"/>
          <w:szCs w:val="32"/>
        </w:rPr>
        <w:t xml:space="preserve"> </w:t>
      </w:r>
      <w:r>
        <w:rPr>
          <w:rFonts w:hint="eastAsia" w:ascii="仿宋" w:hAnsi="仿宋" w:eastAsia="仿宋" w:cs="仿宋"/>
          <w:color w:val="auto"/>
          <w:sz w:val="32"/>
          <w:szCs w:val="32"/>
        </w:rPr>
        <w:t>对被解除强制隔离戒毒的人员，强制隔离戒毒决定机关应当根据其强制隔离戒毒期间的生理脱毒、身心健康、行为表现、社会环境与适应能力等诊断评估结果，决定是否责令其接受社区康复。</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仿宋" w:hAnsi="仿宋" w:eastAsia="仿宋" w:cs="仿宋"/>
          <w:color w:val="auto"/>
          <w:sz w:val="32"/>
          <w:szCs w:val="32"/>
        </w:rPr>
      </w:pPr>
      <w:r>
        <w:rPr>
          <w:rFonts w:hint="eastAsia" w:ascii="黑体" w:hAnsi="黑体" w:eastAsia="黑体" w:cs="黑体"/>
          <w:color w:val="auto"/>
          <w:sz w:val="32"/>
          <w:szCs w:val="32"/>
        </w:rPr>
        <w:t>第四十六条</w:t>
      </w:r>
      <w:r>
        <w:rPr>
          <w:rFonts w:hint="eastAsia" w:ascii="楷体" w:hAnsi="楷体" w:eastAsia="楷体" w:cs="楷体"/>
          <w:color w:val="auto"/>
          <w:sz w:val="32"/>
          <w:szCs w:val="32"/>
        </w:rPr>
        <w:t xml:space="preserve"> </w:t>
      </w:r>
      <w:r>
        <w:rPr>
          <w:rFonts w:hint="eastAsia" w:ascii="仿宋" w:hAnsi="仿宋" w:eastAsia="仿宋" w:cs="仿宋"/>
          <w:color w:val="auto"/>
          <w:sz w:val="32"/>
          <w:szCs w:val="32"/>
        </w:rPr>
        <w:t>解除强制隔离戒毒的，强制隔离戒毒场所应当在解除强制隔离戒毒三日前，通知作出强制隔离戒毒决定的公安机关，出具解除强制隔离戒毒证明书送达戒毒人员本人，并通知其家属、所在单位、其户籍所在地或者现居住地公安派出所将其接回。</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ascii="仿宋" w:hAnsi="仿宋" w:eastAsia="仿宋" w:cs="仿宋"/>
          <w:color w:val="auto"/>
          <w:sz w:val="32"/>
          <w:szCs w:val="32"/>
        </w:rPr>
      </w:pPr>
      <w:r>
        <w:rPr>
          <w:rFonts w:hint="eastAsia" w:ascii="仿宋" w:hAnsi="仿宋" w:eastAsia="仿宋" w:cs="仿宋"/>
          <w:color w:val="auto"/>
          <w:sz w:val="32"/>
          <w:szCs w:val="32"/>
        </w:rPr>
        <w:t>解除强制隔离戒毒后被责令接受社区康复的，作出社区康复决定的公安机关应当书面通知强制隔离戒毒场所、负责执行社区康复的乡（镇）人民政府、街道办事处，并将决定书送达本人及其家属。</w:t>
      </w: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rFonts w:ascii="仿宋" w:hAnsi="仿宋" w:eastAsia="仿宋" w:cs="仿宋"/>
          <w:color w:val="auto"/>
          <w:sz w:val="32"/>
          <w:szCs w:val="32"/>
        </w:rPr>
      </w:pPr>
      <w:r>
        <w:rPr>
          <w:rFonts w:hint="eastAsia" w:ascii="黑体" w:hAnsi="黑体" w:eastAsia="黑体" w:cs="黑体"/>
          <w:color w:val="auto"/>
          <w:sz w:val="32"/>
          <w:szCs w:val="32"/>
        </w:rPr>
        <w:t>第四十七条</w:t>
      </w:r>
      <w:r>
        <w:rPr>
          <w:rFonts w:hint="eastAsia" w:ascii="楷体" w:hAnsi="楷体" w:eastAsia="楷体" w:cs="楷体"/>
          <w:color w:val="auto"/>
          <w:sz w:val="32"/>
          <w:szCs w:val="32"/>
        </w:rPr>
        <w:t xml:space="preserve"> </w:t>
      </w:r>
      <w:r>
        <w:rPr>
          <w:rFonts w:hint="eastAsia" w:ascii="仿宋" w:hAnsi="仿宋" w:eastAsia="仿宋" w:cs="仿宋"/>
          <w:color w:val="auto"/>
          <w:sz w:val="32"/>
          <w:szCs w:val="32"/>
        </w:rPr>
        <w:t>鼓励吸毒人员主动接受戒毒治疗。吸毒人员可以自行到具有资质的戒毒医疗机构接受戒毒治疗，并签订自愿戒毒协议。</w:t>
      </w: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rFonts w:ascii="仿宋" w:hAnsi="仿宋" w:eastAsia="仿宋" w:cs="仿宋"/>
          <w:color w:val="auto"/>
          <w:sz w:val="32"/>
          <w:szCs w:val="32"/>
        </w:rPr>
      </w:pPr>
      <w:r>
        <w:rPr>
          <w:rFonts w:hint="eastAsia" w:ascii="仿宋" w:hAnsi="仿宋" w:eastAsia="仿宋" w:cs="仿宋"/>
          <w:color w:val="auto"/>
          <w:sz w:val="32"/>
          <w:szCs w:val="32"/>
        </w:rPr>
        <w:t>对自愿接受戒毒治疗的吸毒人员，公安机关对其原吸毒行为不予处罚。</w:t>
      </w: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rFonts w:ascii="仿宋" w:hAnsi="仿宋" w:eastAsia="仿宋" w:cs="仿宋"/>
          <w:color w:val="auto"/>
          <w:sz w:val="32"/>
          <w:szCs w:val="32"/>
        </w:rPr>
      </w:pPr>
      <w:r>
        <w:rPr>
          <w:rFonts w:hint="eastAsia" w:ascii="黑体" w:hAnsi="黑体" w:eastAsia="黑体" w:cs="黑体"/>
          <w:color w:val="auto"/>
          <w:sz w:val="32"/>
          <w:szCs w:val="32"/>
        </w:rPr>
        <w:t>第四十八条</w:t>
      </w:r>
      <w:r>
        <w:rPr>
          <w:rFonts w:hint="eastAsia" w:ascii="楷体" w:hAnsi="楷体" w:eastAsia="楷体" w:cs="楷体"/>
          <w:color w:val="auto"/>
          <w:sz w:val="32"/>
          <w:szCs w:val="32"/>
        </w:rPr>
        <w:t xml:space="preserve"> </w:t>
      </w:r>
      <w:r>
        <w:rPr>
          <w:rFonts w:hint="eastAsia" w:ascii="仿宋" w:hAnsi="仿宋" w:eastAsia="仿宋" w:cs="仿宋"/>
          <w:color w:val="auto"/>
          <w:sz w:val="32"/>
          <w:szCs w:val="32"/>
        </w:rPr>
        <w:t>县级以上人民政府及其卫生健康、公安、司法行政等部门应当支持有条件的医疗机构开设戒毒治疗，支持有条件的强制隔离戒毒场所向社会提供自愿戒毒治疗。</w:t>
      </w: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rFonts w:ascii="仿宋" w:hAnsi="仿宋" w:eastAsia="仿宋" w:cs="仿宋"/>
          <w:color w:val="auto"/>
          <w:sz w:val="32"/>
          <w:szCs w:val="32"/>
        </w:rPr>
      </w:pPr>
      <w:r>
        <w:rPr>
          <w:rFonts w:hint="eastAsia" w:ascii="仿宋" w:hAnsi="仿宋" w:eastAsia="仿宋" w:cs="仿宋"/>
          <w:color w:val="auto"/>
          <w:sz w:val="32"/>
          <w:szCs w:val="32"/>
        </w:rPr>
        <w:t>鼓励社会力量创办自愿戒毒医疗机构。</w:t>
      </w: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rFonts w:ascii="仿宋" w:hAnsi="仿宋" w:eastAsia="仿宋" w:cs="仿宋"/>
          <w:color w:val="auto"/>
          <w:sz w:val="32"/>
          <w:szCs w:val="32"/>
        </w:rPr>
      </w:pPr>
      <w:r>
        <w:rPr>
          <w:rFonts w:hint="eastAsia" w:ascii="黑体" w:hAnsi="黑体" w:eastAsia="黑体" w:cs="黑体"/>
          <w:color w:val="auto"/>
          <w:sz w:val="32"/>
          <w:szCs w:val="32"/>
        </w:rPr>
        <w:t>第四十九条</w:t>
      </w:r>
      <w:r>
        <w:rPr>
          <w:rFonts w:hint="eastAsia" w:ascii="楷体" w:hAnsi="楷体" w:eastAsia="楷体" w:cs="楷体"/>
          <w:color w:val="auto"/>
          <w:sz w:val="32"/>
          <w:szCs w:val="32"/>
        </w:rPr>
        <w:t xml:space="preserve"> </w:t>
      </w:r>
      <w:r>
        <w:rPr>
          <w:rFonts w:hint="eastAsia" w:ascii="仿宋" w:hAnsi="仿宋" w:eastAsia="仿宋" w:cs="仿宋"/>
          <w:color w:val="auto"/>
          <w:sz w:val="32"/>
          <w:szCs w:val="32"/>
        </w:rPr>
        <w:t>县级以上人民政府卫生健康行政主管部门应当会同同级公安机关、药品监督管理部门，按照有关规定设置戒毒药物维持治疗机构和延伸服药点。</w:t>
      </w: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rFonts w:ascii="仿宋" w:hAnsi="仿宋" w:eastAsia="仿宋" w:cs="仿宋"/>
          <w:color w:val="auto"/>
          <w:sz w:val="32"/>
          <w:szCs w:val="32"/>
        </w:rPr>
      </w:pPr>
      <w:r>
        <w:rPr>
          <w:rFonts w:hint="eastAsia" w:ascii="仿宋" w:hAnsi="仿宋" w:eastAsia="仿宋" w:cs="仿宋"/>
          <w:color w:val="auto"/>
          <w:sz w:val="32"/>
          <w:szCs w:val="32"/>
        </w:rPr>
        <w:t>戒毒药物维持治疗机构发现戒毒人员吸毒或者未按照协议进行戒毒药物维持治疗的，应当及时向所在地公安机关报告。</w:t>
      </w: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rFonts w:ascii="仿宋" w:hAnsi="仿宋" w:eastAsia="仿宋" w:cs="仿宋"/>
          <w:color w:val="auto"/>
          <w:sz w:val="32"/>
          <w:szCs w:val="32"/>
        </w:rPr>
      </w:pPr>
      <w:r>
        <w:rPr>
          <w:rFonts w:hint="eastAsia" w:ascii="黑体" w:hAnsi="黑体" w:eastAsia="黑体" w:cs="黑体"/>
          <w:color w:val="auto"/>
          <w:sz w:val="32"/>
          <w:szCs w:val="32"/>
        </w:rPr>
        <w:t>第五十条</w:t>
      </w:r>
      <w:r>
        <w:rPr>
          <w:rFonts w:hint="eastAsia" w:ascii="楷体" w:hAnsi="楷体" w:eastAsia="楷体" w:cs="楷体"/>
          <w:color w:val="auto"/>
          <w:sz w:val="32"/>
          <w:szCs w:val="32"/>
        </w:rPr>
        <w:t xml:space="preserve"> </w:t>
      </w:r>
      <w:r>
        <w:rPr>
          <w:rFonts w:hint="eastAsia" w:ascii="仿宋" w:hAnsi="仿宋" w:eastAsia="仿宋" w:cs="仿宋"/>
          <w:color w:val="auto"/>
          <w:sz w:val="32"/>
          <w:szCs w:val="32"/>
        </w:rPr>
        <w:t>县级以上人民政府应当通过开展职业培训、职业介绍、就业援助、鼓励自主创业等方式，对戒毒康复人员进行就业帮扶。</w:t>
      </w: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rFonts w:ascii="仿宋" w:hAnsi="仿宋" w:eastAsia="仿宋" w:cs="仿宋"/>
          <w:color w:val="auto"/>
          <w:sz w:val="32"/>
          <w:szCs w:val="32"/>
        </w:rPr>
      </w:pPr>
      <w:r>
        <w:rPr>
          <w:rFonts w:hint="eastAsia" w:ascii="黑体" w:hAnsi="黑体" w:eastAsia="黑体" w:cs="黑体"/>
          <w:color w:val="auto"/>
          <w:sz w:val="32"/>
          <w:szCs w:val="32"/>
        </w:rPr>
        <w:t>第五十一条</w:t>
      </w:r>
      <w:r>
        <w:rPr>
          <w:rFonts w:hint="eastAsia" w:ascii="楷体" w:hAnsi="楷体" w:eastAsia="楷体" w:cs="楷体"/>
          <w:color w:val="auto"/>
          <w:sz w:val="32"/>
          <w:szCs w:val="32"/>
        </w:rPr>
        <w:t xml:space="preserve"> </w:t>
      </w:r>
      <w:r>
        <w:rPr>
          <w:rFonts w:hint="eastAsia" w:ascii="仿宋" w:hAnsi="仿宋" w:eastAsia="仿宋" w:cs="仿宋"/>
          <w:color w:val="auto"/>
          <w:sz w:val="32"/>
          <w:szCs w:val="32"/>
        </w:rPr>
        <w:t>县级以上人民政府应当加强戒毒康复人员社会保障。医疗保障部门应当引导戒毒康复人员参加医疗保险；民政部门应当将符合条件的戒毒康复人员纳入救助范围。</w:t>
      </w: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第五十二条</w:t>
      </w:r>
      <w:r>
        <w:rPr>
          <w:rFonts w:hint="eastAsia" w:ascii="楷体" w:hAnsi="楷体" w:eastAsia="楷体" w:cs="楷体"/>
          <w:color w:val="auto"/>
          <w:sz w:val="32"/>
          <w:szCs w:val="32"/>
        </w:rPr>
        <w:t xml:space="preserve"> </w:t>
      </w:r>
      <w:r>
        <w:rPr>
          <w:rFonts w:hint="eastAsia" w:ascii="仿宋" w:hAnsi="仿宋" w:eastAsia="仿宋" w:cs="仿宋"/>
          <w:color w:val="auto"/>
          <w:sz w:val="32"/>
          <w:szCs w:val="32"/>
        </w:rPr>
        <w:t>国家机关工作人员和参与戒毒工作的其他工作人员应当依法保护在工作中掌握的戒毒人员个人信息。</w:t>
      </w:r>
    </w:p>
    <w:p>
      <w:pPr>
        <w:pStyle w:val="4"/>
        <w:keepNext w:val="0"/>
        <w:keepLines w:val="0"/>
        <w:pageBreakBefore w:val="0"/>
        <w:widowControl w:val="0"/>
        <w:kinsoku/>
        <w:wordWrap/>
        <w:overflowPunct/>
        <w:topLinePunct w:val="0"/>
        <w:autoSpaceDE/>
        <w:autoSpaceDN/>
        <w:bidi w:val="0"/>
        <w:spacing w:line="600" w:lineRule="exact"/>
        <w:textAlignment w:val="auto"/>
        <w:rPr>
          <w:rFonts w:hint="eastAsia"/>
          <w:color w:val="auto"/>
        </w:rPr>
      </w:pPr>
    </w:p>
    <w:p>
      <w:pPr>
        <w:keepNext w:val="0"/>
        <w:keepLines w:val="0"/>
        <w:pageBreakBefore w:val="0"/>
        <w:widowControl w:val="0"/>
        <w:kinsoku/>
        <w:wordWrap/>
        <w:overflowPunct/>
        <w:topLinePunct w:val="0"/>
        <w:autoSpaceDE/>
        <w:autoSpaceDN/>
        <w:bidi w:val="0"/>
        <w:spacing w:line="600" w:lineRule="exact"/>
        <w:jc w:val="center"/>
        <w:textAlignment w:val="auto"/>
        <w:rPr>
          <w:rFonts w:ascii="黑体" w:hAnsi="黑体" w:eastAsia="黑体" w:cs="黑体"/>
          <w:color w:val="auto"/>
          <w:sz w:val="32"/>
          <w:szCs w:val="32"/>
        </w:rPr>
      </w:pPr>
      <w:r>
        <w:rPr>
          <w:rFonts w:hint="eastAsia" w:ascii="黑体" w:hAnsi="黑体" w:eastAsia="黑体" w:cs="黑体"/>
          <w:color w:val="auto"/>
          <w:sz w:val="32"/>
          <w:szCs w:val="32"/>
        </w:rPr>
        <w:t>第五章  法律责任</w:t>
      </w: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rFonts w:ascii="仿宋" w:hAnsi="仿宋" w:eastAsia="仿宋" w:cs="仿宋"/>
          <w:color w:val="auto"/>
          <w:sz w:val="32"/>
          <w:szCs w:val="32"/>
          <w:bdr w:val="single" w:color="auto" w:sz="4" w:space="0"/>
        </w:rPr>
      </w:pP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rFonts w:ascii="仿宋" w:hAnsi="仿宋" w:eastAsia="仿宋" w:cs="仿宋"/>
          <w:color w:val="auto"/>
          <w:sz w:val="32"/>
          <w:szCs w:val="32"/>
        </w:rPr>
      </w:pPr>
      <w:r>
        <w:rPr>
          <w:rFonts w:hint="eastAsia" w:ascii="黑体" w:hAnsi="黑体" w:eastAsia="黑体" w:cs="黑体"/>
          <w:color w:val="auto"/>
          <w:sz w:val="32"/>
          <w:szCs w:val="32"/>
        </w:rPr>
        <w:t>第五十三条</w:t>
      </w:r>
      <w:r>
        <w:rPr>
          <w:rFonts w:hint="eastAsia" w:ascii="楷体" w:hAnsi="楷体" w:eastAsia="楷体" w:cs="楷体"/>
          <w:color w:val="auto"/>
          <w:sz w:val="32"/>
          <w:szCs w:val="32"/>
        </w:rPr>
        <w:t xml:space="preserve"> </w:t>
      </w:r>
      <w:r>
        <w:rPr>
          <w:rFonts w:hint="eastAsia" w:ascii="仿宋" w:hAnsi="仿宋" w:eastAsia="仿宋" w:cs="仿宋"/>
          <w:color w:val="auto"/>
          <w:sz w:val="32"/>
          <w:szCs w:val="32"/>
        </w:rPr>
        <w:t>国家机关工作人员以及其他依法履行公职的人员在禁毒工作中滥用职权、玩忽职守、徇私舞弊的，对直接负责的主管人员和其他直接责任人员依法给予处分；构成犯罪的，依法追究刑事责任。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rFonts w:ascii="黑体" w:hAnsi="黑体" w:eastAsia="黑体" w:cs="黑体"/>
          <w:color w:val="auto"/>
          <w:sz w:val="32"/>
          <w:szCs w:val="32"/>
        </w:rPr>
      </w:pPr>
      <w:r>
        <w:rPr>
          <w:rFonts w:hint="eastAsia" w:ascii="黑体" w:hAnsi="黑体" w:eastAsia="黑体" w:cs="黑体"/>
          <w:color w:val="auto"/>
          <w:sz w:val="32"/>
          <w:szCs w:val="32"/>
        </w:rPr>
        <w:t>第五十四条</w:t>
      </w:r>
      <w:r>
        <w:rPr>
          <w:rFonts w:hint="eastAsia" w:ascii="楷体" w:hAnsi="楷体" w:eastAsia="楷体" w:cs="楷体"/>
          <w:color w:val="auto"/>
          <w:sz w:val="32"/>
          <w:szCs w:val="32"/>
        </w:rPr>
        <w:t xml:space="preserve"> </w:t>
      </w:r>
      <w:r>
        <w:rPr>
          <w:rFonts w:hint="eastAsia" w:ascii="仿宋" w:hAnsi="仿宋" w:eastAsia="仿宋" w:cs="仿宋"/>
          <w:color w:val="auto"/>
          <w:sz w:val="32"/>
          <w:szCs w:val="32"/>
        </w:rPr>
        <w:t>违反本办法第十八条规定，公共场所的经营者、管理者未公布举报电话、</w:t>
      </w:r>
      <w:r>
        <w:rPr>
          <w:rFonts w:hint="eastAsia" w:ascii="仿宋" w:hAnsi="仿宋" w:eastAsia="仿宋" w:cs="仿宋"/>
          <w:color w:val="auto"/>
          <w:sz w:val="32"/>
          <w:szCs w:val="32"/>
          <w:lang w:eastAsia="zh-CN"/>
        </w:rPr>
        <w:t>未</w:t>
      </w:r>
      <w:r>
        <w:rPr>
          <w:rFonts w:hint="eastAsia" w:ascii="仿宋" w:hAnsi="仿宋" w:eastAsia="仿宋" w:cs="仿宋"/>
          <w:color w:val="auto"/>
          <w:sz w:val="32"/>
          <w:szCs w:val="32"/>
        </w:rPr>
        <w:t>开展禁毒宣传教育或者</w:t>
      </w:r>
      <w:r>
        <w:rPr>
          <w:rFonts w:hint="eastAsia" w:ascii="仿宋" w:hAnsi="仿宋" w:eastAsia="仿宋" w:cs="仿宋"/>
          <w:color w:val="auto"/>
          <w:sz w:val="32"/>
          <w:szCs w:val="32"/>
          <w:lang w:eastAsia="zh-CN"/>
        </w:rPr>
        <w:t>未</w:t>
      </w:r>
      <w:r>
        <w:rPr>
          <w:rFonts w:hint="eastAsia" w:ascii="仿宋" w:hAnsi="仿宋" w:eastAsia="仿宋" w:cs="仿宋"/>
          <w:color w:val="auto"/>
          <w:sz w:val="32"/>
          <w:szCs w:val="32"/>
        </w:rPr>
        <w:t>建立巡查制度</w:t>
      </w:r>
      <w:r>
        <w:rPr>
          <w:rFonts w:hint="eastAsia" w:ascii="仿宋" w:hAnsi="仿宋" w:eastAsia="仿宋" w:cs="仿宋"/>
          <w:color w:val="auto"/>
          <w:sz w:val="32"/>
          <w:szCs w:val="32"/>
          <w:lang w:eastAsia="zh-CN"/>
        </w:rPr>
        <w:t>、未</w:t>
      </w:r>
      <w:r>
        <w:rPr>
          <w:rFonts w:hint="eastAsia" w:ascii="仿宋" w:hAnsi="仿宋" w:eastAsia="仿宋" w:cs="仿宋"/>
          <w:color w:val="auto"/>
          <w:sz w:val="32"/>
          <w:szCs w:val="32"/>
        </w:rPr>
        <w:t>开展巡查的，由公安机关责令限期改正，并予以警告或者通报批评</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逾期未改正的，处三千元以上一万元以下罚款；发现场所内有毒品违法犯罪活动未向公安机关报告的，由公安机关给予警告，并处一万元以上五万元以下罚款。</w:t>
      </w: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rFonts w:ascii="方正黑体_GBK" w:hAnsi="方正黑体_GBK" w:eastAsia="方正黑体_GBK" w:cs="方正黑体_GBK"/>
          <w:color w:val="auto"/>
          <w:sz w:val="32"/>
          <w:szCs w:val="32"/>
        </w:rPr>
      </w:pPr>
      <w:r>
        <w:rPr>
          <w:rFonts w:hint="eastAsia" w:ascii="黑体" w:hAnsi="黑体" w:eastAsia="黑体" w:cs="黑体"/>
          <w:color w:val="auto"/>
          <w:sz w:val="32"/>
          <w:szCs w:val="32"/>
        </w:rPr>
        <w:t>第五十五条</w:t>
      </w:r>
      <w:r>
        <w:rPr>
          <w:rFonts w:hint="eastAsia" w:ascii="楷体" w:hAnsi="楷体" w:eastAsia="楷体" w:cs="楷体"/>
          <w:color w:val="auto"/>
          <w:sz w:val="32"/>
          <w:szCs w:val="32"/>
        </w:rPr>
        <w:t xml:space="preserve"> </w:t>
      </w:r>
      <w:r>
        <w:rPr>
          <w:rFonts w:hint="eastAsia" w:ascii="仿宋" w:hAnsi="仿宋" w:eastAsia="仿宋" w:cs="仿宋"/>
          <w:color w:val="auto"/>
          <w:sz w:val="32"/>
          <w:szCs w:val="32"/>
        </w:rPr>
        <w:t>违反本办法</w:t>
      </w:r>
      <w:r>
        <w:rPr>
          <w:rFonts w:hint="eastAsia" w:ascii="仿宋" w:hAnsi="仿宋" w:eastAsia="仿宋" w:cs="仿宋"/>
          <w:color w:val="auto"/>
          <w:sz w:val="32"/>
          <w:szCs w:val="32"/>
          <w:lang w:eastAsia="zh-CN"/>
        </w:rPr>
        <w:t>第二十八条</w:t>
      </w:r>
      <w:r>
        <w:rPr>
          <w:rFonts w:hint="eastAsia" w:ascii="仿宋" w:hAnsi="仿宋" w:eastAsia="仿宋" w:cs="仿宋"/>
          <w:color w:val="auto"/>
          <w:sz w:val="32"/>
          <w:szCs w:val="32"/>
        </w:rPr>
        <w:t>规定，交通运输企业及相关单位未落实驾驶人员吸毒筛查制度的，由</w:t>
      </w:r>
      <w:r>
        <w:rPr>
          <w:rFonts w:hint="eastAsia" w:ascii="仿宋" w:hAnsi="仿宋" w:eastAsia="仿宋" w:cs="仿宋"/>
          <w:color w:val="auto"/>
          <w:sz w:val="32"/>
          <w:szCs w:val="32"/>
          <w:lang w:eastAsia="zh-CN"/>
        </w:rPr>
        <w:t>公安机关</w:t>
      </w:r>
      <w:r>
        <w:rPr>
          <w:rFonts w:hint="eastAsia" w:ascii="仿宋" w:hAnsi="仿宋" w:eastAsia="仿宋" w:cs="仿宋"/>
          <w:color w:val="auto"/>
          <w:sz w:val="32"/>
          <w:szCs w:val="32"/>
        </w:rPr>
        <w:t>责令限期改正，并予以警告或者通报批评</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逾期未改正的，处五千元以上五万元以下罚款。</w:t>
      </w: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rFonts w:ascii="仿宋" w:hAnsi="仿宋" w:eastAsia="仿宋" w:cs="仿宋"/>
          <w:color w:val="auto"/>
          <w:sz w:val="32"/>
          <w:szCs w:val="32"/>
        </w:rPr>
      </w:pPr>
      <w:r>
        <w:rPr>
          <w:rFonts w:hint="eastAsia" w:ascii="黑体" w:hAnsi="黑体" w:eastAsia="黑体" w:cs="黑体"/>
          <w:color w:val="auto"/>
          <w:sz w:val="32"/>
          <w:szCs w:val="32"/>
        </w:rPr>
        <w:t xml:space="preserve">第五十六条 </w:t>
      </w:r>
      <w:r>
        <w:rPr>
          <w:rFonts w:hint="eastAsia" w:ascii="仿宋" w:hAnsi="仿宋" w:eastAsia="仿宋" w:cs="仿宋"/>
          <w:color w:val="auto"/>
          <w:sz w:val="32"/>
          <w:szCs w:val="32"/>
        </w:rPr>
        <w:t>违反本办法规定的行为，法律、法规已有</w:t>
      </w:r>
      <w:r>
        <w:rPr>
          <w:rFonts w:hint="eastAsia" w:ascii="仿宋" w:hAnsi="仿宋" w:eastAsia="仿宋" w:cs="仿宋"/>
          <w:color w:val="auto"/>
          <w:sz w:val="32"/>
          <w:szCs w:val="32"/>
          <w:lang w:val="en-US" w:eastAsia="zh-CN"/>
        </w:rPr>
        <w:t>处罚、处理</w:t>
      </w:r>
      <w:r>
        <w:rPr>
          <w:rFonts w:hint="eastAsia" w:ascii="仿宋" w:hAnsi="仿宋" w:eastAsia="仿宋" w:cs="仿宋"/>
          <w:color w:val="auto"/>
          <w:sz w:val="32"/>
          <w:szCs w:val="32"/>
        </w:rPr>
        <w:t>规定的，从其规定。</w:t>
      </w:r>
    </w:p>
    <w:p>
      <w:pPr>
        <w:pStyle w:val="4"/>
        <w:keepNext w:val="0"/>
        <w:keepLines w:val="0"/>
        <w:pageBreakBefore w:val="0"/>
        <w:widowControl w:val="0"/>
        <w:kinsoku/>
        <w:wordWrap/>
        <w:overflowPunct/>
        <w:topLinePunct w:val="0"/>
        <w:autoSpaceDE/>
        <w:autoSpaceDN/>
        <w:bidi w:val="0"/>
        <w:spacing w:line="600" w:lineRule="exact"/>
        <w:ind w:firstLine="640"/>
        <w:textAlignment w:val="auto"/>
        <w:rPr>
          <w:color w:val="auto"/>
        </w:rPr>
      </w:pPr>
    </w:p>
    <w:p>
      <w:pPr>
        <w:keepNext w:val="0"/>
        <w:keepLines w:val="0"/>
        <w:pageBreakBefore w:val="0"/>
        <w:widowControl w:val="0"/>
        <w:kinsoku/>
        <w:wordWrap/>
        <w:overflowPunct/>
        <w:topLinePunct w:val="0"/>
        <w:autoSpaceDE/>
        <w:autoSpaceDN/>
        <w:bidi w:val="0"/>
        <w:spacing w:line="600" w:lineRule="exact"/>
        <w:jc w:val="center"/>
        <w:textAlignment w:val="auto"/>
        <w:rPr>
          <w:rFonts w:ascii="黑体" w:hAnsi="黑体" w:eastAsia="黑体" w:cs="黑体"/>
          <w:color w:val="auto"/>
          <w:sz w:val="32"/>
          <w:szCs w:val="32"/>
        </w:rPr>
      </w:pPr>
      <w:r>
        <w:rPr>
          <w:rFonts w:hint="eastAsia" w:ascii="黑体" w:hAnsi="黑体" w:eastAsia="黑体" w:cs="黑体"/>
          <w:color w:val="auto"/>
          <w:sz w:val="32"/>
          <w:szCs w:val="32"/>
        </w:rPr>
        <w:t>第六章  附  则</w:t>
      </w:r>
    </w:p>
    <w:p>
      <w:pPr>
        <w:keepNext w:val="0"/>
        <w:keepLines w:val="0"/>
        <w:pageBreakBefore w:val="0"/>
        <w:widowControl w:val="0"/>
        <w:kinsoku/>
        <w:wordWrap/>
        <w:overflowPunct/>
        <w:topLinePunct w:val="0"/>
        <w:autoSpaceDE/>
        <w:autoSpaceDN/>
        <w:bidi w:val="0"/>
        <w:spacing w:line="600" w:lineRule="exact"/>
        <w:jc w:val="center"/>
        <w:textAlignment w:val="auto"/>
        <w:rPr>
          <w:rFonts w:ascii="仿宋" w:hAnsi="仿宋" w:eastAsia="仿宋" w:cs="仿宋"/>
          <w:color w:val="auto"/>
          <w:sz w:val="32"/>
          <w:szCs w:val="32"/>
        </w:rPr>
      </w:pPr>
    </w:p>
    <w:p>
      <w:pPr>
        <w:keepNext w:val="0"/>
        <w:keepLines w:val="0"/>
        <w:pageBreakBefore w:val="0"/>
        <w:widowControl w:val="0"/>
        <w:kinsoku/>
        <w:wordWrap/>
        <w:overflowPunct/>
        <w:topLinePunct w:val="0"/>
        <w:autoSpaceDE/>
        <w:autoSpaceDN/>
        <w:bidi w:val="0"/>
        <w:spacing w:line="600" w:lineRule="exact"/>
        <w:ind w:firstLine="640" w:firstLineChars="200"/>
        <w:textAlignment w:val="auto"/>
        <w:rPr>
          <w:rFonts w:hint="eastAsia" w:ascii="仿宋" w:hAnsi="仿宋" w:eastAsia="仿宋" w:cs="仿宋"/>
          <w:color w:val="auto"/>
          <w:sz w:val="32"/>
          <w:szCs w:val="32"/>
          <w:lang w:val="en-US" w:eastAsia="zh-CN"/>
        </w:rPr>
      </w:pPr>
      <w:r>
        <w:rPr>
          <w:rFonts w:hint="eastAsia" w:ascii="黑体" w:hAnsi="黑体" w:eastAsia="黑体" w:cs="黑体"/>
          <w:color w:val="auto"/>
          <w:sz w:val="32"/>
          <w:szCs w:val="32"/>
        </w:rPr>
        <w:t>第五十七条</w:t>
      </w:r>
      <w:r>
        <w:rPr>
          <w:rFonts w:hint="eastAsia" w:ascii="楷体" w:hAnsi="楷体" w:eastAsia="楷体" w:cs="楷体"/>
          <w:color w:val="auto"/>
          <w:sz w:val="32"/>
          <w:szCs w:val="32"/>
        </w:rPr>
        <w:t xml:space="preserve"> </w:t>
      </w:r>
      <w:r>
        <w:rPr>
          <w:rFonts w:hint="eastAsia" w:ascii="仿宋" w:hAnsi="仿宋" w:eastAsia="仿宋" w:cs="仿宋"/>
          <w:color w:val="auto"/>
          <w:sz w:val="32"/>
          <w:szCs w:val="32"/>
          <w:lang w:val="en-US" w:eastAsia="zh-CN"/>
        </w:rPr>
        <w:t>本办法自2023年1月1日起施行。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247B6537-1EC4-4B98-B265-1B5432F76696}"/>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00" w:usb3="00000000" w:csb0="00040000" w:csb1="00000000"/>
    <w:embedRegular r:id="rId2" w:fontKey="{4A983D22-A2C6-4440-B773-111CB5E8EE0B}"/>
  </w:font>
  <w:font w:name="方正小标宋_GBK">
    <w:panose1 w:val="02000000000000000000"/>
    <w:charset w:val="86"/>
    <w:family w:val="auto"/>
    <w:pitch w:val="default"/>
    <w:sig w:usb0="A00002BF" w:usb1="38CF7CFA" w:usb2="00082016" w:usb3="00000000" w:csb0="00040001" w:csb1="00000000"/>
    <w:embedRegular r:id="rId3" w:fontKey="{8D9F5160-BF4B-4979-A42B-6C7D171E7A83}"/>
  </w:font>
  <w:font w:name="楷体">
    <w:panose1 w:val="02010609060101010101"/>
    <w:charset w:val="86"/>
    <w:family w:val="modern"/>
    <w:pitch w:val="default"/>
    <w:sig w:usb0="800002BF" w:usb1="38CF7CFA" w:usb2="00000016" w:usb3="00000000" w:csb0="00040001" w:csb1="00000000"/>
    <w:embedRegular r:id="rId4" w:fontKey="{28C03725-3404-4ACC-8FA3-642F7F9E3219}"/>
  </w:font>
  <w:font w:name="仿宋">
    <w:panose1 w:val="02010609060101010101"/>
    <w:charset w:val="86"/>
    <w:family w:val="modern"/>
    <w:pitch w:val="default"/>
    <w:sig w:usb0="800002BF" w:usb1="38CF7CFA" w:usb2="00000016" w:usb3="00000000" w:csb0="00040001" w:csb1="00000000"/>
    <w:embedRegular r:id="rId5" w:fontKey="{496039CA-BECD-4210-9AEE-4D94060A3569}"/>
  </w:font>
  <w:font w:name="仿宋_GB2312">
    <w:altName w:val="仿宋"/>
    <w:panose1 w:val="02010609030101010101"/>
    <w:charset w:val="86"/>
    <w:family w:val="modern"/>
    <w:pitch w:val="default"/>
    <w:sig w:usb0="00000000" w:usb1="00000000" w:usb2="00000000" w:usb3="00000000" w:csb0="00040000" w:csb1="00000000"/>
    <w:embedRegular r:id="rId6" w:fontKey="{D61C3F5B-56FB-456A-BC2D-A826A113421E}"/>
  </w:font>
  <w:font w:name="方正黑体_GBK">
    <w:altName w:val="微软雅黑"/>
    <w:panose1 w:val="02000000000000000000"/>
    <w:charset w:val="86"/>
    <w:family w:val="auto"/>
    <w:pitch w:val="default"/>
    <w:sig w:usb0="00000000" w:usb1="00000000" w:usb2="00000000" w:usb3="00000000" w:csb0="00040000" w:csb1="00000000"/>
    <w:embedRegular r:id="rId7" w:fontKey="{C76E7D21-1539-41B5-93B5-7FDEC2C95315}"/>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xNDUyNTNkNWNiNDMxOWIzZjFiY2Q4ZWUyOWU2OTUifQ=="/>
  </w:docVars>
  <w:rsids>
    <w:rsidRoot w:val="00B33D08"/>
    <w:rsid w:val="000447D7"/>
    <w:rsid w:val="00074225"/>
    <w:rsid w:val="000A2B97"/>
    <w:rsid w:val="000A3220"/>
    <w:rsid w:val="000C10E1"/>
    <w:rsid w:val="000E464B"/>
    <w:rsid w:val="000E7B3C"/>
    <w:rsid w:val="000F1AB9"/>
    <w:rsid w:val="000F2E5E"/>
    <w:rsid w:val="000F73A2"/>
    <w:rsid w:val="000F7F1C"/>
    <w:rsid w:val="0010316A"/>
    <w:rsid w:val="00110C42"/>
    <w:rsid w:val="00121B71"/>
    <w:rsid w:val="00133D6B"/>
    <w:rsid w:val="001423D5"/>
    <w:rsid w:val="00150218"/>
    <w:rsid w:val="001619E8"/>
    <w:rsid w:val="00173B0E"/>
    <w:rsid w:val="001B0645"/>
    <w:rsid w:val="001B601F"/>
    <w:rsid w:val="001C2F4D"/>
    <w:rsid w:val="001D4119"/>
    <w:rsid w:val="001E1508"/>
    <w:rsid w:val="001E466E"/>
    <w:rsid w:val="00212F5F"/>
    <w:rsid w:val="00217FF9"/>
    <w:rsid w:val="00221E77"/>
    <w:rsid w:val="0022453D"/>
    <w:rsid w:val="00234531"/>
    <w:rsid w:val="00241F81"/>
    <w:rsid w:val="00245913"/>
    <w:rsid w:val="002516B9"/>
    <w:rsid w:val="002B6B03"/>
    <w:rsid w:val="002F1A51"/>
    <w:rsid w:val="0030486E"/>
    <w:rsid w:val="00305FBD"/>
    <w:rsid w:val="00333929"/>
    <w:rsid w:val="0033405B"/>
    <w:rsid w:val="0035106E"/>
    <w:rsid w:val="003636E3"/>
    <w:rsid w:val="00365D34"/>
    <w:rsid w:val="0037194D"/>
    <w:rsid w:val="00373B54"/>
    <w:rsid w:val="003859D0"/>
    <w:rsid w:val="00385BF0"/>
    <w:rsid w:val="0039338B"/>
    <w:rsid w:val="003B4198"/>
    <w:rsid w:val="003E6E24"/>
    <w:rsid w:val="00417CAB"/>
    <w:rsid w:val="00434D61"/>
    <w:rsid w:val="004600ED"/>
    <w:rsid w:val="004770A6"/>
    <w:rsid w:val="004C4735"/>
    <w:rsid w:val="00536972"/>
    <w:rsid w:val="00591537"/>
    <w:rsid w:val="005C6A0B"/>
    <w:rsid w:val="00642A97"/>
    <w:rsid w:val="006527B4"/>
    <w:rsid w:val="006620EC"/>
    <w:rsid w:val="00680B7A"/>
    <w:rsid w:val="006A0A8F"/>
    <w:rsid w:val="006B4908"/>
    <w:rsid w:val="006D2E63"/>
    <w:rsid w:val="006D4C44"/>
    <w:rsid w:val="006D6B88"/>
    <w:rsid w:val="006E290A"/>
    <w:rsid w:val="006F25F5"/>
    <w:rsid w:val="007161F6"/>
    <w:rsid w:val="0073520D"/>
    <w:rsid w:val="00742809"/>
    <w:rsid w:val="00745C3A"/>
    <w:rsid w:val="00767007"/>
    <w:rsid w:val="00774071"/>
    <w:rsid w:val="007A4FDF"/>
    <w:rsid w:val="007B56B8"/>
    <w:rsid w:val="007C144E"/>
    <w:rsid w:val="007C52C5"/>
    <w:rsid w:val="00843473"/>
    <w:rsid w:val="00884D74"/>
    <w:rsid w:val="00890C6F"/>
    <w:rsid w:val="008929B4"/>
    <w:rsid w:val="008C4B74"/>
    <w:rsid w:val="008E79AB"/>
    <w:rsid w:val="008F2058"/>
    <w:rsid w:val="008F422F"/>
    <w:rsid w:val="00943A46"/>
    <w:rsid w:val="00943EB1"/>
    <w:rsid w:val="00970B76"/>
    <w:rsid w:val="00990E89"/>
    <w:rsid w:val="009960BE"/>
    <w:rsid w:val="009C6691"/>
    <w:rsid w:val="009E3C05"/>
    <w:rsid w:val="009F7BC9"/>
    <w:rsid w:val="00A10993"/>
    <w:rsid w:val="00A3020D"/>
    <w:rsid w:val="00A411B2"/>
    <w:rsid w:val="00A41FDA"/>
    <w:rsid w:val="00A43364"/>
    <w:rsid w:val="00AB48AE"/>
    <w:rsid w:val="00AE3A09"/>
    <w:rsid w:val="00AF6A8B"/>
    <w:rsid w:val="00B33D08"/>
    <w:rsid w:val="00B455D4"/>
    <w:rsid w:val="00B47595"/>
    <w:rsid w:val="00B62FE9"/>
    <w:rsid w:val="00B74211"/>
    <w:rsid w:val="00B92F2E"/>
    <w:rsid w:val="00B9580C"/>
    <w:rsid w:val="00BB5246"/>
    <w:rsid w:val="00BB7CF4"/>
    <w:rsid w:val="00BF47DD"/>
    <w:rsid w:val="00BF526C"/>
    <w:rsid w:val="00C145B8"/>
    <w:rsid w:val="00C210C9"/>
    <w:rsid w:val="00C368F4"/>
    <w:rsid w:val="00C437B7"/>
    <w:rsid w:val="00C44A68"/>
    <w:rsid w:val="00C53F1D"/>
    <w:rsid w:val="00C77C84"/>
    <w:rsid w:val="00C957CD"/>
    <w:rsid w:val="00CA1D14"/>
    <w:rsid w:val="00CB6AA6"/>
    <w:rsid w:val="00CB7DBC"/>
    <w:rsid w:val="00CD46AF"/>
    <w:rsid w:val="00CF0B28"/>
    <w:rsid w:val="00CF430F"/>
    <w:rsid w:val="00D04B90"/>
    <w:rsid w:val="00D0778D"/>
    <w:rsid w:val="00D137F3"/>
    <w:rsid w:val="00D1764D"/>
    <w:rsid w:val="00D25807"/>
    <w:rsid w:val="00D36189"/>
    <w:rsid w:val="00D56EE1"/>
    <w:rsid w:val="00D57309"/>
    <w:rsid w:val="00D901DE"/>
    <w:rsid w:val="00DB4DC6"/>
    <w:rsid w:val="00E22F3B"/>
    <w:rsid w:val="00E7292E"/>
    <w:rsid w:val="00E906BF"/>
    <w:rsid w:val="00E965BE"/>
    <w:rsid w:val="00EB10B6"/>
    <w:rsid w:val="00ED5144"/>
    <w:rsid w:val="00EE577F"/>
    <w:rsid w:val="00EF136B"/>
    <w:rsid w:val="00EF448C"/>
    <w:rsid w:val="00F50CDE"/>
    <w:rsid w:val="00F6660E"/>
    <w:rsid w:val="00F7665C"/>
    <w:rsid w:val="00F86672"/>
    <w:rsid w:val="00FA13ED"/>
    <w:rsid w:val="00FA3266"/>
    <w:rsid w:val="00FA735B"/>
    <w:rsid w:val="00FB0475"/>
    <w:rsid w:val="0102058B"/>
    <w:rsid w:val="016707A2"/>
    <w:rsid w:val="016A3611"/>
    <w:rsid w:val="01765386"/>
    <w:rsid w:val="02263E5D"/>
    <w:rsid w:val="02406B8E"/>
    <w:rsid w:val="02664044"/>
    <w:rsid w:val="026E2AF7"/>
    <w:rsid w:val="027A7D9C"/>
    <w:rsid w:val="02890AAF"/>
    <w:rsid w:val="02AD1B71"/>
    <w:rsid w:val="02E80AFB"/>
    <w:rsid w:val="02FC552F"/>
    <w:rsid w:val="03215343"/>
    <w:rsid w:val="036A071D"/>
    <w:rsid w:val="036E15D9"/>
    <w:rsid w:val="039A08AB"/>
    <w:rsid w:val="039C3AF9"/>
    <w:rsid w:val="03D868CD"/>
    <w:rsid w:val="03E312C3"/>
    <w:rsid w:val="03F61E65"/>
    <w:rsid w:val="040730F1"/>
    <w:rsid w:val="041F735C"/>
    <w:rsid w:val="042A3990"/>
    <w:rsid w:val="04641A38"/>
    <w:rsid w:val="04834EA5"/>
    <w:rsid w:val="04BD43D4"/>
    <w:rsid w:val="05150979"/>
    <w:rsid w:val="0532605E"/>
    <w:rsid w:val="05597636"/>
    <w:rsid w:val="06132070"/>
    <w:rsid w:val="06593C90"/>
    <w:rsid w:val="06781180"/>
    <w:rsid w:val="06E21D6C"/>
    <w:rsid w:val="07270699"/>
    <w:rsid w:val="073B4AA9"/>
    <w:rsid w:val="07491965"/>
    <w:rsid w:val="077F0BCC"/>
    <w:rsid w:val="07DFCA27"/>
    <w:rsid w:val="07E36326"/>
    <w:rsid w:val="07E850FA"/>
    <w:rsid w:val="07EE166D"/>
    <w:rsid w:val="082500FC"/>
    <w:rsid w:val="083333C4"/>
    <w:rsid w:val="083B7041"/>
    <w:rsid w:val="08594641"/>
    <w:rsid w:val="08626511"/>
    <w:rsid w:val="08CE307A"/>
    <w:rsid w:val="090146C5"/>
    <w:rsid w:val="093F6F9B"/>
    <w:rsid w:val="095F10A2"/>
    <w:rsid w:val="099FC2C7"/>
    <w:rsid w:val="09B74E44"/>
    <w:rsid w:val="0A156759"/>
    <w:rsid w:val="0AD168FE"/>
    <w:rsid w:val="0B480507"/>
    <w:rsid w:val="0B974620"/>
    <w:rsid w:val="0BB93035"/>
    <w:rsid w:val="0BFF52C8"/>
    <w:rsid w:val="0C667F4F"/>
    <w:rsid w:val="0CD345CA"/>
    <w:rsid w:val="0CF81924"/>
    <w:rsid w:val="0D0A647F"/>
    <w:rsid w:val="0D1644B7"/>
    <w:rsid w:val="0D214E05"/>
    <w:rsid w:val="0D7F02AE"/>
    <w:rsid w:val="0D9874F4"/>
    <w:rsid w:val="0DEB0B91"/>
    <w:rsid w:val="0DED1E28"/>
    <w:rsid w:val="0DFF08AC"/>
    <w:rsid w:val="0DFF097D"/>
    <w:rsid w:val="0E600598"/>
    <w:rsid w:val="0E9156BB"/>
    <w:rsid w:val="0EBD43A8"/>
    <w:rsid w:val="0EBD6860"/>
    <w:rsid w:val="0EEF4AF7"/>
    <w:rsid w:val="0F2F73E7"/>
    <w:rsid w:val="0F59738B"/>
    <w:rsid w:val="0F773D33"/>
    <w:rsid w:val="0F9855B9"/>
    <w:rsid w:val="0FDCCF75"/>
    <w:rsid w:val="0FE5249F"/>
    <w:rsid w:val="0FEE6227"/>
    <w:rsid w:val="0FF01946"/>
    <w:rsid w:val="0FFCC8D4"/>
    <w:rsid w:val="105C50C5"/>
    <w:rsid w:val="1085229B"/>
    <w:rsid w:val="10B0549B"/>
    <w:rsid w:val="10D567EC"/>
    <w:rsid w:val="10FF875D"/>
    <w:rsid w:val="11201844"/>
    <w:rsid w:val="11210F87"/>
    <w:rsid w:val="1148610F"/>
    <w:rsid w:val="117D1B0C"/>
    <w:rsid w:val="118359F8"/>
    <w:rsid w:val="11875E03"/>
    <w:rsid w:val="11FB6924"/>
    <w:rsid w:val="11FF7CBA"/>
    <w:rsid w:val="122E316D"/>
    <w:rsid w:val="122F1280"/>
    <w:rsid w:val="12710211"/>
    <w:rsid w:val="12AC2EF6"/>
    <w:rsid w:val="13005938"/>
    <w:rsid w:val="13076B7A"/>
    <w:rsid w:val="132E406B"/>
    <w:rsid w:val="137FFEB2"/>
    <w:rsid w:val="13A02483"/>
    <w:rsid w:val="13A7CA79"/>
    <w:rsid w:val="13B3480E"/>
    <w:rsid w:val="13BB60DD"/>
    <w:rsid w:val="13DD7ADC"/>
    <w:rsid w:val="13E4452D"/>
    <w:rsid w:val="14195C36"/>
    <w:rsid w:val="1458743B"/>
    <w:rsid w:val="149C066A"/>
    <w:rsid w:val="14A625C4"/>
    <w:rsid w:val="14AF2D11"/>
    <w:rsid w:val="14C111AC"/>
    <w:rsid w:val="14E236AD"/>
    <w:rsid w:val="14F34F6E"/>
    <w:rsid w:val="14F4012D"/>
    <w:rsid w:val="151B5657"/>
    <w:rsid w:val="152C19CD"/>
    <w:rsid w:val="152F4368"/>
    <w:rsid w:val="153171BF"/>
    <w:rsid w:val="158428DA"/>
    <w:rsid w:val="162D148A"/>
    <w:rsid w:val="163A6991"/>
    <w:rsid w:val="16593BC1"/>
    <w:rsid w:val="167F1048"/>
    <w:rsid w:val="16C136E5"/>
    <w:rsid w:val="16EEF024"/>
    <w:rsid w:val="170A1609"/>
    <w:rsid w:val="174739A6"/>
    <w:rsid w:val="17610D95"/>
    <w:rsid w:val="17BF868A"/>
    <w:rsid w:val="17F77E50"/>
    <w:rsid w:val="17FF5621"/>
    <w:rsid w:val="187C264E"/>
    <w:rsid w:val="18B30DE6"/>
    <w:rsid w:val="18C96881"/>
    <w:rsid w:val="18CB33B0"/>
    <w:rsid w:val="18D147D1"/>
    <w:rsid w:val="19063631"/>
    <w:rsid w:val="193F1B3B"/>
    <w:rsid w:val="19406B43"/>
    <w:rsid w:val="1947102B"/>
    <w:rsid w:val="19F142E2"/>
    <w:rsid w:val="19F86E89"/>
    <w:rsid w:val="1A02204B"/>
    <w:rsid w:val="1A4254FE"/>
    <w:rsid w:val="1A55C69C"/>
    <w:rsid w:val="1AA255DC"/>
    <w:rsid w:val="1AC72664"/>
    <w:rsid w:val="1AD35795"/>
    <w:rsid w:val="1ADDD86C"/>
    <w:rsid w:val="1B4D5EEC"/>
    <w:rsid w:val="1B5649CD"/>
    <w:rsid w:val="1B5D464D"/>
    <w:rsid w:val="1B6D3D54"/>
    <w:rsid w:val="1B8706EB"/>
    <w:rsid w:val="1BAF3F08"/>
    <w:rsid w:val="1BBF85B8"/>
    <w:rsid w:val="1BDF69DC"/>
    <w:rsid w:val="1BEC16D5"/>
    <w:rsid w:val="1C2A2603"/>
    <w:rsid w:val="1C403025"/>
    <w:rsid w:val="1C5B2A6C"/>
    <w:rsid w:val="1C817B9F"/>
    <w:rsid w:val="1CDA3833"/>
    <w:rsid w:val="1CF94E1A"/>
    <w:rsid w:val="1D134CE4"/>
    <w:rsid w:val="1D297A71"/>
    <w:rsid w:val="1D36C7FE"/>
    <w:rsid w:val="1D383FD6"/>
    <w:rsid w:val="1D47FB25"/>
    <w:rsid w:val="1D4FECCE"/>
    <w:rsid w:val="1D921B9B"/>
    <w:rsid w:val="1DA9AB51"/>
    <w:rsid w:val="1DAB609F"/>
    <w:rsid w:val="1DDF803C"/>
    <w:rsid w:val="1DFBDF2F"/>
    <w:rsid w:val="1DFFFA7B"/>
    <w:rsid w:val="1E7FF1D2"/>
    <w:rsid w:val="1ECDB0B7"/>
    <w:rsid w:val="1EF76559"/>
    <w:rsid w:val="1F5FA556"/>
    <w:rsid w:val="1F7F4ACD"/>
    <w:rsid w:val="1F8135B5"/>
    <w:rsid w:val="1F815025"/>
    <w:rsid w:val="1F872618"/>
    <w:rsid w:val="1FD45D34"/>
    <w:rsid w:val="1FDB732D"/>
    <w:rsid w:val="1FDD9505"/>
    <w:rsid w:val="1FE2C946"/>
    <w:rsid w:val="1FE74148"/>
    <w:rsid w:val="1FEDC23A"/>
    <w:rsid w:val="1FF41F25"/>
    <w:rsid w:val="1FFA6563"/>
    <w:rsid w:val="1FFF677A"/>
    <w:rsid w:val="200E525D"/>
    <w:rsid w:val="20174376"/>
    <w:rsid w:val="207926AF"/>
    <w:rsid w:val="209F5C54"/>
    <w:rsid w:val="20EA2C1E"/>
    <w:rsid w:val="20F85F56"/>
    <w:rsid w:val="212045AF"/>
    <w:rsid w:val="213722FE"/>
    <w:rsid w:val="214221AC"/>
    <w:rsid w:val="214967B1"/>
    <w:rsid w:val="22237002"/>
    <w:rsid w:val="225E3393"/>
    <w:rsid w:val="22734DCC"/>
    <w:rsid w:val="22BE576E"/>
    <w:rsid w:val="22E52F75"/>
    <w:rsid w:val="2304548B"/>
    <w:rsid w:val="23195006"/>
    <w:rsid w:val="23AF0A3B"/>
    <w:rsid w:val="23EA2715"/>
    <w:rsid w:val="243248D8"/>
    <w:rsid w:val="246E1A2D"/>
    <w:rsid w:val="247D71F7"/>
    <w:rsid w:val="24E0567E"/>
    <w:rsid w:val="25386690"/>
    <w:rsid w:val="255A6DFA"/>
    <w:rsid w:val="256EAC1E"/>
    <w:rsid w:val="25B763DF"/>
    <w:rsid w:val="25CC521E"/>
    <w:rsid w:val="269229A8"/>
    <w:rsid w:val="26B4445A"/>
    <w:rsid w:val="26BC3F34"/>
    <w:rsid w:val="26EE15D3"/>
    <w:rsid w:val="26FF82ED"/>
    <w:rsid w:val="273B31A2"/>
    <w:rsid w:val="276A2E11"/>
    <w:rsid w:val="27893DAB"/>
    <w:rsid w:val="27EC60E8"/>
    <w:rsid w:val="27FC632B"/>
    <w:rsid w:val="27FC7011"/>
    <w:rsid w:val="27FD10C9"/>
    <w:rsid w:val="284C2B93"/>
    <w:rsid w:val="28576115"/>
    <w:rsid w:val="287405B8"/>
    <w:rsid w:val="28795AEC"/>
    <w:rsid w:val="28BC605C"/>
    <w:rsid w:val="28CF3EA8"/>
    <w:rsid w:val="292B2B02"/>
    <w:rsid w:val="292C49EE"/>
    <w:rsid w:val="293B44BB"/>
    <w:rsid w:val="296951EB"/>
    <w:rsid w:val="29C23357"/>
    <w:rsid w:val="2A030ADA"/>
    <w:rsid w:val="2A2953D2"/>
    <w:rsid w:val="2A4E63CA"/>
    <w:rsid w:val="2ACE2B35"/>
    <w:rsid w:val="2B6FE7FC"/>
    <w:rsid w:val="2B807273"/>
    <w:rsid w:val="2BA271EA"/>
    <w:rsid w:val="2BCF0F00"/>
    <w:rsid w:val="2CAE69CC"/>
    <w:rsid w:val="2CE25098"/>
    <w:rsid w:val="2D144884"/>
    <w:rsid w:val="2D6834CD"/>
    <w:rsid w:val="2D735A76"/>
    <w:rsid w:val="2DA27693"/>
    <w:rsid w:val="2DBE6329"/>
    <w:rsid w:val="2DFD2DFD"/>
    <w:rsid w:val="2E110D92"/>
    <w:rsid w:val="2E2E1172"/>
    <w:rsid w:val="2E616FFC"/>
    <w:rsid w:val="2EA60098"/>
    <w:rsid w:val="2F15324E"/>
    <w:rsid w:val="2F1B0F88"/>
    <w:rsid w:val="2F26FE8E"/>
    <w:rsid w:val="2F7FA135"/>
    <w:rsid w:val="2FE6161B"/>
    <w:rsid w:val="30233047"/>
    <w:rsid w:val="3039389C"/>
    <w:rsid w:val="30426264"/>
    <w:rsid w:val="30646CBB"/>
    <w:rsid w:val="306760AB"/>
    <w:rsid w:val="309D57CE"/>
    <w:rsid w:val="30B318AB"/>
    <w:rsid w:val="30B81E98"/>
    <w:rsid w:val="30E91417"/>
    <w:rsid w:val="31114111"/>
    <w:rsid w:val="311C4D56"/>
    <w:rsid w:val="313715CA"/>
    <w:rsid w:val="31374AC9"/>
    <w:rsid w:val="31532D34"/>
    <w:rsid w:val="318B6635"/>
    <w:rsid w:val="31AC1C88"/>
    <w:rsid w:val="32111BB1"/>
    <w:rsid w:val="32172EF7"/>
    <w:rsid w:val="32184829"/>
    <w:rsid w:val="32EFC49F"/>
    <w:rsid w:val="33252058"/>
    <w:rsid w:val="33282048"/>
    <w:rsid w:val="33437504"/>
    <w:rsid w:val="33B36008"/>
    <w:rsid w:val="33BE2024"/>
    <w:rsid w:val="33BF4ADA"/>
    <w:rsid w:val="33EB2ED7"/>
    <w:rsid w:val="33FDF144"/>
    <w:rsid w:val="33FFBE9B"/>
    <w:rsid w:val="342015F4"/>
    <w:rsid w:val="34223277"/>
    <w:rsid w:val="344E1F58"/>
    <w:rsid w:val="345E211C"/>
    <w:rsid w:val="349C6B41"/>
    <w:rsid w:val="34AF7AFE"/>
    <w:rsid w:val="34B92229"/>
    <w:rsid w:val="34CDE228"/>
    <w:rsid w:val="34CF108F"/>
    <w:rsid w:val="34D643A8"/>
    <w:rsid w:val="34E614F0"/>
    <w:rsid w:val="350724C0"/>
    <w:rsid w:val="352B22B8"/>
    <w:rsid w:val="35381906"/>
    <w:rsid w:val="3546358B"/>
    <w:rsid w:val="35654B5E"/>
    <w:rsid w:val="35845E95"/>
    <w:rsid w:val="359B1EF1"/>
    <w:rsid w:val="35FC795E"/>
    <w:rsid w:val="361826E2"/>
    <w:rsid w:val="366E1850"/>
    <w:rsid w:val="36C73679"/>
    <w:rsid w:val="36D71A2D"/>
    <w:rsid w:val="36DA3153"/>
    <w:rsid w:val="36EF6F97"/>
    <w:rsid w:val="36F44A26"/>
    <w:rsid w:val="36F664FC"/>
    <w:rsid w:val="371A6D8B"/>
    <w:rsid w:val="371F7FFA"/>
    <w:rsid w:val="37BDB3E1"/>
    <w:rsid w:val="37BEBF35"/>
    <w:rsid w:val="37C7AF3C"/>
    <w:rsid w:val="37EF4EFE"/>
    <w:rsid w:val="37F45A3D"/>
    <w:rsid w:val="38014300"/>
    <w:rsid w:val="381279D4"/>
    <w:rsid w:val="38944959"/>
    <w:rsid w:val="38AE4045"/>
    <w:rsid w:val="38BF0613"/>
    <w:rsid w:val="38D06382"/>
    <w:rsid w:val="38FE94D5"/>
    <w:rsid w:val="39291507"/>
    <w:rsid w:val="39775232"/>
    <w:rsid w:val="39964CB4"/>
    <w:rsid w:val="399E1BAD"/>
    <w:rsid w:val="39AB36DC"/>
    <w:rsid w:val="39C789C3"/>
    <w:rsid w:val="39FB21BA"/>
    <w:rsid w:val="39FD5F33"/>
    <w:rsid w:val="3A2D04B3"/>
    <w:rsid w:val="3A3FC4A0"/>
    <w:rsid w:val="3A4109E0"/>
    <w:rsid w:val="3A912218"/>
    <w:rsid w:val="3B4154AA"/>
    <w:rsid w:val="3B723D3C"/>
    <w:rsid w:val="3B732951"/>
    <w:rsid w:val="3B7BB7F5"/>
    <w:rsid w:val="3B97C263"/>
    <w:rsid w:val="3BA9C107"/>
    <w:rsid w:val="3BAFE7EF"/>
    <w:rsid w:val="3BBD587F"/>
    <w:rsid w:val="3BFDE74E"/>
    <w:rsid w:val="3C2D02D0"/>
    <w:rsid w:val="3C354005"/>
    <w:rsid w:val="3C584AE7"/>
    <w:rsid w:val="3CEBE058"/>
    <w:rsid w:val="3CEF3255"/>
    <w:rsid w:val="3CFB0E50"/>
    <w:rsid w:val="3D377A73"/>
    <w:rsid w:val="3D3FC40B"/>
    <w:rsid w:val="3D785FFC"/>
    <w:rsid w:val="3D7F0A4A"/>
    <w:rsid w:val="3D7FAB55"/>
    <w:rsid w:val="3DDD08CB"/>
    <w:rsid w:val="3DE7EA05"/>
    <w:rsid w:val="3DE855B8"/>
    <w:rsid w:val="3DF6A57E"/>
    <w:rsid w:val="3DFED120"/>
    <w:rsid w:val="3E2F40AC"/>
    <w:rsid w:val="3E5F0574"/>
    <w:rsid w:val="3E767EEB"/>
    <w:rsid w:val="3F004C94"/>
    <w:rsid w:val="3F1955BD"/>
    <w:rsid w:val="3F255F2A"/>
    <w:rsid w:val="3F3EAE86"/>
    <w:rsid w:val="3F4F043B"/>
    <w:rsid w:val="3F542DCF"/>
    <w:rsid w:val="3F5FD02C"/>
    <w:rsid w:val="3F67D211"/>
    <w:rsid w:val="3F727E77"/>
    <w:rsid w:val="3F7A991B"/>
    <w:rsid w:val="3F7EF31B"/>
    <w:rsid w:val="3F95FC1B"/>
    <w:rsid w:val="3FA77E0E"/>
    <w:rsid w:val="3FAFA317"/>
    <w:rsid w:val="3FB18163"/>
    <w:rsid w:val="3FB5F553"/>
    <w:rsid w:val="3FDBA3D4"/>
    <w:rsid w:val="3FDDEA40"/>
    <w:rsid w:val="3FDF0B17"/>
    <w:rsid w:val="3FDFD75D"/>
    <w:rsid w:val="3FE37AA5"/>
    <w:rsid w:val="3FEDA517"/>
    <w:rsid w:val="3FEEAD40"/>
    <w:rsid w:val="3FEF9FB8"/>
    <w:rsid w:val="3FF66545"/>
    <w:rsid w:val="3FF9F560"/>
    <w:rsid w:val="3FFB77F8"/>
    <w:rsid w:val="3FFBBC9C"/>
    <w:rsid w:val="3FFDF54B"/>
    <w:rsid w:val="3FFF0A00"/>
    <w:rsid w:val="3FFF85DE"/>
    <w:rsid w:val="3FFFD91A"/>
    <w:rsid w:val="40011BEC"/>
    <w:rsid w:val="404657C2"/>
    <w:rsid w:val="4062148C"/>
    <w:rsid w:val="40873F04"/>
    <w:rsid w:val="40FC63D6"/>
    <w:rsid w:val="413D0D32"/>
    <w:rsid w:val="417A4326"/>
    <w:rsid w:val="41B05882"/>
    <w:rsid w:val="41BB283E"/>
    <w:rsid w:val="423B4E04"/>
    <w:rsid w:val="424C5E99"/>
    <w:rsid w:val="425449E0"/>
    <w:rsid w:val="42654C09"/>
    <w:rsid w:val="42667E3E"/>
    <w:rsid w:val="428F5F2B"/>
    <w:rsid w:val="43192030"/>
    <w:rsid w:val="431A52A6"/>
    <w:rsid w:val="432C0FE0"/>
    <w:rsid w:val="4364197B"/>
    <w:rsid w:val="438C2802"/>
    <w:rsid w:val="44280519"/>
    <w:rsid w:val="44426ED0"/>
    <w:rsid w:val="4447101A"/>
    <w:rsid w:val="44B35FF4"/>
    <w:rsid w:val="44BEFD69"/>
    <w:rsid w:val="44C8563B"/>
    <w:rsid w:val="44CC19AB"/>
    <w:rsid w:val="45477746"/>
    <w:rsid w:val="455108C0"/>
    <w:rsid w:val="456D0411"/>
    <w:rsid w:val="45775E57"/>
    <w:rsid w:val="459C685F"/>
    <w:rsid w:val="45A30230"/>
    <w:rsid w:val="45A32084"/>
    <w:rsid w:val="45AE547B"/>
    <w:rsid w:val="45CD7101"/>
    <w:rsid w:val="45FD0607"/>
    <w:rsid w:val="46474AC5"/>
    <w:rsid w:val="465D4797"/>
    <w:rsid w:val="46837925"/>
    <w:rsid w:val="468D2285"/>
    <w:rsid w:val="468F03C9"/>
    <w:rsid w:val="46953013"/>
    <w:rsid w:val="46DD3AE5"/>
    <w:rsid w:val="47144508"/>
    <w:rsid w:val="474A0503"/>
    <w:rsid w:val="47780109"/>
    <w:rsid w:val="47E56984"/>
    <w:rsid w:val="47FB71BA"/>
    <w:rsid w:val="487D3AD1"/>
    <w:rsid w:val="48CC6359"/>
    <w:rsid w:val="48D83DF3"/>
    <w:rsid w:val="491C3119"/>
    <w:rsid w:val="492422C9"/>
    <w:rsid w:val="493F215B"/>
    <w:rsid w:val="494D348B"/>
    <w:rsid w:val="495A5B79"/>
    <w:rsid w:val="497A54E7"/>
    <w:rsid w:val="49A338EE"/>
    <w:rsid w:val="49BC60A7"/>
    <w:rsid w:val="49D00F6E"/>
    <w:rsid w:val="49DB95E6"/>
    <w:rsid w:val="4A497422"/>
    <w:rsid w:val="4A4C0813"/>
    <w:rsid w:val="4AC97773"/>
    <w:rsid w:val="4ACA2238"/>
    <w:rsid w:val="4AF553CF"/>
    <w:rsid w:val="4B117F9B"/>
    <w:rsid w:val="4B170195"/>
    <w:rsid w:val="4B185E0E"/>
    <w:rsid w:val="4B3043BA"/>
    <w:rsid w:val="4B3430D7"/>
    <w:rsid w:val="4B7EB985"/>
    <w:rsid w:val="4B7F4F15"/>
    <w:rsid w:val="4B92643F"/>
    <w:rsid w:val="4BA426B2"/>
    <w:rsid w:val="4C13716F"/>
    <w:rsid w:val="4C9203C0"/>
    <w:rsid w:val="4CA13CD4"/>
    <w:rsid w:val="4CEC5580"/>
    <w:rsid w:val="4CF5E751"/>
    <w:rsid w:val="4D09672D"/>
    <w:rsid w:val="4D0E4287"/>
    <w:rsid w:val="4D446E3D"/>
    <w:rsid w:val="4D525313"/>
    <w:rsid w:val="4D583C05"/>
    <w:rsid w:val="4DAD8D0E"/>
    <w:rsid w:val="4DC71514"/>
    <w:rsid w:val="4DFC5713"/>
    <w:rsid w:val="4DFE6FDF"/>
    <w:rsid w:val="4E365944"/>
    <w:rsid w:val="4ECAE5D0"/>
    <w:rsid w:val="4EDC6488"/>
    <w:rsid w:val="4EE67479"/>
    <w:rsid w:val="4F3F6DB8"/>
    <w:rsid w:val="4F4D415C"/>
    <w:rsid w:val="4F586729"/>
    <w:rsid w:val="4F6FA1F6"/>
    <w:rsid w:val="4F743884"/>
    <w:rsid w:val="4F7DDDBC"/>
    <w:rsid w:val="4F9E7091"/>
    <w:rsid w:val="4FA3386F"/>
    <w:rsid w:val="4FAEB095"/>
    <w:rsid w:val="4FEDB014"/>
    <w:rsid w:val="4FEFD515"/>
    <w:rsid w:val="4FFF6A70"/>
    <w:rsid w:val="4FFF949B"/>
    <w:rsid w:val="50112265"/>
    <w:rsid w:val="50286B93"/>
    <w:rsid w:val="502A63EA"/>
    <w:rsid w:val="50D2381E"/>
    <w:rsid w:val="50DD1DB8"/>
    <w:rsid w:val="50E579F5"/>
    <w:rsid w:val="51300C5D"/>
    <w:rsid w:val="513FDD17"/>
    <w:rsid w:val="515F631D"/>
    <w:rsid w:val="51FED7AB"/>
    <w:rsid w:val="522B1438"/>
    <w:rsid w:val="526E7566"/>
    <w:rsid w:val="52A65D8F"/>
    <w:rsid w:val="52C30FF3"/>
    <w:rsid w:val="52E64E0B"/>
    <w:rsid w:val="535B3F9E"/>
    <w:rsid w:val="538E785D"/>
    <w:rsid w:val="53907ADD"/>
    <w:rsid w:val="53C76579"/>
    <w:rsid w:val="540B79BB"/>
    <w:rsid w:val="548D5F75"/>
    <w:rsid w:val="54A07A35"/>
    <w:rsid w:val="54B72F33"/>
    <w:rsid w:val="556B18D5"/>
    <w:rsid w:val="556F62F5"/>
    <w:rsid w:val="55AC1F57"/>
    <w:rsid w:val="55DF0EB7"/>
    <w:rsid w:val="55FFB4C3"/>
    <w:rsid w:val="56292A0E"/>
    <w:rsid w:val="56616A1E"/>
    <w:rsid w:val="56B05E9D"/>
    <w:rsid w:val="56B6F322"/>
    <w:rsid w:val="56BD87DB"/>
    <w:rsid w:val="56C37E91"/>
    <w:rsid w:val="56D522B7"/>
    <w:rsid w:val="56E542AB"/>
    <w:rsid w:val="56F68E80"/>
    <w:rsid w:val="5716094C"/>
    <w:rsid w:val="57394BC6"/>
    <w:rsid w:val="575A4816"/>
    <w:rsid w:val="57622CF3"/>
    <w:rsid w:val="57726ADE"/>
    <w:rsid w:val="579A6A51"/>
    <w:rsid w:val="57A73B40"/>
    <w:rsid w:val="57CDA7DA"/>
    <w:rsid w:val="57CF4A64"/>
    <w:rsid w:val="57D3392A"/>
    <w:rsid w:val="57DB0877"/>
    <w:rsid w:val="57ED74FC"/>
    <w:rsid w:val="57FB0F5D"/>
    <w:rsid w:val="57FBE835"/>
    <w:rsid w:val="57FD7B8E"/>
    <w:rsid w:val="57FDC3C4"/>
    <w:rsid w:val="57FE8352"/>
    <w:rsid w:val="57FFE4F7"/>
    <w:rsid w:val="58302916"/>
    <w:rsid w:val="586417B3"/>
    <w:rsid w:val="58655677"/>
    <w:rsid w:val="587578B0"/>
    <w:rsid w:val="5897610A"/>
    <w:rsid w:val="58B80FCE"/>
    <w:rsid w:val="58FE0187"/>
    <w:rsid w:val="59050C34"/>
    <w:rsid w:val="59114A45"/>
    <w:rsid w:val="595E3CB4"/>
    <w:rsid w:val="59DEA1EF"/>
    <w:rsid w:val="59EF8D9F"/>
    <w:rsid w:val="59F90E93"/>
    <w:rsid w:val="59FF7998"/>
    <w:rsid w:val="5A7E4CB7"/>
    <w:rsid w:val="5ABB7D5C"/>
    <w:rsid w:val="5AE217F3"/>
    <w:rsid w:val="5B2D6220"/>
    <w:rsid w:val="5B5F125B"/>
    <w:rsid w:val="5B7F2B14"/>
    <w:rsid w:val="5BD35692"/>
    <w:rsid w:val="5BF747CD"/>
    <w:rsid w:val="5BFBE743"/>
    <w:rsid w:val="5C186ED1"/>
    <w:rsid w:val="5C2B9384"/>
    <w:rsid w:val="5C5145C1"/>
    <w:rsid w:val="5C6A2E8A"/>
    <w:rsid w:val="5C8F5D93"/>
    <w:rsid w:val="5CFBBAAC"/>
    <w:rsid w:val="5CFF7AD3"/>
    <w:rsid w:val="5D0BBAA6"/>
    <w:rsid w:val="5D151541"/>
    <w:rsid w:val="5D87665E"/>
    <w:rsid w:val="5DBB6FE3"/>
    <w:rsid w:val="5DBFA8CD"/>
    <w:rsid w:val="5DBFCCED"/>
    <w:rsid w:val="5DFF69FD"/>
    <w:rsid w:val="5E090501"/>
    <w:rsid w:val="5E3E6EB0"/>
    <w:rsid w:val="5E4365D9"/>
    <w:rsid w:val="5E5A08C1"/>
    <w:rsid w:val="5E7BB6FC"/>
    <w:rsid w:val="5E935815"/>
    <w:rsid w:val="5EA428C6"/>
    <w:rsid w:val="5EBF97CB"/>
    <w:rsid w:val="5ECA248D"/>
    <w:rsid w:val="5ECC5D50"/>
    <w:rsid w:val="5ED52F0B"/>
    <w:rsid w:val="5ED73EE8"/>
    <w:rsid w:val="5EE24701"/>
    <w:rsid w:val="5EF57055"/>
    <w:rsid w:val="5EFA4D27"/>
    <w:rsid w:val="5EFA7CCD"/>
    <w:rsid w:val="5F0E886A"/>
    <w:rsid w:val="5F0FE4AE"/>
    <w:rsid w:val="5F2B3A0B"/>
    <w:rsid w:val="5F423385"/>
    <w:rsid w:val="5F423F9C"/>
    <w:rsid w:val="5F514FF5"/>
    <w:rsid w:val="5F555D85"/>
    <w:rsid w:val="5F5F6DE9"/>
    <w:rsid w:val="5F63013E"/>
    <w:rsid w:val="5F68184D"/>
    <w:rsid w:val="5F6F260C"/>
    <w:rsid w:val="5F6FDB90"/>
    <w:rsid w:val="5F7DAE49"/>
    <w:rsid w:val="5F9F4874"/>
    <w:rsid w:val="5FA29013"/>
    <w:rsid w:val="5FB258F5"/>
    <w:rsid w:val="5FBE38EB"/>
    <w:rsid w:val="5FC6A7F7"/>
    <w:rsid w:val="5FDFC221"/>
    <w:rsid w:val="5FE46C8E"/>
    <w:rsid w:val="5FEBDFFF"/>
    <w:rsid w:val="5FEF1CF6"/>
    <w:rsid w:val="5FEFBA81"/>
    <w:rsid w:val="5FF53B74"/>
    <w:rsid w:val="5FF64A69"/>
    <w:rsid w:val="5FF73ABC"/>
    <w:rsid w:val="5FFB0575"/>
    <w:rsid w:val="5FFD8A55"/>
    <w:rsid w:val="5FFE3908"/>
    <w:rsid w:val="604B2E6A"/>
    <w:rsid w:val="610712C2"/>
    <w:rsid w:val="611F0600"/>
    <w:rsid w:val="61538147"/>
    <w:rsid w:val="61556569"/>
    <w:rsid w:val="618B2370"/>
    <w:rsid w:val="61DBFC9D"/>
    <w:rsid w:val="61E93074"/>
    <w:rsid w:val="62191635"/>
    <w:rsid w:val="629152E7"/>
    <w:rsid w:val="62BEA4B5"/>
    <w:rsid w:val="63061461"/>
    <w:rsid w:val="633F5B39"/>
    <w:rsid w:val="63776007"/>
    <w:rsid w:val="637A6F52"/>
    <w:rsid w:val="637FFFED"/>
    <w:rsid w:val="639ECC05"/>
    <w:rsid w:val="63BFFCD3"/>
    <w:rsid w:val="63C0358D"/>
    <w:rsid w:val="63F73EC6"/>
    <w:rsid w:val="63FFD53F"/>
    <w:rsid w:val="642F333C"/>
    <w:rsid w:val="64887470"/>
    <w:rsid w:val="649015CE"/>
    <w:rsid w:val="64BE1153"/>
    <w:rsid w:val="64EE8E2D"/>
    <w:rsid w:val="65476131"/>
    <w:rsid w:val="654B490D"/>
    <w:rsid w:val="65690177"/>
    <w:rsid w:val="657F20BB"/>
    <w:rsid w:val="65BA3E03"/>
    <w:rsid w:val="65BF629E"/>
    <w:rsid w:val="65C3A7CA"/>
    <w:rsid w:val="65E6594A"/>
    <w:rsid w:val="65FA0786"/>
    <w:rsid w:val="661A3845"/>
    <w:rsid w:val="6624393D"/>
    <w:rsid w:val="66310067"/>
    <w:rsid w:val="663D1EA0"/>
    <w:rsid w:val="66521231"/>
    <w:rsid w:val="665E5BD6"/>
    <w:rsid w:val="669DE859"/>
    <w:rsid w:val="66AA0B9F"/>
    <w:rsid w:val="66AF6EE2"/>
    <w:rsid w:val="66BC66AA"/>
    <w:rsid w:val="66D34495"/>
    <w:rsid w:val="66EF639B"/>
    <w:rsid w:val="66FF1217"/>
    <w:rsid w:val="670E7956"/>
    <w:rsid w:val="67267557"/>
    <w:rsid w:val="677A9E68"/>
    <w:rsid w:val="677F74B5"/>
    <w:rsid w:val="6784541A"/>
    <w:rsid w:val="67BBFF54"/>
    <w:rsid w:val="67C7C79A"/>
    <w:rsid w:val="67C8B700"/>
    <w:rsid w:val="67DB59DE"/>
    <w:rsid w:val="67EF6C39"/>
    <w:rsid w:val="67FF1DA2"/>
    <w:rsid w:val="68264723"/>
    <w:rsid w:val="683AEC7A"/>
    <w:rsid w:val="688F4A34"/>
    <w:rsid w:val="68A14708"/>
    <w:rsid w:val="68BF4A67"/>
    <w:rsid w:val="693D5502"/>
    <w:rsid w:val="693E5ABC"/>
    <w:rsid w:val="695D35C1"/>
    <w:rsid w:val="695F9E85"/>
    <w:rsid w:val="696621C9"/>
    <w:rsid w:val="69851AA9"/>
    <w:rsid w:val="69B79EB2"/>
    <w:rsid w:val="69F106BF"/>
    <w:rsid w:val="69FB87F9"/>
    <w:rsid w:val="69FFCAC4"/>
    <w:rsid w:val="6A3B8FDD"/>
    <w:rsid w:val="6A582B8E"/>
    <w:rsid w:val="6A7E634B"/>
    <w:rsid w:val="6AD64C95"/>
    <w:rsid w:val="6AEB755E"/>
    <w:rsid w:val="6AFE5E69"/>
    <w:rsid w:val="6AFE7938"/>
    <w:rsid w:val="6B0B19AE"/>
    <w:rsid w:val="6B6FBF6E"/>
    <w:rsid w:val="6B8E744F"/>
    <w:rsid w:val="6BAE6191"/>
    <w:rsid w:val="6BB817F0"/>
    <w:rsid w:val="6BDF081A"/>
    <w:rsid w:val="6BEA5A68"/>
    <w:rsid w:val="6BF3F9F7"/>
    <w:rsid w:val="6BF64F6D"/>
    <w:rsid w:val="6BF67565"/>
    <w:rsid w:val="6BFACDB0"/>
    <w:rsid w:val="6BFB51A0"/>
    <w:rsid w:val="6BFBD862"/>
    <w:rsid w:val="6BFFFC33"/>
    <w:rsid w:val="6C1D0DB7"/>
    <w:rsid w:val="6C2623EF"/>
    <w:rsid w:val="6C30791F"/>
    <w:rsid w:val="6C586E75"/>
    <w:rsid w:val="6C9EF5B5"/>
    <w:rsid w:val="6CB0754D"/>
    <w:rsid w:val="6CCB5AB6"/>
    <w:rsid w:val="6CF3458D"/>
    <w:rsid w:val="6D3B10FE"/>
    <w:rsid w:val="6D3FDAF6"/>
    <w:rsid w:val="6D8C6F0D"/>
    <w:rsid w:val="6DD70D33"/>
    <w:rsid w:val="6DE55804"/>
    <w:rsid w:val="6DED572D"/>
    <w:rsid w:val="6DF6762A"/>
    <w:rsid w:val="6DF935C6"/>
    <w:rsid w:val="6DFEE7E4"/>
    <w:rsid w:val="6DFFECCD"/>
    <w:rsid w:val="6E0E0133"/>
    <w:rsid w:val="6E3000AA"/>
    <w:rsid w:val="6E437CC8"/>
    <w:rsid w:val="6E7332F9"/>
    <w:rsid w:val="6E900BFF"/>
    <w:rsid w:val="6EB86DDE"/>
    <w:rsid w:val="6ED67761"/>
    <w:rsid w:val="6EDF2100"/>
    <w:rsid w:val="6EF1CA43"/>
    <w:rsid w:val="6F0D698B"/>
    <w:rsid w:val="6F1F18DF"/>
    <w:rsid w:val="6F3F0292"/>
    <w:rsid w:val="6F4F2E39"/>
    <w:rsid w:val="6F506986"/>
    <w:rsid w:val="6F5451A6"/>
    <w:rsid w:val="6F57E892"/>
    <w:rsid w:val="6F5F83A3"/>
    <w:rsid w:val="6F6E5DFF"/>
    <w:rsid w:val="6F7BAAC8"/>
    <w:rsid w:val="6F7D0DC3"/>
    <w:rsid w:val="6F7D0E5D"/>
    <w:rsid w:val="6F7E953B"/>
    <w:rsid w:val="6F999D00"/>
    <w:rsid w:val="6FAECA93"/>
    <w:rsid w:val="6FBF04F7"/>
    <w:rsid w:val="6FC7C1FF"/>
    <w:rsid w:val="6FD6DBAA"/>
    <w:rsid w:val="6FD6F412"/>
    <w:rsid w:val="6FDF9A68"/>
    <w:rsid w:val="6FED2F93"/>
    <w:rsid w:val="6FEFBF4E"/>
    <w:rsid w:val="6FF77B6F"/>
    <w:rsid w:val="6FF7944C"/>
    <w:rsid w:val="6FFABD7D"/>
    <w:rsid w:val="6FFB69CE"/>
    <w:rsid w:val="6FFF3134"/>
    <w:rsid w:val="6FFF44C4"/>
    <w:rsid w:val="6FFF8715"/>
    <w:rsid w:val="6FFF9965"/>
    <w:rsid w:val="6FFFCD6A"/>
    <w:rsid w:val="704C4F43"/>
    <w:rsid w:val="705931BC"/>
    <w:rsid w:val="70646346"/>
    <w:rsid w:val="70706902"/>
    <w:rsid w:val="70A5290E"/>
    <w:rsid w:val="70C803F9"/>
    <w:rsid w:val="70F74C3D"/>
    <w:rsid w:val="70F9386D"/>
    <w:rsid w:val="713F5327"/>
    <w:rsid w:val="718EFA3E"/>
    <w:rsid w:val="719FC048"/>
    <w:rsid w:val="71B608C6"/>
    <w:rsid w:val="71BEF04B"/>
    <w:rsid w:val="71BF61E6"/>
    <w:rsid w:val="71E2A85B"/>
    <w:rsid w:val="71EEBC55"/>
    <w:rsid w:val="721D26F3"/>
    <w:rsid w:val="72335B8B"/>
    <w:rsid w:val="7253179A"/>
    <w:rsid w:val="725956F5"/>
    <w:rsid w:val="725A7D1F"/>
    <w:rsid w:val="727564C1"/>
    <w:rsid w:val="72FCD099"/>
    <w:rsid w:val="73116A4D"/>
    <w:rsid w:val="734FCA75"/>
    <w:rsid w:val="736797D1"/>
    <w:rsid w:val="736B33F5"/>
    <w:rsid w:val="736F7BF6"/>
    <w:rsid w:val="73B726D3"/>
    <w:rsid w:val="73B9FF41"/>
    <w:rsid w:val="73D32B2D"/>
    <w:rsid w:val="73DCC60A"/>
    <w:rsid w:val="73F9CB5B"/>
    <w:rsid w:val="73FA5F8A"/>
    <w:rsid w:val="73FD7163"/>
    <w:rsid w:val="74321056"/>
    <w:rsid w:val="74426505"/>
    <w:rsid w:val="74427FF2"/>
    <w:rsid w:val="747F63F9"/>
    <w:rsid w:val="74EFE18E"/>
    <w:rsid w:val="75422471"/>
    <w:rsid w:val="75693EA1"/>
    <w:rsid w:val="756B5436"/>
    <w:rsid w:val="756E1BB6"/>
    <w:rsid w:val="75774893"/>
    <w:rsid w:val="75793C98"/>
    <w:rsid w:val="757C6F3E"/>
    <w:rsid w:val="75AE252E"/>
    <w:rsid w:val="75AF9BAD"/>
    <w:rsid w:val="75D964E7"/>
    <w:rsid w:val="75FFE973"/>
    <w:rsid w:val="76005321"/>
    <w:rsid w:val="7625601A"/>
    <w:rsid w:val="765FB3F9"/>
    <w:rsid w:val="76768C88"/>
    <w:rsid w:val="767B1B48"/>
    <w:rsid w:val="76BC1BDD"/>
    <w:rsid w:val="76BF5FAC"/>
    <w:rsid w:val="76C032E9"/>
    <w:rsid w:val="76D23575"/>
    <w:rsid w:val="76DE749B"/>
    <w:rsid w:val="76DF1D3E"/>
    <w:rsid w:val="76DF4500"/>
    <w:rsid w:val="76E3C788"/>
    <w:rsid w:val="76EF118A"/>
    <w:rsid w:val="76F6F480"/>
    <w:rsid w:val="76FE9D2A"/>
    <w:rsid w:val="76FF6358"/>
    <w:rsid w:val="76FFC92E"/>
    <w:rsid w:val="7733A4E2"/>
    <w:rsid w:val="7753365B"/>
    <w:rsid w:val="77759CC7"/>
    <w:rsid w:val="777A5665"/>
    <w:rsid w:val="7793B5CC"/>
    <w:rsid w:val="779A0CDA"/>
    <w:rsid w:val="779DCB4A"/>
    <w:rsid w:val="77AD2820"/>
    <w:rsid w:val="77AF077A"/>
    <w:rsid w:val="77CBA8D6"/>
    <w:rsid w:val="77D703D0"/>
    <w:rsid w:val="77DB2729"/>
    <w:rsid w:val="77E7BEF8"/>
    <w:rsid w:val="77EE5AC9"/>
    <w:rsid w:val="77EE97DD"/>
    <w:rsid w:val="77EF346D"/>
    <w:rsid w:val="77F6877C"/>
    <w:rsid w:val="77FC724F"/>
    <w:rsid w:val="77FCA260"/>
    <w:rsid w:val="77FD7D6D"/>
    <w:rsid w:val="77FDB298"/>
    <w:rsid w:val="77FFAEB9"/>
    <w:rsid w:val="785F76D0"/>
    <w:rsid w:val="78A70F68"/>
    <w:rsid w:val="78F54290"/>
    <w:rsid w:val="78F55D68"/>
    <w:rsid w:val="790A7732"/>
    <w:rsid w:val="79598998"/>
    <w:rsid w:val="795B1791"/>
    <w:rsid w:val="795CB0BF"/>
    <w:rsid w:val="797F8347"/>
    <w:rsid w:val="797FC114"/>
    <w:rsid w:val="79BE87FB"/>
    <w:rsid w:val="79D03768"/>
    <w:rsid w:val="79D5D51A"/>
    <w:rsid w:val="79F5BDCD"/>
    <w:rsid w:val="79F96F2F"/>
    <w:rsid w:val="79FB55DE"/>
    <w:rsid w:val="79FE0927"/>
    <w:rsid w:val="79FF2F19"/>
    <w:rsid w:val="79FF3D6B"/>
    <w:rsid w:val="79FFFD02"/>
    <w:rsid w:val="7A040BF7"/>
    <w:rsid w:val="7A1E3608"/>
    <w:rsid w:val="7A224D5B"/>
    <w:rsid w:val="7A2F50AE"/>
    <w:rsid w:val="7A662424"/>
    <w:rsid w:val="7ABB4871"/>
    <w:rsid w:val="7ABE542C"/>
    <w:rsid w:val="7ADF4FE8"/>
    <w:rsid w:val="7AE4281C"/>
    <w:rsid w:val="7AF70467"/>
    <w:rsid w:val="7AFA0DD6"/>
    <w:rsid w:val="7AFFD072"/>
    <w:rsid w:val="7B2CEF66"/>
    <w:rsid w:val="7B3A6F32"/>
    <w:rsid w:val="7B3F65A5"/>
    <w:rsid w:val="7B3FA2AB"/>
    <w:rsid w:val="7B6E98A6"/>
    <w:rsid w:val="7B72C0C0"/>
    <w:rsid w:val="7B76DCD2"/>
    <w:rsid w:val="7B7D9EC3"/>
    <w:rsid w:val="7B803CF3"/>
    <w:rsid w:val="7B970DF5"/>
    <w:rsid w:val="7B9BA0BC"/>
    <w:rsid w:val="7B9F3F4E"/>
    <w:rsid w:val="7BBF3928"/>
    <w:rsid w:val="7BBF438F"/>
    <w:rsid w:val="7BC8055C"/>
    <w:rsid w:val="7BCC6F38"/>
    <w:rsid w:val="7BCEEE45"/>
    <w:rsid w:val="7BDB82BB"/>
    <w:rsid w:val="7BDEF104"/>
    <w:rsid w:val="7BED4294"/>
    <w:rsid w:val="7BED442F"/>
    <w:rsid w:val="7BFD1A53"/>
    <w:rsid w:val="7BFD3CA5"/>
    <w:rsid w:val="7BFE9DD8"/>
    <w:rsid w:val="7C0C4B16"/>
    <w:rsid w:val="7C399D62"/>
    <w:rsid w:val="7C5F3C85"/>
    <w:rsid w:val="7C6529B8"/>
    <w:rsid w:val="7C8D2B6B"/>
    <w:rsid w:val="7CB29419"/>
    <w:rsid w:val="7CDD3789"/>
    <w:rsid w:val="7CEDD89D"/>
    <w:rsid w:val="7CFEFF74"/>
    <w:rsid w:val="7D0B3C86"/>
    <w:rsid w:val="7D3B7DC0"/>
    <w:rsid w:val="7D579AD0"/>
    <w:rsid w:val="7D697134"/>
    <w:rsid w:val="7D7A65EC"/>
    <w:rsid w:val="7D7B5449"/>
    <w:rsid w:val="7D7B6D98"/>
    <w:rsid w:val="7D7F193B"/>
    <w:rsid w:val="7D7FD96C"/>
    <w:rsid w:val="7DAD8B0D"/>
    <w:rsid w:val="7DBD8175"/>
    <w:rsid w:val="7DC7EE38"/>
    <w:rsid w:val="7DD6409E"/>
    <w:rsid w:val="7DD681DD"/>
    <w:rsid w:val="7DDF42D1"/>
    <w:rsid w:val="7DE67D8F"/>
    <w:rsid w:val="7DEEF53A"/>
    <w:rsid w:val="7DEFB8FF"/>
    <w:rsid w:val="7DEFD73C"/>
    <w:rsid w:val="7DF6A4AB"/>
    <w:rsid w:val="7DFB29CE"/>
    <w:rsid w:val="7DFDCE5A"/>
    <w:rsid w:val="7DFE8D9E"/>
    <w:rsid w:val="7DFE9832"/>
    <w:rsid w:val="7DFF21A2"/>
    <w:rsid w:val="7DFF3CF7"/>
    <w:rsid w:val="7E1BB427"/>
    <w:rsid w:val="7E1EF2EF"/>
    <w:rsid w:val="7E1FB07C"/>
    <w:rsid w:val="7E202F82"/>
    <w:rsid w:val="7E2FCB59"/>
    <w:rsid w:val="7E4B4201"/>
    <w:rsid w:val="7E4FD007"/>
    <w:rsid w:val="7E5D5A11"/>
    <w:rsid w:val="7E69B327"/>
    <w:rsid w:val="7E6B2C95"/>
    <w:rsid w:val="7E7BB097"/>
    <w:rsid w:val="7EAF5BDE"/>
    <w:rsid w:val="7EC5039A"/>
    <w:rsid w:val="7ED7190D"/>
    <w:rsid w:val="7ED74000"/>
    <w:rsid w:val="7ED9EAF9"/>
    <w:rsid w:val="7EDB7B13"/>
    <w:rsid w:val="7EDEA97B"/>
    <w:rsid w:val="7EDFD114"/>
    <w:rsid w:val="7EEB49E0"/>
    <w:rsid w:val="7EEDB9C2"/>
    <w:rsid w:val="7EEDD7E0"/>
    <w:rsid w:val="7EF365DF"/>
    <w:rsid w:val="7EF698B0"/>
    <w:rsid w:val="7EFB0201"/>
    <w:rsid w:val="7EFB58EC"/>
    <w:rsid w:val="7EFEC63C"/>
    <w:rsid w:val="7EFF224C"/>
    <w:rsid w:val="7EFF22EE"/>
    <w:rsid w:val="7EFF5CBB"/>
    <w:rsid w:val="7EFFD634"/>
    <w:rsid w:val="7EFFFA76"/>
    <w:rsid w:val="7F0069CF"/>
    <w:rsid w:val="7F17695A"/>
    <w:rsid w:val="7F1ECEE7"/>
    <w:rsid w:val="7F2FEF22"/>
    <w:rsid w:val="7F3F30E3"/>
    <w:rsid w:val="7F3FE1BD"/>
    <w:rsid w:val="7F4A6AF1"/>
    <w:rsid w:val="7F58FC43"/>
    <w:rsid w:val="7F5BBC38"/>
    <w:rsid w:val="7F747789"/>
    <w:rsid w:val="7F778216"/>
    <w:rsid w:val="7F7948DF"/>
    <w:rsid w:val="7F7BDCE0"/>
    <w:rsid w:val="7F7D00C5"/>
    <w:rsid w:val="7F7D3C5B"/>
    <w:rsid w:val="7F7D58EC"/>
    <w:rsid w:val="7F7E9467"/>
    <w:rsid w:val="7F7F10CF"/>
    <w:rsid w:val="7F7F189F"/>
    <w:rsid w:val="7F7F32FF"/>
    <w:rsid w:val="7F8313E4"/>
    <w:rsid w:val="7F87AFC1"/>
    <w:rsid w:val="7FA5B5D3"/>
    <w:rsid w:val="7FAD39DD"/>
    <w:rsid w:val="7FAF2329"/>
    <w:rsid w:val="7FB6DFA5"/>
    <w:rsid w:val="7FB9CF5C"/>
    <w:rsid w:val="7FBCAD9A"/>
    <w:rsid w:val="7FBCB7F2"/>
    <w:rsid w:val="7FBCBA25"/>
    <w:rsid w:val="7FBE32ED"/>
    <w:rsid w:val="7FBF4609"/>
    <w:rsid w:val="7FBF9767"/>
    <w:rsid w:val="7FC7CC84"/>
    <w:rsid w:val="7FCD89E5"/>
    <w:rsid w:val="7FCDCCF6"/>
    <w:rsid w:val="7FCFDF03"/>
    <w:rsid w:val="7FD3273B"/>
    <w:rsid w:val="7FD54526"/>
    <w:rsid w:val="7FD77532"/>
    <w:rsid w:val="7FDADB9A"/>
    <w:rsid w:val="7FDB7DE5"/>
    <w:rsid w:val="7FDD1E56"/>
    <w:rsid w:val="7FDEA0C5"/>
    <w:rsid w:val="7FDF82C3"/>
    <w:rsid w:val="7FE3FCD2"/>
    <w:rsid w:val="7FE69FA5"/>
    <w:rsid w:val="7FE774E2"/>
    <w:rsid w:val="7FE7A156"/>
    <w:rsid w:val="7FEE218F"/>
    <w:rsid w:val="7FEE3520"/>
    <w:rsid w:val="7FEF38CD"/>
    <w:rsid w:val="7FEF6084"/>
    <w:rsid w:val="7FEFCC30"/>
    <w:rsid w:val="7FEFD04F"/>
    <w:rsid w:val="7FF1E96D"/>
    <w:rsid w:val="7FF21ACE"/>
    <w:rsid w:val="7FF6D274"/>
    <w:rsid w:val="7FFA688E"/>
    <w:rsid w:val="7FFB605A"/>
    <w:rsid w:val="7FFBA3BC"/>
    <w:rsid w:val="7FFD3C0B"/>
    <w:rsid w:val="7FFDDDEB"/>
    <w:rsid w:val="7FFE2CFA"/>
    <w:rsid w:val="7FFEEB5A"/>
    <w:rsid w:val="7FFF5C89"/>
    <w:rsid w:val="7FFF7CF8"/>
    <w:rsid w:val="7FFF840C"/>
    <w:rsid w:val="7FFF8832"/>
    <w:rsid w:val="7FFFC1A0"/>
    <w:rsid w:val="7FFFC546"/>
    <w:rsid w:val="7FFFE4A6"/>
    <w:rsid w:val="859B931F"/>
    <w:rsid w:val="859FA538"/>
    <w:rsid w:val="89AFF6DA"/>
    <w:rsid w:val="8DE73915"/>
    <w:rsid w:val="8EC9F9EA"/>
    <w:rsid w:val="8F9C6DA2"/>
    <w:rsid w:val="93FDEE76"/>
    <w:rsid w:val="94ED4A2E"/>
    <w:rsid w:val="96DE1266"/>
    <w:rsid w:val="979FA6A3"/>
    <w:rsid w:val="97FC9C5A"/>
    <w:rsid w:val="97FFF4A4"/>
    <w:rsid w:val="99CF7FDC"/>
    <w:rsid w:val="9A7BF58D"/>
    <w:rsid w:val="9B9CE209"/>
    <w:rsid w:val="9BAF1AD9"/>
    <w:rsid w:val="9BF6D6A8"/>
    <w:rsid w:val="9CBF97BC"/>
    <w:rsid w:val="9CFBB65C"/>
    <w:rsid w:val="9D4B5CFF"/>
    <w:rsid w:val="9EAEEB85"/>
    <w:rsid w:val="9F6F0D3E"/>
    <w:rsid w:val="9F73F63B"/>
    <w:rsid w:val="9F7F8E8D"/>
    <w:rsid w:val="9F9A8779"/>
    <w:rsid w:val="9FDCEE0B"/>
    <w:rsid w:val="9FF5ABC5"/>
    <w:rsid w:val="9FF73F1E"/>
    <w:rsid w:val="9FF7515C"/>
    <w:rsid w:val="9FF7A390"/>
    <w:rsid w:val="9FFBFBB2"/>
    <w:rsid w:val="9FFE1996"/>
    <w:rsid w:val="A3FF66E0"/>
    <w:rsid w:val="A7B8C76E"/>
    <w:rsid w:val="A7FF9D56"/>
    <w:rsid w:val="A7FFA493"/>
    <w:rsid w:val="A9EDED7D"/>
    <w:rsid w:val="A9FBFEF3"/>
    <w:rsid w:val="AAD74BE3"/>
    <w:rsid w:val="AAE7155E"/>
    <w:rsid w:val="AB7724A0"/>
    <w:rsid w:val="ABEF60CA"/>
    <w:rsid w:val="ABEF83CC"/>
    <w:rsid w:val="ABF1C1EB"/>
    <w:rsid w:val="ABFA739D"/>
    <w:rsid w:val="ABFD2752"/>
    <w:rsid w:val="ACF9AB12"/>
    <w:rsid w:val="AD73DC92"/>
    <w:rsid w:val="ADF58761"/>
    <w:rsid w:val="ADFF09B3"/>
    <w:rsid w:val="ADFF353A"/>
    <w:rsid w:val="AE6F6437"/>
    <w:rsid w:val="AEDF42A4"/>
    <w:rsid w:val="AF34976C"/>
    <w:rsid w:val="AFE37E9B"/>
    <w:rsid w:val="AFEA6D72"/>
    <w:rsid w:val="AFFDA94D"/>
    <w:rsid w:val="AFFF85E0"/>
    <w:rsid w:val="B2FF4020"/>
    <w:rsid w:val="B4B7C146"/>
    <w:rsid w:val="B4DDA507"/>
    <w:rsid w:val="B4F39EE9"/>
    <w:rsid w:val="B5AB4C93"/>
    <w:rsid w:val="B5B95A48"/>
    <w:rsid w:val="B5DF186B"/>
    <w:rsid w:val="B5F0887C"/>
    <w:rsid w:val="B6BA4C3A"/>
    <w:rsid w:val="B6BD6EFB"/>
    <w:rsid w:val="B6BFF9C1"/>
    <w:rsid w:val="B6CE6987"/>
    <w:rsid w:val="B6EFE62E"/>
    <w:rsid w:val="B73E3BD9"/>
    <w:rsid w:val="B7957694"/>
    <w:rsid w:val="B7B7D8BD"/>
    <w:rsid w:val="B7B99ED6"/>
    <w:rsid w:val="B7B9CEBE"/>
    <w:rsid w:val="B7FE9C11"/>
    <w:rsid w:val="B979146B"/>
    <w:rsid w:val="B97FBCEF"/>
    <w:rsid w:val="BA7B23C6"/>
    <w:rsid w:val="BAFB15C2"/>
    <w:rsid w:val="BB7DC966"/>
    <w:rsid w:val="BBF798AB"/>
    <w:rsid w:val="BBFDFC4D"/>
    <w:rsid w:val="BBFE997D"/>
    <w:rsid w:val="BC3D8384"/>
    <w:rsid w:val="BCFF7BE2"/>
    <w:rsid w:val="BD73F3E1"/>
    <w:rsid w:val="BDB75CD5"/>
    <w:rsid w:val="BDBACBFA"/>
    <w:rsid w:val="BDBF5B2C"/>
    <w:rsid w:val="BDF52F3C"/>
    <w:rsid w:val="BDF586E1"/>
    <w:rsid w:val="BDFA45D8"/>
    <w:rsid w:val="BE69DADF"/>
    <w:rsid w:val="BE6E29C0"/>
    <w:rsid w:val="BE7F71A8"/>
    <w:rsid w:val="BE7FAD6E"/>
    <w:rsid w:val="BE8D3678"/>
    <w:rsid w:val="BE970417"/>
    <w:rsid w:val="BEBFDD69"/>
    <w:rsid w:val="BEDCDFA9"/>
    <w:rsid w:val="BEDDB726"/>
    <w:rsid w:val="BEDF2D9A"/>
    <w:rsid w:val="BEEDFAC3"/>
    <w:rsid w:val="BEEF69D0"/>
    <w:rsid w:val="BEF86EF0"/>
    <w:rsid w:val="BF3F5DEB"/>
    <w:rsid w:val="BF6F30AA"/>
    <w:rsid w:val="BF6FA54B"/>
    <w:rsid w:val="BF7CCFBA"/>
    <w:rsid w:val="BF9D4733"/>
    <w:rsid w:val="BF9F957E"/>
    <w:rsid w:val="BFAD084E"/>
    <w:rsid w:val="BFAF36B9"/>
    <w:rsid w:val="BFB7ECBA"/>
    <w:rsid w:val="BFBD9184"/>
    <w:rsid w:val="BFBE3867"/>
    <w:rsid w:val="BFCB0CD4"/>
    <w:rsid w:val="BFD30D98"/>
    <w:rsid w:val="BFDFD014"/>
    <w:rsid w:val="BFE3CEEE"/>
    <w:rsid w:val="BFEB3077"/>
    <w:rsid w:val="BFEB6A31"/>
    <w:rsid w:val="BFEBD546"/>
    <w:rsid w:val="BFF3E344"/>
    <w:rsid w:val="BFFC7C6F"/>
    <w:rsid w:val="BFFF2DEE"/>
    <w:rsid w:val="C28E12D8"/>
    <w:rsid w:val="C6BD2AC1"/>
    <w:rsid w:val="C7DFC6DC"/>
    <w:rsid w:val="C7F34E80"/>
    <w:rsid w:val="C7F50782"/>
    <w:rsid w:val="C7FADA1F"/>
    <w:rsid w:val="C95BADD7"/>
    <w:rsid w:val="C99F9888"/>
    <w:rsid w:val="C9BFD38D"/>
    <w:rsid w:val="CA2ED2C1"/>
    <w:rsid w:val="CADDDAC0"/>
    <w:rsid w:val="CB5B7BFD"/>
    <w:rsid w:val="CBFCD330"/>
    <w:rsid w:val="CBFF8061"/>
    <w:rsid w:val="CC2B89B0"/>
    <w:rsid w:val="CD3797AA"/>
    <w:rsid w:val="CDCE74A8"/>
    <w:rsid w:val="CE9BFA83"/>
    <w:rsid w:val="CEE54963"/>
    <w:rsid w:val="CEF449DD"/>
    <w:rsid w:val="CF55114B"/>
    <w:rsid w:val="CF9FFCDF"/>
    <w:rsid w:val="CFDC87FB"/>
    <w:rsid w:val="CFDD0A3C"/>
    <w:rsid w:val="CFDEA4EC"/>
    <w:rsid w:val="CFEBC917"/>
    <w:rsid w:val="CFF1C1CC"/>
    <w:rsid w:val="CFFBF9AF"/>
    <w:rsid w:val="CFFE9889"/>
    <w:rsid w:val="D3B941AD"/>
    <w:rsid w:val="D3FFF5EB"/>
    <w:rsid w:val="D5DE7C7A"/>
    <w:rsid w:val="D5F62E81"/>
    <w:rsid w:val="D679EBAB"/>
    <w:rsid w:val="D6B26BE1"/>
    <w:rsid w:val="D6F74E91"/>
    <w:rsid w:val="D6FFABFD"/>
    <w:rsid w:val="D72FD01D"/>
    <w:rsid w:val="D79FF9F4"/>
    <w:rsid w:val="D7EEECE2"/>
    <w:rsid w:val="D7F58C2E"/>
    <w:rsid w:val="D7F6F723"/>
    <w:rsid w:val="D7FB0D70"/>
    <w:rsid w:val="D7FB239A"/>
    <w:rsid w:val="D7FE64B7"/>
    <w:rsid w:val="D8FDE485"/>
    <w:rsid w:val="D97F8DBD"/>
    <w:rsid w:val="D9EF4FA5"/>
    <w:rsid w:val="D9FF51EB"/>
    <w:rsid w:val="DA6B0A47"/>
    <w:rsid w:val="DA7F2A6D"/>
    <w:rsid w:val="DB3DDD5C"/>
    <w:rsid w:val="DB6BFB00"/>
    <w:rsid w:val="DB7F50E0"/>
    <w:rsid w:val="DBAFFA1D"/>
    <w:rsid w:val="DBDA0022"/>
    <w:rsid w:val="DBE9BC1C"/>
    <w:rsid w:val="DBFFE16A"/>
    <w:rsid w:val="DC8C20C7"/>
    <w:rsid w:val="DDB7BB79"/>
    <w:rsid w:val="DDCF6103"/>
    <w:rsid w:val="DE7D01B9"/>
    <w:rsid w:val="DE8FDE81"/>
    <w:rsid w:val="DE971E78"/>
    <w:rsid w:val="DEA74DDE"/>
    <w:rsid w:val="DEDF26B3"/>
    <w:rsid w:val="DEEB1C1F"/>
    <w:rsid w:val="DF341FB3"/>
    <w:rsid w:val="DF3B97A2"/>
    <w:rsid w:val="DF5FA0D5"/>
    <w:rsid w:val="DF7306C6"/>
    <w:rsid w:val="DF766373"/>
    <w:rsid w:val="DF7A5815"/>
    <w:rsid w:val="DF9D3A52"/>
    <w:rsid w:val="DFBC0898"/>
    <w:rsid w:val="DFD704AA"/>
    <w:rsid w:val="DFDCA2BD"/>
    <w:rsid w:val="DFDF45E3"/>
    <w:rsid w:val="DFE420E0"/>
    <w:rsid w:val="DFE79286"/>
    <w:rsid w:val="DFE799DA"/>
    <w:rsid w:val="DFEB94AB"/>
    <w:rsid w:val="DFEBA65F"/>
    <w:rsid w:val="DFFBD285"/>
    <w:rsid w:val="DFFE5620"/>
    <w:rsid w:val="DFFFDF27"/>
    <w:rsid w:val="DFFFEB47"/>
    <w:rsid w:val="E19F8EDB"/>
    <w:rsid w:val="E32F37FF"/>
    <w:rsid w:val="E3ACE6DC"/>
    <w:rsid w:val="E3E90953"/>
    <w:rsid w:val="E57FD950"/>
    <w:rsid w:val="E5DBB650"/>
    <w:rsid w:val="E5DDC8D4"/>
    <w:rsid w:val="E6FBAB68"/>
    <w:rsid w:val="E76DBCC8"/>
    <w:rsid w:val="E77560F3"/>
    <w:rsid w:val="E7793F54"/>
    <w:rsid w:val="E7798F0A"/>
    <w:rsid w:val="E77BE716"/>
    <w:rsid w:val="E77D08CA"/>
    <w:rsid w:val="E7DE44F3"/>
    <w:rsid w:val="E7FD0BF4"/>
    <w:rsid w:val="E7FDE7A8"/>
    <w:rsid w:val="E7FF9E29"/>
    <w:rsid w:val="E92FEBAD"/>
    <w:rsid w:val="E9CD6722"/>
    <w:rsid w:val="EA76B2EF"/>
    <w:rsid w:val="EA7AAF90"/>
    <w:rsid w:val="EA7BF531"/>
    <w:rsid w:val="EAE1FE81"/>
    <w:rsid w:val="EAE9AD47"/>
    <w:rsid w:val="EAED31E4"/>
    <w:rsid w:val="EBA3F2D6"/>
    <w:rsid w:val="EBD68A09"/>
    <w:rsid w:val="EBDDD587"/>
    <w:rsid w:val="EBE59C6A"/>
    <w:rsid w:val="EBEFDC5A"/>
    <w:rsid w:val="EBF1A8C9"/>
    <w:rsid w:val="EBFF32E4"/>
    <w:rsid w:val="EBFFEAB9"/>
    <w:rsid w:val="ECB25743"/>
    <w:rsid w:val="ECB7DF65"/>
    <w:rsid w:val="ECD733AF"/>
    <w:rsid w:val="ED2C764D"/>
    <w:rsid w:val="ED5DE4A1"/>
    <w:rsid w:val="ED7F0448"/>
    <w:rsid w:val="EDB37296"/>
    <w:rsid w:val="EDDF3DA0"/>
    <w:rsid w:val="EDEBB6C1"/>
    <w:rsid w:val="EE3F26B1"/>
    <w:rsid w:val="EE5F9974"/>
    <w:rsid w:val="EE727923"/>
    <w:rsid w:val="EE7CFA57"/>
    <w:rsid w:val="EE7FD27E"/>
    <w:rsid w:val="EEBFD0EF"/>
    <w:rsid w:val="EECBBB08"/>
    <w:rsid w:val="EECFBBAB"/>
    <w:rsid w:val="EED346CA"/>
    <w:rsid w:val="EEDE768E"/>
    <w:rsid w:val="EEE397C1"/>
    <w:rsid w:val="EEE98F1F"/>
    <w:rsid w:val="EEFBD37D"/>
    <w:rsid w:val="EF1D88B7"/>
    <w:rsid w:val="EF276CD4"/>
    <w:rsid w:val="EF4F8148"/>
    <w:rsid w:val="EF5B87D1"/>
    <w:rsid w:val="EF6B4845"/>
    <w:rsid w:val="EF7FBA47"/>
    <w:rsid w:val="EF7FF268"/>
    <w:rsid w:val="EF8BB9C9"/>
    <w:rsid w:val="EF9FE399"/>
    <w:rsid w:val="EFAF70F1"/>
    <w:rsid w:val="EFB88167"/>
    <w:rsid w:val="EFDF79CD"/>
    <w:rsid w:val="EFF96320"/>
    <w:rsid w:val="EFFE533D"/>
    <w:rsid w:val="EFFEBECA"/>
    <w:rsid w:val="EFFEF06B"/>
    <w:rsid w:val="EFFF52CB"/>
    <w:rsid w:val="EFFF9A54"/>
    <w:rsid w:val="EFFFCD85"/>
    <w:rsid w:val="F174A827"/>
    <w:rsid w:val="F2FB6266"/>
    <w:rsid w:val="F2FF91B8"/>
    <w:rsid w:val="F2FFF100"/>
    <w:rsid w:val="F2FFF8B7"/>
    <w:rsid w:val="F35B6E7B"/>
    <w:rsid w:val="F3B609EF"/>
    <w:rsid w:val="F3BFF654"/>
    <w:rsid w:val="F3CF40A1"/>
    <w:rsid w:val="F3D9131B"/>
    <w:rsid w:val="F3DCAD9C"/>
    <w:rsid w:val="F3F4D5F5"/>
    <w:rsid w:val="F3FFC6A3"/>
    <w:rsid w:val="F4D7AFD9"/>
    <w:rsid w:val="F51E2A32"/>
    <w:rsid w:val="F53F9088"/>
    <w:rsid w:val="F5546B6E"/>
    <w:rsid w:val="F567302D"/>
    <w:rsid w:val="F56E1D80"/>
    <w:rsid w:val="F57F8B97"/>
    <w:rsid w:val="F5A6656A"/>
    <w:rsid w:val="F5DDBD62"/>
    <w:rsid w:val="F5DF36AE"/>
    <w:rsid w:val="F5DF7A44"/>
    <w:rsid w:val="F5EFC878"/>
    <w:rsid w:val="F5EFD33D"/>
    <w:rsid w:val="F5FE018B"/>
    <w:rsid w:val="F6719C27"/>
    <w:rsid w:val="F67DB650"/>
    <w:rsid w:val="F6BF68CD"/>
    <w:rsid w:val="F6DFA81C"/>
    <w:rsid w:val="F6EFB65F"/>
    <w:rsid w:val="F6FF4C4F"/>
    <w:rsid w:val="F7310EEF"/>
    <w:rsid w:val="F77A022E"/>
    <w:rsid w:val="F77CE8CF"/>
    <w:rsid w:val="F77DF1DB"/>
    <w:rsid w:val="F77E924A"/>
    <w:rsid w:val="F77F0297"/>
    <w:rsid w:val="F7834901"/>
    <w:rsid w:val="F7AFA4C8"/>
    <w:rsid w:val="F7BF2CB5"/>
    <w:rsid w:val="F7CDC3D0"/>
    <w:rsid w:val="F7EB3C8F"/>
    <w:rsid w:val="F7ED0CED"/>
    <w:rsid w:val="F7F5235C"/>
    <w:rsid w:val="F7F7B80A"/>
    <w:rsid w:val="F7F90A4E"/>
    <w:rsid w:val="F7F9F959"/>
    <w:rsid w:val="F7FA2757"/>
    <w:rsid w:val="F7FB1FE1"/>
    <w:rsid w:val="F7FB37E0"/>
    <w:rsid w:val="F7FC49CB"/>
    <w:rsid w:val="F7FCF97D"/>
    <w:rsid w:val="F7FE999B"/>
    <w:rsid w:val="F7FEABBA"/>
    <w:rsid w:val="F7FF980E"/>
    <w:rsid w:val="F83F95F7"/>
    <w:rsid w:val="F8CD43E0"/>
    <w:rsid w:val="F8D32EA0"/>
    <w:rsid w:val="F8DE7D6D"/>
    <w:rsid w:val="F8EFD45F"/>
    <w:rsid w:val="F8F72F7E"/>
    <w:rsid w:val="F97ECC64"/>
    <w:rsid w:val="F9BBFCE0"/>
    <w:rsid w:val="F9DFCD1E"/>
    <w:rsid w:val="F9DFDF3A"/>
    <w:rsid w:val="F9F34B6E"/>
    <w:rsid w:val="F9F979BB"/>
    <w:rsid w:val="F9FD73AE"/>
    <w:rsid w:val="FA3CA67C"/>
    <w:rsid w:val="FA3CE7CA"/>
    <w:rsid w:val="FA6E95A5"/>
    <w:rsid w:val="FA770B78"/>
    <w:rsid w:val="FAB7BF03"/>
    <w:rsid w:val="FABB569B"/>
    <w:rsid w:val="FADE65E9"/>
    <w:rsid w:val="FADFC5BC"/>
    <w:rsid w:val="FB1EABAA"/>
    <w:rsid w:val="FB55EA00"/>
    <w:rsid w:val="FB5F7DD7"/>
    <w:rsid w:val="FB77FE02"/>
    <w:rsid w:val="FB799D62"/>
    <w:rsid w:val="FB7B1B82"/>
    <w:rsid w:val="FB7F14A6"/>
    <w:rsid w:val="FB7F5E0F"/>
    <w:rsid w:val="FB7F9967"/>
    <w:rsid w:val="FBAF0115"/>
    <w:rsid w:val="FBB7CD77"/>
    <w:rsid w:val="FBBA859F"/>
    <w:rsid w:val="FBCBE014"/>
    <w:rsid w:val="FBCFA55A"/>
    <w:rsid w:val="FBDF8C87"/>
    <w:rsid w:val="FBEC6CDE"/>
    <w:rsid w:val="FBED8BBE"/>
    <w:rsid w:val="FBEE54E7"/>
    <w:rsid w:val="FBFA9FC4"/>
    <w:rsid w:val="FBFB3499"/>
    <w:rsid w:val="FBFB7F1A"/>
    <w:rsid w:val="FBFC3710"/>
    <w:rsid w:val="FBFD44EC"/>
    <w:rsid w:val="FBFFD8EF"/>
    <w:rsid w:val="FBFFE3DC"/>
    <w:rsid w:val="FC62BF4C"/>
    <w:rsid w:val="FC7BE1AA"/>
    <w:rsid w:val="FC7FDA6F"/>
    <w:rsid w:val="FCF5C0C1"/>
    <w:rsid w:val="FD0A1528"/>
    <w:rsid w:val="FD2C102F"/>
    <w:rsid w:val="FD4A7460"/>
    <w:rsid w:val="FD5DC884"/>
    <w:rsid w:val="FD760FFE"/>
    <w:rsid w:val="FD7BF0C7"/>
    <w:rsid w:val="FD950094"/>
    <w:rsid w:val="FD97A240"/>
    <w:rsid w:val="FDA5F9E3"/>
    <w:rsid w:val="FDA7BB45"/>
    <w:rsid w:val="FDAE179A"/>
    <w:rsid w:val="FDB69932"/>
    <w:rsid w:val="FDBCEEE8"/>
    <w:rsid w:val="FDD57E69"/>
    <w:rsid w:val="FDF4CE19"/>
    <w:rsid w:val="FDF4DCFA"/>
    <w:rsid w:val="FDFB271B"/>
    <w:rsid w:val="FDFD28B4"/>
    <w:rsid w:val="FDFF23A2"/>
    <w:rsid w:val="FDFF2C29"/>
    <w:rsid w:val="FDFF649D"/>
    <w:rsid w:val="FDFF6C63"/>
    <w:rsid w:val="FDFFA8E8"/>
    <w:rsid w:val="FE3DF269"/>
    <w:rsid w:val="FE4E8B5E"/>
    <w:rsid w:val="FE530585"/>
    <w:rsid w:val="FE57C933"/>
    <w:rsid w:val="FE6C387A"/>
    <w:rsid w:val="FE734873"/>
    <w:rsid w:val="FE770CDE"/>
    <w:rsid w:val="FE7FA3F3"/>
    <w:rsid w:val="FE97A100"/>
    <w:rsid w:val="FEAE0ADC"/>
    <w:rsid w:val="FEBACA79"/>
    <w:rsid w:val="FEBD4874"/>
    <w:rsid w:val="FECAE085"/>
    <w:rsid w:val="FEDF771A"/>
    <w:rsid w:val="FEDF8109"/>
    <w:rsid w:val="FEEF6E06"/>
    <w:rsid w:val="FEEFE914"/>
    <w:rsid w:val="FEF34C26"/>
    <w:rsid w:val="FEFD8CE9"/>
    <w:rsid w:val="FEFEA5B0"/>
    <w:rsid w:val="FEFF3367"/>
    <w:rsid w:val="FEFFE586"/>
    <w:rsid w:val="FF3DF396"/>
    <w:rsid w:val="FF3F995F"/>
    <w:rsid w:val="FF41AC10"/>
    <w:rsid w:val="FF57406C"/>
    <w:rsid w:val="FF579EE1"/>
    <w:rsid w:val="FF77239C"/>
    <w:rsid w:val="FF7ADA9B"/>
    <w:rsid w:val="FF7DD37B"/>
    <w:rsid w:val="FF7E453A"/>
    <w:rsid w:val="FF7FCFC2"/>
    <w:rsid w:val="FF850B56"/>
    <w:rsid w:val="FF933F70"/>
    <w:rsid w:val="FF969D8A"/>
    <w:rsid w:val="FF975F7A"/>
    <w:rsid w:val="FF9EA968"/>
    <w:rsid w:val="FF9F2EFE"/>
    <w:rsid w:val="FFB0074D"/>
    <w:rsid w:val="FFB01F40"/>
    <w:rsid w:val="FFBB6218"/>
    <w:rsid w:val="FFBDE228"/>
    <w:rsid w:val="FFBDEB12"/>
    <w:rsid w:val="FFBE83A4"/>
    <w:rsid w:val="FFBF87C6"/>
    <w:rsid w:val="FFD53725"/>
    <w:rsid w:val="FFD6EB42"/>
    <w:rsid w:val="FFDDBEB4"/>
    <w:rsid w:val="FFDDE270"/>
    <w:rsid w:val="FFE9E85A"/>
    <w:rsid w:val="FFEB39D2"/>
    <w:rsid w:val="FFEB97BF"/>
    <w:rsid w:val="FFEBFCE4"/>
    <w:rsid w:val="FFEBFE2B"/>
    <w:rsid w:val="FFEE0AC1"/>
    <w:rsid w:val="FFEE33AD"/>
    <w:rsid w:val="FFEFC4CE"/>
    <w:rsid w:val="FFF54A9E"/>
    <w:rsid w:val="FFF58A7B"/>
    <w:rsid w:val="FFF72935"/>
    <w:rsid w:val="FFF7BBDD"/>
    <w:rsid w:val="FFF865E2"/>
    <w:rsid w:val="FFF944D8"/>
    <w:rsid w:val="FFFAD1E6"/>
    <w:rsid w:val="FFFADE6C"/>
    <w:rsid w:val="FFFB989C"/>
    <w:rsid w:val="FFFBFA8E"/>
    <w:rsid w:val="FFFD1AF9"/>
    <w:rsid w:val="FFFD3561"/>
    <w:rsid w:val="FFFD47C7"/>
    <w:rsid w:val="FFFDE162"/>
    <w:rsid w:val="FFFE8784"/>
    <w:rsid w:val="FFFE8EBB"/>
    <w:rsid w:val="FFFF0155"/>
    <w:rsid w:val="FFFF0431"/>
    <w:rsid w:val="FFFF34C7"/>
    <w:rsid w:val="FFFF3753"/>
    <w:rsid w:val="FFFF72FE"/>
    <w:rsid w:val="FFFF9C52"/>
    <w:rsid w:val="FFFF9CD1"/>
    <w:rsid w:val="FFFFAA11"/>
    <w:rsid w:val="FFFFE1FC"/>
    <w:rsid w:val="FFFFE2ED"/>
    <w:rsid w:val="FFFFE3BF"/>
    <w:rsid w:val="FFFFE4E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99"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3">
    <w:name w:val="heading 1"/>
    <w:basedOn w:val="1"/>
    <w:next w:val="1"/>
    <w:qFormat/>
    <w:uiPriority w:val="0"/>
    <w:pPr>
      <w:spacing w:beforeAutospacing="1" w:afterAutospacing="1"/>
      <w:jc w:val="left"/>
      <w:outlineLvl w:val="0"/>
    </w:pPr>
    <w:rPr>
      <w:rFonts w:hint="eastAsia" w:ascii="宋体" w:hAnsi="宋体" w:eastAsia="宋体" w:cs="Times New Roman"/>
      <w:b/>
      <w:kern w:val="44"/>
      <w:sz w:val="48"/>
      <w:szCs w:val="48"/>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customStyle="1" w:styleId="2">
    <w:name w:val="正文缩进1"/>
    <w:basedOn w:val="1"/>
    <w:qFormat/>
    <w:uiPriority w:val="0"/>
    <w:pPr>
      <w:ind w:firstLine="200" w:firstLineChars="200"/>
    </w:pPr>
    <w:rPr>
      <w:rFonts w:ascii="Calibri" w:hAnsi="Calibri" w:eastAsia="楷体_GB2312" w:cs="Times New Roman"/>
      <w:szCs w:val="24"/>
    </w:rPr>
  </w:style>
  <w:style w:type="paragraph" w:styleId="4">
    <w:name w:val="Normal Indent"/>
    <w:basedOn w:val="1"/>
    <w:qFormat/>
    <w:uiPriority w:val="0"/>
    <w:pPr>
      <w:ind w:firstLine="200" w:firstLineChars="200"/>
    </w:pPr>
    <w:rPr>
      <w:rFonts w:ascii="Times New Roman" w:hAnsi="Times New Roman" w:eastAsia="楷体_GB2312" w:cs="Times New Roman"/>
      <w:sz w:val="32"/>
      <w:szCs w:val="32"/>
    </w:rPr>
  </w:style>
  <w:style w:type="paragraph" w:styleId="5">
    <w:name w:val="Body Text Indent"/>
    <w:basedOn w:val="1"/>
    <w:qFormat/>
    <w:uiPriority w:val="0"/>
    <w:pPr>
      <w:ind w:left="420" w:leftChars="200"/>
    </w:pPr>
  </w:style>
  <w:style w:type="paragraph" w:styleId="6">
    <w:name w:val="Plain Text"/>
    <w:basedOn w:val="1"/>
    <w:unhideWhenUsed/>
    <w:qFormat/>
    <w:uiPriority w:val="99"/>
    <w:rPr>
      <w:rFonts w:ascii="宋体" w:hAnsi="Courier New" w:eastAsia="宋体" w:cs="Courier New"/>
      <w:szCs w:val="21"/>
    </w:rPr>
  </w:style>
  <w:style w:type="paragraph" w:styleId="7">
    <w:name w:val="footer"/>
    <w:basedOn w:val="1"/>
    <w:link w:val="16"/>
    <w:qFormat/>
    <w:uiPriority w:val="0"/>
    <w:pPr>
      <w:tabs>
        <w:tab w:val="center" w:pos="4153"/>
        <w:tab w:val="right" w:pos="8306"/>
      </w:tabs>
      <w:snapToGrid w:val="0"/>
      <w:jc w:val="left"/>
    </w:pPr>
    <w:rPr>
      <w:sz w:val="18"/>
      <w:szCs w:val="18"/>
    </w:rPr>
  </w:style>
  <w:style w:type="paragraph" w:styleId="8">
    <w:name w:val="header"/>
    <w:basedOn w:val="1"/>
    <w:link w:val="15"/>
    <w:qFormat/>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qFormat/>
    <w:uiPriority w:val="99"/>
    <w:pPr>
      <w:spacing w:beforeAutospacing="1" w:afterAutospacing="1" w:line="360" w:lineRule="auto"/>
      <w:jc w:val="left"/>
    </w:pPr>
    <w:rPr>
      <w:rFonts w:ascii="Calibri" w:hAnsi="Calibri" w:eastAsia="宋体" w:cs="Calibri"/>
      <w:kern w:val="0"/>
      <w:sz w:val="24"/>
    </w:rPr>
  </w:style>
  <w:style w:type="paragraph" w:styleId="10">
    <w:name w:val="Body Text First Indent 2"/>
    <w:basedOn w:val="5"/>
    <w:qFormat/>
    <w:uiPriority w:val="0"/>
    <w:pPr>
      <w:ind w:firstLine="420" w:firstLineChars="200"/>
    </w:pPr>
  </w:style>
  <w:style w:type="character" w:styleId="13">
    <w:name w:val="Strong"/>
    <w:basedOn w:val="12"/>
    <w:qFormat/>
    <w:uiPriority w:val="99"/>
    <w:rPr>
      <w:b/>
      <w:bCs/>
    </w:rPr>
  </w:style>
  <w:style w:type="character" w:styleId="14">
    <w:name w:val="Hyperlink"/>
    <w:basedOn w:val="12"/>
    <w:unhideWhenUsed/>
    <w:qFormat/>
    <w:uiPriority w:val="99"/>
    <w:rPr>
      <w:color w:val="0000FF"/>
      <w:u w:val="single"/>
    </w:rPr>
  </w:style>
  <w:style w:type="character" w:customStyle="1" w:styleId="15">
    <w:name w:val="页眉 Char"/>
    <w:basedOn w:val="12"/>
    <w:link w:val="8"/>
    <w:qFormat/>
    <w:uiPriority w:val="0"/>
    <w:rPr>
      <w:kern w:val="2"/>
      <w:sz w:val="18"/>
      <w:szCs w:val="18"/>
    </w:rPr>
  </w:style>
  <w:style w:type="character" w:customStyle="1" w:styleId="16">
    <w:name w:val="页脚 Char"/>
    <w:basedOn w:val="12"/>
    <w:link w:val="7"/>
    <w:qFormat/>
    <w:uiPriority w:val="0"/>
    <w:rPr>
      <w:kern w:val="2"/>
      <w:sz w:val="18"/>
      <w:szCs w:val="18"/>
    </w:rPr>
  </w:style>
  <w:style w:type="paragraph" w:customStyle="1" w:styleId="17">
    <w:name w:val="msg-file__desc"/>
    <w:basedOn w:val="1"/>
    <w:qFormat/>
    <w:uiPriority w:val="0"/>
    <w:pPr>
      <w:widowControl/>
      <w:spacing w:before="100" w:beforeAutospacing="1" w:after="100" w:afterAutospacing="1"/>
      <w:jc w:val="left"/>
    </w:pPr>
    <w:rPr>
      <w:rFonts w:ascii="宋体" w:hAnsi="宋体" w:eastAsia="宋体" w:cs="宋体"/>
      <w:kern w:val="0"/>
      <w:sz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7" Type="http://schemas.openxmlformats.org/officeDocument/2006/relationships/font" Target="fonts/font7.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神州网信技术有限公司</Company>
  <Pages>17</Pages>
  <Words>7545</Words>
  <Characters>7552</Characters>
  <Lines>63</Lines>
  <Paragraphs>17</Paragraphs>
  <TotalTime>2</TotalTime>
  <ScaleCrop>false</ScaleCrop>
  <LinksUpToDate>false</LinksUpToDate>
  <CharactersWithSpaces>7641</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2014-11-06T12:08:00Z</dcterms:created>
  <dc:creator>Administrator</dc:creator>
  <cp:lastModifiedBy>PC400</cp:lastModifiedBy>
  <cp:lastPrinted>2022-09-28T18:48:00Z</cp:lastPrinted>
  <dcterms:modified xsi:type="dcterms:W3CDTF">2023-02-20T09:33:17Z</dcterms:modified>
  <cp:revision>312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A52B8954B686478E83380BC7A370E32F</vt:lpwstr>
  </property>
</Properties>
</file>