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20" w:lineRule="exact"/>
        <w:textAlignment w:val="auto"/>
        <w:outlineLvl w:val="9"/>
      </w:pPr>
    </w:p>
    <w:p>
      <w:pPr>
        <w:keepNext w:val="0"/>
        <w:keepLines w:val="0"/>
        <w:pageBreakBefore w:val="0"/>
        <w:widowControl w:val="0"/>
        <w:kinsoku/>
        <w:wordWrap/>
        <w:overflowPunct/>
        <w:topLinePunct w:val="0"/>
        <w:autoSpaceDE/>
        <w:autoSpaceDN/>
        <w:bidi w:val="0"/>
        <w:adjustRightInd/>
        <w:snapToGrid/>
        <w:spacing w:line="620" w:lineRule="exact"/>
        <w:textAlignment w:val="auto"/>
        <w:outlineLvl w:val="9"/>
      </w:pPr>
    </w:p>
    <w:p>
      <w:pPr>
        <w:keepNext w:val="0"/>
        <w:keepLines w:val="0"/>
        <w:pageBreakBefore w:val="0"/>
        <w:widowControl w:val="0"/>
        <w:kinsoku/>
        <w:wordWrap/>
        <w:overflowPunct/>
        <w:topLinePunct w:val="0"/>
        <w:autoSpaceDE/>
        <w:autoSpaceDN/>
        <w:bidi w:val="0"/>
        <w:adjustRightInd/>
        <w:snapToGrid/>
        <w:spacing w:line="620" w:lineRule="exact"/>
        <w:ind w:left="640" w:leftChars="200" w:right="624" w:rightChars="195" w:firstLine="0" w:firstLineChars="0"/>
        <w:jc w:val="center"/>
        <w:textAlignment w:val="auto"/>
        <w:outlineLvl w:val="9"/>
        <w:rPr>
          <w:rFonts w:hint="eastAsia" w:ascii="方正小标宋_GBK" w:hAnsi="方正小标宋_GBK" w:eastAsia="方正小标宋_GBK" w:cs="方正小标宋_GBK"/>
          <w:b w:val="0"/>
          <w:bCs/>
          <w:w w:val="90"/>
          <w:sz w:val="44"/>
          <w:szCs w:val="44"/>
        </w:rPr>
      </w:pPr>
      <w:r>
        <w:rPr>
          <w:rFonts w:hint="eastAsia" w:ascii="方正小标宋_GBK" w:hAnsi="方正小标宋_GBK" w:eastAsia="方正小标宋_GBK" w:cs="方正小标宋_GBK"/>
          <w:b w:val="0"/>
          <w:bCs/>
          <w:w w:val="90"/>
          <w:sz w:val="44"/>
          <w:szCs w:val="44"/>
        </w:rPr>
        <w:t>陕西省延安革命旧址保护条例</w:t>
      </w:r>
    </w:p>
    <w:p>
      <w:pPr>
        <w:keepNext w:val="0"/>
        <w:keepLines w:val="0"/>
        <w:pageBreakBefore w:val="0"/>
        <w:widowControl w:val="0"/>
        <w:kinsoku/>
        <w:wordWrap/>
        <w:overflowPunct/>
        <w:topLinePunct w:val="0"/>
        <w:autoSpaceDE/>
        <w:autoSpaceDN/>
        <w:bidi w:val="0"/>
        <w:adjustRightInd/>
        <w:snapToGrid/>
        <w:spacing w:line="620" w:lineRule="exact"/>
        <w:ind w:left="640" w:leftChars="200" w:right="624" w:rightChars="195" w:firstLine="0" w:firstLineChars="0"/>
        <w:textAlignment w:val="auto"/>
        <w:outlineLvl w:val="9"/>
        <w:rPr>
          <w:rFonts w:hint="eastAsia" w:ascii="楷体_GB2312" w:hAnsi="仿宋" w:eastAsia="楷体_GB2312" w:cs="仿宋_GB2312"/>
          <w:color w:val="000000"/>
          <w:sz w:val="32"/>
          <w:szCs w:val="32"/>
          <w:lang w:val="en-US" w:eastAsia="zh-CN"/>
        </w:rPr>
      </w:pPr>
      <w:r>
        <w:rPr>
          <w:rFonts w:hint="eastAsia" w:ascii="楷体_GB2312" w:hAnsi="仿宋" w:eastAsia="楷体_GB2312" w:cs="仿宋_GB2312"/>
          <w:color w:val="000000"/>
          <w:sz w:val="32"/>
          <w:szCs w:val="32"/>
          <w:lang w:val="en-US" w:eastAsia="zh-CN"/>
        </w:rPr>
        <w:t>（2001年6月1日陕西省第九届人民代表大会常务委员会第二十三次会议通过  2004年8月3日陕西省第十届人民代表大会常务委员会第十二次会议修正  2020年3月25日陕西省第十三届人民代表大会常务委员会第十六次会议修订）</w:t>
      </w:r>
    </w:p>
    <w:p>
      <w:pPr>
        <w:adjustRightInd w:val="0"/>
        <w:snapToGrid w:val="0"/>
        <w:spacing w:line="590" w:lineRule="exact"/>
        <w:jc w:val="center"/>
        <w:rPr>
          <w:rFonts w:hint="eastAsia" w:ascii="黑体" w:hAnsi="黑体" w:eastAsia="黑体" w:cs="黑体"/>
          <w:bCs/>
          <w:color w:val="000000"/>
          <w:szCs w:val="32"/>
        </w:rPr>
      </w:pPr>
    </w:p>
    <w:p>
      <w:pPr>
        <w:adjustRightInd w:val="0"/>
        <w:snapToGrid w:val="0"/>
        <w:spacing w:line="590" w:lineRule="exact"/>
        <w:jc w:val="center"/>
        <w:rPr>
          <w:rFonts w:hint="eastAsia" w:ascii="黑体" w:hAnsi="黑体" w:eastAsia="黑体" w:cs="黑体"/>
          <w:bCs/>
          <w:color w:val="000000"/>
          <w:szCs w:val="32"/>
        </w:rPr>
      </w:pPr>
      <w:r>
        <w:rPr>
          <w:rFonts w:hint="eastAsia" w:ascii="黑体" w:hAnsi="黑体" w:eastAsia="黑体" w:cs="黑体"/>
          <w:bCs/>
          <w:color w:val="000000"/>
          <w:szCs w:val="32"/>
        </w:rPr>
        <w:t>目　录</w:t>
      </w:r>
    </w:p>
    <w:p>
      <w:pPr>
        <w:adjustRightInd w:val="0"/>
        <w:snapToGrid w:val="0"/>
        <w:spacing w:line="590" w:lineRule="exact"/>
        <w:jc w:val="center"/>
        <w:rPr>
          <w:rFonts w:hint="eastAsia" w:ascii="黑体" w:hAnsi="黑体" w:eastAsia="黑体" w:cs="黑体"/>
          <w:bCs/>
          <w:color w:val="000000"/>
          <w:szCs w:val="32"/>
        </w:rPr>
      </w:pPr>
    </w:p>
    <w:p>
      <w:pPr>
        <w:adjustRightInd w:val="0"/>
        <w:snapToGrid w:val="0"/>
        <w:spacing w:line="590" w:lineRule="exact"/>
        <w:ind w:firstLine="640" w:firstLineChars="200"/>
        <w:rPr>
          <w:rFonts w:ascii="仿宋_GB2312" w:hAnsi="仿宋" w:cs="仿宋"/>
          <w:bCs/>
          <w:color w:val="000000"/>
          <w:szCs w:val="32"/>
        </w:rPr>
      </w:pPr>
      <w:r>
        <w:rPr>
          <w:rFonts w:hint="eastAsia" w:ascii="仿宋_GB2312" w:hAnsi="仿宋" w:cs="仿宋"/>
          <w:bCs/>
          <w:color w:val="000000"/>
          <w:szCs w:val="32"/>
        </w:rPr>
        <w:t>第一章　总</w:t>
      </w:r>
      <w:r>
        <w:rPr>
          <w:rFonts w:hint="eastAsia" w:ascii="仿宋_GB2312" w:hAnsi="仿宋" w:cs="仿宋"/>
          <w:bCs/>
          <w:color w:val="000000"/>
          <w:szCs w:val="32"/>
          <w:lang w:val="en-US" w:eastAsia="zh-CN"/>
        </w:rPr>
        <w:t xml:space="preserve">  </w:t>
      </w:r>
      <w:r>
        <w:rPr>
          <w:rFonts w:hint="eastAsia" w:ascii="仿宋_GB2312" w:hAnsi="仿宋" w:cs="仿宋"/>
          <w:bCs/>
          <w:color w:val="000000"/>
          <w:szCs w:val="32"/>
        </w:rPr>
        <w:t>　则</w:t>
      </w:r>
    </w:p>
    <w:p>
      <w:pPr>
        <w:adjustRightInd w:val="0"/>
        <w:snapToGrid w:val="0"/>
        <w:spacing w:line="590" w:lineRule="exact"/>
        <w:ind w:firstLine="640" w:firstLineChars="200"/>
        <w:rPr>
          <w:rFonts w:ascii="仿宋_GB2312" w:hAnsi="仿宋" w:cs="仿宋"/>
          <w:bCs/>
          <w:color w:val="000000"/>
          <w:szCs w:val="32"/>
        </w:rPr>
      </w:pPr>
      <w:r>
        <w:rPr>
          <w:rFonts w:hint="eastAsia" w:ascii="仿宋_GB2312" w:hAnsi="仿宋" w:cs="仿宋"/>
          <w:bCs/>
          <w:color w:val="000000"/>
          <w:szCs w:val="32"/>
        </w:rPr>
        <w:t>第二章　</w:t>
      </w:r>
      <w:r>
        <w:rPr>
          <w:rFonts w:hint="eastAsia"/>
        </w:rPr>
        <w:t>保护与管理</w:t>
      </w:r>
    </w:p>
    <w:p>
      <w:pPr>
        <w:adjustRightInd w:val="0"/>
        <w:snapToGrid w:val="0"/>
        <w:spacing w:line="590" w:lineRule="exact"/>
        <w:ind w:firstLine="640" w:firstLineChars="200"/>
        <w:rPr>
          <w:rFonts w:ascii="仿宋_GB2312" w:hAnsi="仿宋" w:cs="仿宋"/>
          <w:bCs/>
          <w:color w:val="000000"/>
          <w:szCs w:val="32"/>
        </w:rPr>
      </w:pPr>
      <w:r>
        <w:rPr>
          <w:rFonts w:hint="eastAsia" w:ascii="仿宋_GB2312" w:hAnsi="仿宋" w:cs="仿宋"/>
          <w:bCs/>
          <w:color w:val="000000"/>
          <w:szCs w:val="32"/>
        </w:rPr>
        <w:t>第三章　</w:t>
      </w:r>
      <w:r>
        <w:rPr>
          <w:rFonts w:hint="eastAsia"/>
        </w:rPr>
        <w:t>展示与利用</w:t>
      </w:r>
    </w:p>
    <w:p>
      <w:pPr>
        <w:adjustRightInd w:val="0"/>
        <w:snapToGrid w:val="0"/>
        <w:spacing w:line="590" w:lineRule="exact"/>
        <w:ind w:firstLine="640" w:firstLineChars="200"/>
        <w:rPr>
          <w:rFonts w:ascii="仿宋_GB2312" w:hAnsi="仿宋" w:cs="仿宋"/>
          <w:bCs/>
          <w:color w:val="000000"/>
          <w:szCs w:val="32"/>
        </w:rPr>
      </w:pPr>
      <w:r>
        <w:rPr>
          <w:rFonts w:hint="eastAsia" w:ascii="仿宋_GB2312" w:hAnsi="仿宋" w:cs="仿宋"/>
          <w:bCs/>
          <w:color w:val="000000"/>
          <w:szCs w:val="32"/>
        </w:rPr>
        <w:t>第</w:t>
      </w:r>
      <w:r>
        <w:rPr>
          <w:rFonts w:hint="eastAsia" w:ascii="仿宋_GB2312" w:hAnsi="仿宋" w:cs="仿宋"/>
          <w:bCs/>
          <w:color w:val="000000"/>
          <w:szCs w:val="32"/>
          <w:lang w:val="en-US" w:eastAsia="zh-CN"/>
        </w:rPr>
        <w:t>四</w:t>
      </w:r>
      <w:r>
        <w:rPr>
          <w:rFonts w:hint="eastAsia" w:ascii="仿宋_GB2312" w:hAnsi="仿宋" w:cs="仿宋"/>
          <w:bCs/>
          <w:color w:val="000000"/>
          <w:szCs w:val="32"/>
        </w:rPr>
        <w:t>章　法律责任</w:t>
      </w:r>
    </w:p>
    <w:p>
      <w:pPr>
        <w:adjustRightInd w:val="0"/>
        <w:snapToGrid w:val="0"/>
        <w:spacing w:line="590" w:lineRule="exact"/>
        <w:ind w:firstLine="640" w:firstLineChars="200"/>
        <w:rPr>
          <w:rFonts w:hint="eastAsia" w:ascii="仿宋_GB2312" w:hAnsi="仿宋" w:cs="仿宋"/>
          <w:bCs/>
          <w:color w:val="000000"/>
          <w:szCs w:val="32"/>
        </w:rPr>
      </w:pPr>
      <w:r>
        <w:rPr>
          <w:rFonts w:hint="eastAsia" w:ascii="仿宋_GB2312" w:hAnsi="仿宋" w:cs="仿宋"/>
          <w:bCs/>
          <w:color w:val="000000"/>
          <w:szCs w:val="32"/>
        </w:rPr>
        <w:t>第</w:t>
      </w:r>
      <w:r>
        <w:rPr>
          <w:rFonts w:hint="eastAsia" w:ascii="仿宋_GB2312" w:hAnsi="仿宋" w:cs="仿宋"/>
          <w:bCs/>
          <w:color w:val="000000"/>
          <w:szCs w:val="32"/>
          <w:lang w:val="en-US" w:eastAsia="zh-CN"/>
        </w:rPr>
        <w:t>五</w:t>
      </w:r>
      <w:r>
        <w:rPr>
          <w:rFonts w:hint="eastAsia" w:ascii="仿宋_GB2312" w:hAnsi="仿宋" w:cs="仿宋"/>
          <w:bCs/>
          <w:color w:val="000000"/>
          <w:szCs w:val="32"/>
        </w:rPr>
        <w:t>章　附　</w:t>
      </w:r>
      <w:r>
        <w:rPr>
          <w:rFonts w:hint="eastAsia" w:ascii="仿宋_GB2312" w:hAnsi="仿宋" w:cs="仿宋"/>
          <w:bCs/>
          <w:color w:val="000000"/>
          <w:szCs w:val="32"/>
          <w:lang w:val="en-US" w:eastAsia="zh-CN"/>
        </w:rPr>
        <w:t xml:space="preserve">  </w:t>
      </w:r>
      <w:r>
        <w:rPr>
          <w:rFonts w:hint="eastAsia" w:ascii="仿宋_GB2312" w:hAnsi="仿宋" w:cs="仿宋"/>
          <w:bCs/>
          <w:color w:val="000000"/>
          <w:szCs w:val="32"/>
        </w:rPr>
        <w:t>则</w:t>
      </w:r>
    </w:p>
    <w:p>
      <w:pPr>
        <w:adjustRightInd w:val="0"/>
        <w:snapToGrid w:val="0"/>
        <w:spacing w:line="590" w:lineRule="exact"/>
        <w:ind w:firstLine="640" w:firstLineChars="200"/>
        <w:rPr>
          <w:rFonts w:hint="eastAsia" w:ascii="仿宋_GB2312" w:hAnsi="仿宋" w:cs="仿宋"/>
          <w:bCs/>
          <w:color w:val="000000"/>
          <w:szCs w:val="32"/>
        </w:rPr>
      </w:pPr>
    </w:p>
    <w:p>
      <w:pPr>
        <w:adjustRightInd w:val="0"/>
        <w:snapToGrid w:val="0"/>
        <w:spacing w:before="302" w:beforeLines="50" w:after="302" w:afterLines="50" w:line="590" w:lineRule="exact"/>
        <w:jc w:val="center"/>
        <w:rPr>
          <w:rFonts w:ascii="黑体" w:hAnsi="黑体" w:eastAsia="黑体"/>
        </w:rPr>
      </w:pPr>
      <w:r>
        <w:rPr>
          <w:rFonts w:hint="eastAsia" w:ascii="黑体" w:hAnsi="黑体" w:eastAsia="黑体" w:cs="仿宋"/>
          <w:bCs/>
          <w:color w:val="000000"/>
          <w:szCs w:val="32"/>
        </w:rPr>
        <w:t>第一章　总　则</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rPr>
          <w:rFonts w:hint="eastAsia"/>
        </w:rPr>
      </w:pPr>
      <w:r>
        <w:rPr>
          <w:rFonts w:hint="eastAsia" w:ascii="黑体" w:hAnsi="黑体" w:eastAsia="黑体"/>
        </w:rPr>
        <w:t xml:space="preserve">第一条  </w:t>
      </w:r>
      <w:r>
        <w:rPr>
          <w:rFonts w:hint="eastAsia"/>
        </w:rPr>
        <w:t>为了加强延安革命旧址的保护，发挥革命旧址在传承红色基因、弘扬延安精神、培育和践行社会主义核心</w:t>
      </w:r>
      <w:bookmarkStart w:id="0" w:name="_GoBack"/>
      <w:bookmarkEnd w:id="0"/>
      <w:r>
        <w:rPr>
          <w:rFonts w:hint="eastAsia"/>
        </w:rPr>
        <w:t>价值观中的作用，根据《中华人民共和国文物保护法》和有关法律、行政法规，制定本条例。</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rPr>
          <w:rFonts w:hint="eastAsia"/>
        </w:rPr>
      </w:pPr>
      <w:r>
        <w:rPr>
          <w:rFonts w:hint="eastAsia" w:ascii="黑体" w:hAnsi="黑体" w:eastAsia="黑体"/>
        </w:rPr>
        <w:t>第二条</w:t>
      </w:r>
      <w:r>
        <w:rPr>
          <w:rFonts w:hint="eastAsia"/>
          <w:lang w:val="en-US" w:eastAsia="zh-CN"/>
        </w:rPr>
        <w:t xml:space="preserve">  </w:t>
      </w:r>
      <w:r>
        <w:rPr>
          <w:rFonts w:hint="eastAsia"/>
        </w:rPr>
        <w:t>本省延安革命旧址的保护、管理和利用等活动，适用本条例。</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ascii="黑体" w:hAnsi="黑体" w:eastAsia="黑体"/>
        </w:rPr>
        <w:t>第三条</w:t>
      </w:r>
      <w:r>
        <w:rPr>
          <w:rFonts w:hint="eastAsia"/>
          <w:lang w:val="en-US" w:eastAsia="zh-CN"/>
        </w:rPr>
        <w:t xml:space="preserve">  </w:t>
      </w:r>
      <w:r>
        <w:rPr>
          <w:rFonts w:hint="eastAsia"/>
        </w:rPr>
        <w:t>本条例所称延安革命旧址，是指延安市行政区域内已被登记公布为不可移动文物，见证中国共产党团结带领各族人民进行革命历程，反映革命文化的遗址、遗迹、纪念设施。包括：</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rPr>
        <w:t>（一）重要机构和重要会议旧址、遗址；</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rPr>
        <w:t>（二）重要人物故居、旧居、活动地、墓地；</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rPr>
        <w:t>（三）重要事件、战役及重大战斗遗址、遗迹；</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rPr>
        <w:t>（四）具有重要影响的烈士事迹发生地或烈士墓地；</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rPr>
        <w:t>（五）其他见证革命历程、反映革命历史的重要遗址、遗迹、纪念设施等。</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ascii="黑体" w:hAnsi="黑体" w:eastAsia="黑体"/>
        </w:rPr>
        <w:t>第四条</w:t>
      </w:r>
      <w:r>
        <w:rPr>
          <w:rFonts w:hint="eastAsia"/>
          <w:lang w:val="en-US" w:eastAsia="zh-CN"/>
        </w:rPr>
        <w:t xml:space="preserve">  </w:t>
      </w:r>
      <w:r>
        <w:rPr>
          <w:rFonts w:hint="eastAsia"/>
        </w:rPr>
        <w:t>延安革命旧址保护工作应当贯彻保护为主、抢救第一、合理利用、加强管理的方针，坚持全面整体保护，统筹推进抢救性与预防性保护、革命旧址本体与周边环境保护相结合，确保革命旧址的历史真实性、风貌完整性和文化延续性。</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ascii="黑体" w:hAnsi="黑体" w:eastAsia="黑体"/>
        </w:rPr>
        <w:t>第五条</w:t>
      </w:r>
      <w:r>
        <w:rPr>
          <w:rFonts w:hint="eastAsia"/>
          <w:lang w:val="en-US" w:eastAsia="zh-CN"/>
        </w:rPr>
        <w:t xml:space="preserve">  </w:t>
      </w:r>
      <w:r>
        <w:rPr>
          <w:rFonts w:hint="eastAsia"/>
        </w:rPr>
        <w:t>省人民政府统筹解决延安革命旧址保护、管理和利用工作的重大问题。</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rPr>
        <w:t>延安市、县（市、区）人民政府负责本行政区域内革命旧址的保护、管理和利用工作。</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rPr>
        <w:t>乡(镇)人民政府、街道办事处协助做好本辖区延安革命旧址的保护、管理和利用工作。</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ascii="黑体" w:hAnsi="黑体" w:eastAsia="黑体"/>
        </w:rPr>
        <w:t>第六条</w:t>
      </w:r>
      <w:r>
        <w:rPr>
          <w:rFonts w:hint="eastAsia"/>
          <w:lang w:val="en-US" w:eastAsia="zh-CN"/>
        </w:rPr>
        <w:t xml:space="preserve">  </w:t>
      </w:r>
      <w:r>
        <w:rPr>
          <w:rFonts w:hint="eastAsia"/>
        </w:rPr>
        <w:t>省人民政府应当对延安革命旧址保护给予经费支持。</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rPr>
        <w:t>延安市、县（市、区）人民政府应当将本行政区域内革命旧址保护工作纳入国民经济和社会发展规划，将延安革命旧址保护、管理和利用所需经费纳入本级财政预算。</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ascii="黑体" w:hAnsi="黑体" w:eastAsia="黑体"/>
        </w:rPr>
        <w:t>第七条</w:t>
      </w:r>
      <w:r>
        <w:rPr>
          <w:rFonts w:hint="eastAsia"/>
          <w:lang w:val="en-US" w:eastAsia="zh-CN"/>
        </w:rPr>
        <w:t xml:space="preserve">  </w:t>
      </w:r>
      <w:r>
        <w:rPr>
          <w:rFonts w:hint="eastAsia"/>
        </w:rPr>
        <w:t>省文物行政主管部门对延安革命旧址保护、管理和利用工作实施监督和指导。</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rPr>
        <w:t>延安革命纪念地管理机构组织开展延安革命旧址的保护、管理和利用工作。延安市、县（市、区）人民政府文物行政主管部门负责本行政区域内革命旧址保护、管理和利用的具体工作。</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rPr>
        <w:t>其他有关部门在各自的职责范围内，做好延安革命旧址保护有关工作。</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ascii="黑体" w:hAnsi="黑体" w:eastAsia="黑体"/>
        </w:rPr>
        <w:t>第八条</w:t>
      </w:r>
      <w:r>
        <w:rPr>
          <w:rFonts w:hint="eastAsia"/>
          <w:lang w:val="en-US" w:eastAsia="zh-CN"/>
        </w:rPr>
        <w:t xml:space="preserve">  </w:t>
      </w:r>
      <w:r>
        <w:rPr>
          <w:rFonts w:hint="eastAsia"/>
        </w:rPr>
        <w:t>延安革命旧址所有人、使用人、管理人应当遵守有关法律、法规规定，履行日常维护义务，支持、配合延安革命旧址保护、管理和利用工作。</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ascii="黑体" w:hAnsi="黑体" w:eastAsia="黑体"/>
        </w:rPr>
        <w:t>第九条</w:t>
      </w:r>
      <w:r>
        <w:rPr>
          <w:rFonts w:hint="eastAsia"/>
          <w:lang w:val="en-US" w:eastAsia="zh-CN"/>
        </w:rPr>
        <w:t xml:space="preserve">  </w:t>
      </w:r>
      <w:r>
        <w:rPr>
          <w:rFonts w:hint="eastAsia"/>
        </w:rPr>
        <w:t>各级人民政府应当加强对延安革命旧址思想内涵和时代价值的研究阐释，弘扬革命传统，传承革命文化。</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rPr>
        <w:t>禁止歪曲、丑化、亵渎、否定延安革命旧址承载的革命历史和延安精神。</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ascii="黑体" w:hAnsi="黑体" w:eastAsia="黑体"/>
        </w:rPr>
        <w:t>第十条</w:t>
      </w:r>
      <w:r>
        <w:rPr>
          <w:rFonts w:hint="eastAsia"/>
          <w:lang w:val="en-US" w:eastAsia="zh-CN"/>
        </w:rPr>
        <w:t xml:space="preserve">  </w:t>
      </w:r>
      <w:r>
        <w:rPr>
          <w:rFonts w:hint="eastAsia"/>
        </w:rPr>
        <w:t>任何组织和个人都有依法保护延安革命旧址的义务，对侵害延安革命旧址的行为有权向文物、公安等部门举报。</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ascii="黑体" w:hAnsi="黑体" w:eastAsia="黑体"/>
        </w:rPr>
        <w:t>第十一条</w:t>
      </w:r>
      <w:r>
        <w:rPr>
          <w:rFonts w:hint="eastAsia"/>
          <w:lang w:val="en-US" w:eastAsia="zh-CN"/>
        </w:rPr>
        <w:t xml:space="preserve">  </w:t>
      </w:r>
      <w:r>
        <w:rPr>
          <w:rFonts w:hint="eastAsia"/>
        </w:rPr>
        <w:t>鼓励企业事业单位、社会团体和个人以捐赠、志愿服务等方式参与延安革命旧址的保护。</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ascii="黑体" w:hAnsi="黑体" w:eastAsia="黑体"/>
        </w:rPr>
        <w:t>第十二条</w:t>
      </w:r>
      <w:r>
        <w:rPr>
          <w:rFonts w:hint="eastAsia"/>
          <w:lang w:val="en-US" w:eastAsia="zh-CN"/>
        </w:rPr>
        <w:t xml:space="preserve">  </w:t>
      </w:r>
      <w:r>
        <w:rPr>
          <w:rFonts w:hint="eastAsia"/>
        </w:rPr>
        <w:t>县级以上人民政府对在延安革命旧址抢救、保护、管理和利用工作中做出突出贡献的单位和个人给予表彰和奖励。</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620" w:lineRule="exact"/>
        <w:ind w:firstLine="630"/>
        <w:jc w:val="center"/>
        <w:textAlignment w:val="auto"/>
        <w:outlineLvl w:val="9"/>
        <w:rPr>
          <w:rFonts w:hint="eastAsia" w:ascii="黑体" w:hAnsi="黑体" w:eastAsia="黑体"/>
        </w:rPr>
      </w:pPr>
      <w:r>
        <w:rPr>
          <w:rFonts w:hint="eastAsia" w:ascii="黑体" w:hAnsi="黑体" w:eastAsia="黑体"/>
        </w:rPr>
        <w:t>第二章</w:t>
      </w:r>
      <w:r>
        <w:rPr>
          <w:rFonts w:hint="eastAsia" w:ascii="黑体" w:hAnsi="黑体" w:eastAsia="黑体"/>
          <w:lang w:val="en-US" w:eastAsia="zh-CN"/>
        </w:rPr>
        <w:t xml:space="preserve">  </w:t>
      </w:r>
      <w:r>
        <w:rPr>
          <w:rFonts w:hint="eastAsia" w:ascii="黑体" w:hAnsi="黑体" w:eastAsia="黑体"/>
        </w:rPr>
        <w:t>保护与管理</w:t>
      </w:r>
    </w:p>
    <w:p>
      <w:pPr>
        <w:keepNext w:val="0"/>
        <w:keepLines w:val="0"/>
        <w:pageBreakBefore w:val="0"/>
        <w:widowControl w:val="0"/>
        <w:kinsoku/>
        <w:wordWrap/>
        <w:overflowPunct/>
        <w:topLinePunct w:val="0"/>
        <w:autoSpaceDE/>
        <w:autoSpaceDN/>
        <w:bidi w:val="0"/>
        <w:adjustRightInd/>
        <w:snapToGrid/>
        <w:spacing w:line="620" w:lineRule="exact"/>
        <w:ind w:firstLine="630"/>
        <w:jc w:val="center"/>
        <w:textAlignment w:val="auto"/>
        <w:outlineLvl w:val="9"/>
        <w:rPr>
          <w:rFonts w:hint="eastAsia" w:ascii="黑体" w:hAnsi="黑体" w:eastAsia="黑体"/>
        </w:rPr>
      </w:pP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ascii="黑体" w:hAnsi="黑体" w:eastAsia="黑体"/>
        </w:rPr>
        <w:t>第十三条</w:t>
      </w:r>
      <w:r>
        <w:rPr>
          <w:rFonts w:hint="eastAsia"/>
          <w:lang w:val="en-US" w:eastAsia="zh-CN"/>
        </w:rPr>
        <w:t xml:space="preserve">  </w:t>
      </w:r>
      <w:r>
        <w:rPr>
          <w:rFonts w:hint="eastAsia"/>
        </w:rPr>
        <w:t>省文物行政主管部门应当将延安革命旧址纳入全省革命文物名录，向社会公布。</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rPr>
        <w:t>延安市、县（市、区）文物行政主管部门应当定期开展延安革命旧址普查和专项调查，做好认定、记录和建档工作。</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rPr>
        <w:t>对列入革命文物名录尚未核定公布为文物保护单位的，县级以上人民政府可以根据其历史价值和现状，依法申报或者核定公布为相应级别的文物保护单位。</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ascii="黑体" w:hAnsi="黑体" w:eastAsia="黑体"/>
        </w:rPr>
        <w:t>第十四条</w:t>
      </w:r>
      <w:r>
        <w:rPr>
          <w:rFonts w:hint="eastAsia"/>
          <w:lang w:val="en-US" w:eastAsia="zh-CN"/>
        </w:rPr>
        <w:t xml:space="preserve">  </w:t>
      </w:r>
      <w:r>
        <w:rPr>
          <w:rFonts w:hint="eastAsia"/>
        </w:rPr>
        <w:t>核定公布为文物保护单位的延安革命旧址，县级以上人民政府应当依法划定保护范围和建设控制地带，设置保护标志和界碑，建立记录档案，设置专门机构或者指定专人负责管理。</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rPr>
        <w:t>未核定公布为文物保护单位的革命旧址，延安市、县（市、区）文物行政主管部门应当根据需要，制定保护措施，并公告施行。</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rPr>
        <w:t>任何组织和个人不得擅自移动、损毁、拆除延安革命旧址的保护标志和界碑。</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ascii="黑体" w:hAnsi="黑体" w:eastAsia="黑体"/>
        </w:rPr>
        <w:t>第十五条</w:t>
      </w:r>
      <w:r>
        <w:rPr>
          <w:rFonts w:hint="eastAsia"/>
          <w:lang w:val="en-US" w:eastAsia="zh-CN"/>
        </w:rPr>
        <w:t xml:space="preserve">  </w:t>
      </w:r>
      <w:r>
        <w:rPr>
          <w:rFonts w:hint="eastAsia"/>
        </w:rPr>
        <w:t>核定公布为省级以上文物保护单位的延安革命旧址，应当依法编制保护规划，由省人民政府公布。</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rPr>
        <w:t>核定公布为市级和县级文物保护单位的延安革命旧址，所在地县级以上人民政府根据需要组织编制保护规划，由延安市人民政府批准公布，并报省文物行政主管部门备案。</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ascii="黑体" w:hAnsi="黑体" w:eastAsia="黑体"/>
        </w:rPr>
        <w:t>第十六条</w:t>
      </w:r>
      <w:r>
        <w:rPr>
          <w:rFonts w:hint="eastAsia"/>
          <w:lang w:val="en-US" w:eastAsia="zh-CN"/>
        </w:rPr>
        <w:t xml:space="preserve">  </w:t>
      </w:r>
      <w:r>
        <w:rPr>
          <w:rFonts w:hint="eastAsia"/>
        </w:rPr>
        <w:t>延安市人民政府负责编制延安革命旧址保护利用总体规划并组织实施。</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rPr>
        <w:t>编制延安市国土空间规划时应结合延安革命旧址保护、管理和利用需要。</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ascii="黑体" w:hAnsi="黑体" w:eastAsia="黑体"/>
        </w:rPr>
        <w:t>第十七条</w:t>
      </w:r>
      <w:r>
        <w:rPr>
          <w:rFonts w:hint="eastAsia"/>
          <w:lang w:val="en-US" w:eastAsia="zh-CN"/>
        </w:rPr>
        <w:t xml:space="preserve">  </w:t>
      </w:r>
      <w:r>
        <w:rPr>
          <w:rFonts w:hint="eastAsia"/>
        </w:rPr>
        <w:t>延安革命旧址应当明确保护管理责任人，根据产权情况进行分类管理。</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rPr>
        <w:t>革命旧址产权不明，且暂无使用人的，由县级文物行政主管部门指定专门机构或专人负责日常保护管理，并与其签订保护协议。</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rPr>
        <w:t>革命旧址产权属集体或者个人的，由产权所有人负责日常保护管理，县级文物行政主管部门应与产权所有人签订保护协议。</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rPr>
        <w:t>革命旧址产权属于国家的，由使用权人负责日常保护管理，制定具体的保护措施，并公告施行；使用权人为非文博单位的，县级文物行政主管部门应与使用权人签订保护协议。</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rPr>
        <w:t>非国有产权的革命旧址，县级以上人民政府可给予一定的保护经费资助。</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ascii="黑体" w:hAnsi="黑体" w:eastAsia="黑体"/>
        </w:rPr>
        <w:t>第十八条</w:t>
      </w:r>
      <w:r>
        <w:rPr>
          <w:rFonts w:hint="eastAsia"/>
          <w:lang w:val="en-US" w:eastAsia="zh-CN"/>
        </w:rPr>
        <w:t xml:space="preserve">  </w:t>
      </w:r>
      <w:r>
        <w:rPr>
          <w:rFonts w:hint="eastAsia"/>
        </w:rPr>
        <w:t>延安革命旧址保护管理责任人应当履行下列责任：</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rPr>
        <w:t>（一）做好革命旧址的日常养护；</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rPr>
        <w:t>（二）制定安全应急预案，定期开展日常巡查监测，排查安全隐患；</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rPr>
        <w:t>（三）开展革命旧址修缮、环境整治、陈列展示等工作；</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rPr>
        <w:t>（四）对保护标志和界碑进行维护；</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rPr>
        <w:t>（五）建立并定期更新记录档案。</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ascii="黑体" w:hAnsi="黑体" w:eastAsia="黑体"/>
        </w:rPr>
        <w:t>第十九条</w:t>
      </w:r>
      <w:r>
        <w:rPr>
          <w:rFonts w:hint="eastAsia"/>
          <w:lang w:val="en-US" w:eastAsia="zh-CN"/>
        </w:rPr>
        <w:t xml:space="preserve">  </w:t>
      </w:r>
      <w:r>
        <w:rPr>
          <w:rFonts w:hint="eastAsia"/>
        </w:rPr>
        <w:t>延安革命旧址实施原址保护，不得擅自拆除、迁移。</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rPr>
        <w:t>无法实施原址保护，确需迁移异地保护或者拆除的，应当进行论证和公示。已核定公布为文物保护单位的，依法履行报批程序；未核定公布为文物保护单位的，报延安市人民政府批准。</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rPr>
        <w:t>迁移异地保护、拆除或者灭失的，应当在原址设立必要的标志和说明。</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ascii="黑体" w:hAnsi="黑体" w:eastAsia="黑体"/>
        </w:rPr>
        <w:t>第二十条</w:t>
      </w:r>
      <w:r>
        <w:rPr>
          <w:rFonts w:hint="eastAsia"/>
          <w:lang w:val="en-US" w:eastAsia="zh-CN"/>
        </w:rPr>
        <w:t xml:space="preserve">  </w:t>
      </w:r>
      <w:r>
        <w:rPr>
          <w:rFonts w:hint="eastAsia"/>
        </w:rPr>
        <w:t>延安革命旧址保护范围内禁止下列行为：</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rPr>
        <w:t>（一）在本体和保护设施、标志、界碑上刻划、涂污、涂画、张贴；</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rPr>
        <w:t>（二）排放污水、挖砂取土取石、修建坟墓、倾倒垃圾及其他废弃物；</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rPr>
        <w:t>（三）生产、存储易燃易爆等危险物品；</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rPr>
        <w:t>（四）设置户外广告设施或者进行其他与革命旧址保护无关的工程；</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rPr>
        <w:t>（五）侵占革命旧址的土地和设施；</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rPr>
        <w:t>（六）其他对革命旧址构成破坏的活动。</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ascii="黑体" w:hAnsi="黑体" w:eastAsia="黑体"/>
        </w:rPr>
        <w:t>第二十一条</w:t>
      </w:r>
      <w:r>
        <w:rPr>
          <w:rFonts w:hint="eastAsia"/>
          <w:lang w:val="en-US" w:eastAsia="zh-CN"/>
        </w:rPr>
        <w:t xml:space="preserve">  </w:t>
      </w:r>
      <w:r>
        <w:rPr>
          <w:rFonts w:hint="eastAsia"/>
        </w:rPr>
        <w:t>在延安革命旧址建设控制地带内，新建、改建、扩建建筑物、构筑物的，应当依法履行报批手续，其形式、高度、体量、色调等应当与延安革命旧址的环境风貌相协调。</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ascii="黑体" w:hAnsi="黑体" w:eastAsia="黑体"/>
        </w:rPr>
        <w:t>第二十二条</w:t>
      </w:r>
      <w:r>
        <w:rPr>
          <w:rFonts w:hint="eastAsia"/>
          <w:lang w:val="en-US" w:eastAsia="zh-CN"/>
        </w:rPr>
        <w:t xml:space="preserve">  </w:t>
      </w:r>
      <w:r>
        <w:rPr>
          <w:rFonts w:hint="eastAsia"/>
        </w:rPr>
        <w:t>延安革命旧址的保护范围和建设控制地带内已有的建筑物、构筑物与延安革命旧址环境风貌不协调的，延安市人民政府应当作出方案，依法进行改造或者拆除。</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ascii="黑体" w:hAnsi="黑体" w:eastAsia="黑体"/>
        </w:rPr>
        <w:t>第二十三条</w:t>
      </w:r>
      <w:r>
        <w:rPr>
          <w:rFonts w:hint="eastAsia"/>
          <w:lang w:val="en-US" w:eastAsia="zh-CN"/>
        </w:rPr>
        <w:t xml:space="preserve">  </w:t>
      </w:r>
      <w:r>
        <w:rPr>
          <w:rFonts w:hint="eastAsia"/>
        </w:rPr>
        <w:t>在延安革命旧址的保护范围和建设控制地带内，不得建设污染延安革命旧址及其环境的设施。对已有的污染延安革命旧址及其环境的设施，延安市生态环境主管部门应当限期治理。</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ascii="黑体" w:hAnsi="黑体" w:eastAsia="黑体"/>
        </w:rPr>
        <w:t>第二十四条</w:t>
      </w:r>
      <w:r>
        <w:rPr>
          <w:rFonts w:hint="eastAsia"/>
          <w:lang w:val="en-US" w:eastAsia="zh-CN"/>
        </w:rPr>
        <w:t xml:space="preserve">  </w:t>
      </w:r>
      <w:r>
        <w:rPr>
          <w:rFonts w:hint="eastAsia"/>
        </w:rPr>
        <w:t>延安革命旧址的修缮应当遵循最小干预、不改变旧址原状的原则，防止过度、不当修缮。</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rPr>
        <w:t>延安革命旧址修缮方案的编制、审批以及修缮工程的勘察设计、施工、监理，应当执行有关文物保护工程管理的规定。</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ascii="黑体" w:hAnsi="黑体" w:eastAsia="黑体"/>
        </w:rPr>
        <w:t>第二十五条</w:t>
      </w:r>
      <w:r>
        <w:rPr>
          <w:rFonts w:hint="eastAsia"/>
          <w:lang w:val="en-US" w:eastAsia="zh-CN"/>
        </w:rPr>
        <w:t xml:space="preserve">  </w:t>
      </w:r>
      <w:r>
        <w:rPr>
          <w:rFonts w:hint="eastAsia"/>
        </w:rPr>
        <w:t>延安市、县（市、区）文物行政主管部门应当对延安革命旧址的迁移、拆除、修缮等情况，建立记录档案。</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620" w:lineRule="exact"/>
        <w:ind w:firstLine="630"/>
        <w:jc w:val="center"/>
        <w:textAlignment w:val="auto"/>
        <w:outlineLvl w:val="9"/>
        <w:rPr>
          <w:rFonts w:hint="eastAsia" w:ascii="黑体" w:hAnsi="黑体" w:eastAsia="黑体"/>
        </w:rPr>
      </w:pPr>
      <w:r>
        <w:rPr>
          <w:rFonts w:hint="eastAsia" w:ascii="黑体" w:hAnsi="黑体" w:eastAsia="黑体"/>
        </w:rPr>
        <w:t>第三章</w:t>
      </w:r>
      <w:r>
        <w:rPr>
          <w:rFonts w:hint="eastAsia" w:ascii="黑体" w:hAnsi="黑体" w:eastAsia="黑体"/>
          <w:lang w:val="en-US" w:eastAsia="zh-CN"/>
        </w:rPr>
        <w:t xml:space="preserve">  </w:t>
      </w:r>
      <w:r>
        <w:rPr>
          <w:rFonts w:hint="eastAsia" w:ascii="黑体" w:hAnsi="黑体" w:eastAsia="黑体"/>
        </w:rPr>
        <w:t>展示与利用</w:t>
      </w:r>
    </w:p>
    <w:p>
      <w:pPr>
        <w:keepNext w:val="0"/>
        <w:keepLines w:val="0"/>
        <w:pageBreakBefore w:val="0"/>
        <w:widowControl w:val="0"/>
        <w:kinsoku/>
        <w:wordWrap/>
        <w:overflowPunct/>
        <w:topLinePunct w:val="0"/>
        <w:autoSpaceDE/>
        <w:autoSpaceDN/>
        <w:bidi w:val="0"/>
        <w:adjustRightInd/>
        <w:snapToGrid/>
        <w:spacing w:line="620" w:lineRule="exact"/>
        <w:ind w:firstLine="630"/>
        <w:jc w:val="center"/>
        <w:textAlignment w:val="auto"/>
        <w:outlineLvl w:val="9"/>
        <w:rPr>
          <w:rFonts w:hint="eastAsia" w:ascii="黑体" w:hAnsi="黑体" w:eastAsia="黑体"/>
        </w:rPr>
      </w:pP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ascii="黑体" w:hAnsi="黑体" w:eastAsia="黑体"/>
        </w:rPr>
        <w:t>第二十六</w:t>
      </w:r>
      <w:r>
        <w:rPr>
          <w:rFonts w:hint="eastAsia"/>
        </w:rPr>
        <w:t>条</w:t>
      </w:r>
      <w:r>
        <w:rPr>
          <w:rFonts w:hint="eastAsia"/>
          <w:lang w:val="en-US" w:eastAsia="zh-CN"/>
        </w:rPr>
        <w:t xml:space="preserve">  </w:t>
      </w:r>
      <w:r>
        <w:rPr>
          <w:rFonts w:hint="eastAsia"/>
        </w:rPr>
        <w:t>延安市、县（市、区）人民政府应当在保证革命旧址安全和历史风貌完整的前提下，创新革命旧址展示与利用方式，推动集中连片保护利用。</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ascii="黑体" w:hAnsi="黑体" w:eastAsia="黑体"/>
        </w:rPr>
        <w:t>第二十七条</w:t>
      </w:r>
      <w:r>
        <w:rPr>
          <w:rFonts w:hint="eastAsia"/>
          <w:lang w:val="en-US" w:eastAsia="zh-CN"/>
        </w:rPr>
        <w:t xml:space="preserve">  </w:t>
      </w:r>
      <w:r>
        <w:rPr>
          <w:rFonts w:hint="eastAsia"/>
        </w:rPr>
        <w:t>延安市、县（市、区）文物行政主管部门应当组织开展与革命旧址相关的可移动文物、资料的征集和认定工作，充实革命旧址陈列展示内容。建立延安革命文物数据库，推进数字化保护利用和资源信息开放共享。</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rPr>
        <w:t>延安革命旧址及相关纪念场馆的陈列展示说明和解说词应当按照程序进行审查，并根据最新研究成果完善补充，做到准确、完整和规范。</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ascii="黑体" w:hAnsi="黑体" w:eastAsia="黑体"/>
        </w:rPr>
        <w:t>第二十八条</w:t>
      </w:r>
      <w:r>
        <w:rPr>
          <w:rFonts w:hint="eastAsia"/>
          <w:lang w:val="en-US" w:eastAsia="zh-CN"/>
        </w:rPr>
        <w:t xml:space="preserve">  </w:t>
      </w:r>
      <w:r>
        <w:rPr>
          <w:rFonts w:hint="eastAsia"/>
        </w:rPr>
        <w:t>各级人民政府及其有关部门应当加强对延安革命旧址及其承载的革命历史和革命文化的研究，梳理、编纂和出版延安革命旧址相关资料和书籍，挖掘延安革命旧址的价值内涵。</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ascii="黑体" w:hAnsi="黑体" w:eastAsia="黑体"/>
        </w:rPr>
        <w:t>第二十九条</w:t>
      </w:r>
      <w:r>
        <w:rPr>
          <w:rFonts w:hint="eastAsia"/>
          <w:lang w:val="en-US" w:eastAsia="zh-CN"/>
        </w:rPr>
        <w:t xml:space="preserve">  </w:t>
      </w:r>
      <w:r>
        <w:rPr>
          <w:rFonts w:hint="eastAsia"/>
        </w:rPr>
        <w:t>在延安革命旧址举办陈列展览，应当遵守下列规定：</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rPr>
        <w:t>（一）主题和内容围绕弘扬延安精神、传播革命文化、培育和践行社会主义核心价值观；</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rPr>
        <w:t>（二）突出陈列展览地革命旧址文物特色；</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rPr>
        <w:t>（三）运用适当的展示方法,形式与内容和谐统一；</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rPr>
        <w:t>（四）法律、法规的其他有关规定。</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ascii="黑体" w:hAnsi="黑体" w:eastAsia="黑体"/>
        </w:rPr>
        <w:t>第三十条</w:t>
      </w:r>
      <w:r>
        <w:rPr>
          <w:rFonts w:hint="eastAsia"/>
          <w:lang w:val="en-US" w:eastAsia="zh-CN"/>
        </w:rPr>
        <w:t xml:space="preserve">  </w:t>
      </w:r>
      <w:r>
        <w:rPr>
          <w:rFonts w:hint="eastAsia"/>
        </w:rPr>
        <w:t>鼓励延安革命旧址在陈列展示中运用现代科技和信息技术，增强互动性和体验性，拓展教育传播方式，促进延安精神和革命文化的传播。</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ascii="黑体" w:hAnsi="黑体" w:eastAsia="黑体"/>
        </w:rPr>
        <w:t>第三十一条</w:t>
      </w:r>
      <w:r>
        <w:rPr>
          <w:rFonts w:hint="eastAsia"/>
          <w:lang w:val="en-US" w:eastAsia="zh-CN"/>
        </w:rPr>
        <w:t xml:space="preserve">  </w:t>
      </w:r>
      <w:r>
        <w:rPr>
          <w:rFonts w:hint="eastAsia"/>
        </w:rPr>
        <w:t>具备开放条件的延安革命旧址，应当向公众免费开放。尚不具备开放条件的，应当设立便于公众辨识和了解的说明牌。</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ascii="黑体" w:hAnsi="黑体" w:eastAsia="黑体"/>
        </w:rPr>
        <w:t>第三十二条</w:t>
      </w:r>
      <w:r>
        <w:rPr>
          <w:rFonts w:hint="eastAsia"/>
          <w:lang w:val="en-US" w:eastAsia="zh-CN"/>
        </w:rPr>
        <w:t xml:space="preserve">  </w:t>
      </w:r>
      <w:r>
        <w:rPr>
          <w:rFonts w:hint="eastAsia"/>
        </w:rPr>
        <w:t>鼓励国家机关、企业事业单位和社会组织依托延安革命旧址开展爱国主义教育和革命传统教育。</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rPr>
        <w:t>各级各类学校、干部教育机构应当将延安精神融入教育教学环节，鼓励依托延安革命旧址开展研学实践活动。</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rPr>
        <w:t>延安革命旧址所有人、使用人、管理人应当为爱国主义教育、革命传统教育和研学实践活动提供便利。</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ascii="黑体" w:hAnsi="黑体" w:eastAsia="黑体"/>
        </w:rPr>
        <w:t>第三十三条</w:t>
      </w:r>
      <w:r>
        <w:rPr>
          <w:rFonts w:hint="eastAsia"/>
          <w:lang w:val="en-US" w:eastAsia="zh-CN"/>
        </w:rPr>
        <w:t xml:space="preserve">  </w:t>
      </w:r>
      <w:r>
        <w:rPr>
          <w:rFonts w:hint="eastAsia"/>
        </w:rPr>
        <w:t>延安市、县（市、区）人民政府应当将延安革命旧址的利用纳入区域旅游发展规划，加强基础设施和生态建设，发展红色旅游。</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rPr>
        <w:t>鼓励将延安革命旧址与其他文物史迹、自然景观和非物质文化遗产等文化和自然资源进行整合，拓展展示路线和内容，形成联合展示体系。</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620" w:lineRule="exact"/>
        <w:ind w:firstLine="630"/>
        <w:jc w:val="center"/>
        <w:textAlignment w:val="auto"/>
        <w:outlineLvl w:val="9"/>
        <w:rPr>
          <w:rFonts w:hint="eastAsia" w:ascii="黑体" w:hAnsi="黑体" w:eastAsia="黑体"/>
        </w:rPr>
      </w:pPr>
      <w:r>
        <w:rPr>
          <w:rFonts w:hint="eastAsia" w:ascii="黑体" w:hAnsi="黑体" w:eastAsia="黑体"/>
        </w:rPr>
        <w:t>第四章</w:t>
      </w:r>
      <w:r>
        <w:rPr>
          <w:rFonts w:hint="eastAsia" w:ascii="黑体" w:hAnsi="黑体" w:eastAsia="黑体"/>
          <w:lang w:val="en-US" w:eastAsia="zh-CN"/>
        </w:rPr>
        <w:t xml:space="preserve">  </w:t>
      </w:r>
      <w:r>
        <w:rPr>
          <w:rFonts w:hint="eastAsia" w:ascii="黑体" w:hAnsi="黑体" w:eastAsia="黑体"/>
        </w:rPr>
        <w:t>法律责任</w:t>
      </w:r>
    </w:p>
    <w:p>
      <w:pPr>
        <w:keepNext w:val="0"/>
        <w:keepLines w:val="0"/>
        <w:pageBreakBefore w:val="0"/>
        <w:widowControl w:val="0"/>
        <w:kinsoku/>
        <w:wordWrap/>
        <w:overflowPunct/>
        <w:topLinePunct w:val="0"/>
        <w:autoSpaceDE/>
        <w:autoSpaceDN/>
        <w:bidi w:val="0"/>
        <w:adjustRightInd/>
        <w:snapToGrid/>
        <w:spacing w:line="620" w:lineRule="exact"/>
        <w:ind w:firstLine="630"/>
        <w:jc w:val="center"/>
        <w:textAlignment w:val="auto"/>
        <w:outlineLvl w:val="9"/>
        <w:rPr>
          <w:rFonts w:hint="eastAsia" w:ascii="黑体" w:hAnsi="黑体" w:eastAsia="黑体"/>
        </w:rPr>
      </w:pP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ascii="黑体" w:hAnsi="黑体" w:eastAsia="黑体"/>
        </w:rPr>
        <w:t>第三十四条</w:t>
      </w:r>
      <w:r>
        <w:rPr>
          <w:rFonts w:hint="eastAsia"/>
          <w:lang w:val="en-US" w:eastAsia="zh-CN"/>
        </w:rPr>
        <w:t xml:space="preserve">  </w:t>
      </w:r>
      <w:r>
        <w:rPr>
          <w:rFonts w:hint="eastAsia"/>
        </w:rPr>
        <w:t>违反本条例第十四条第三款规定，擅自移动、损毁、拆除延安革命旧址保护标志和界碑的，由县级以上文物行政主管部门责令改正；造成损失的，依法承担民事责任，并依照《中华人民共和国文物保护法》的规定处罚；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ascii="黑体" w:hAnsi="黑体" w:eastAsia="黑体"/>
        </w:rPr>
        <w:t>第三十五条</w:t>
      </w:r>
      <w:r>
        <w:rPr>
          <w:rFonts w:hint="eastAsia"/>
          <w:lang w:val="en-US" w:eastAsia="zh-CN"/>
        </w:rPr>
        <w:t xml:space="preserve">  </w:t>
      </w:r>
      <w:r>
        <w:rPr>
          <w:rFonts w:hint="eastAsia"/>
        </w:rPr>
        <w:t>违反本条例第二十条第（一）项规定，在保护设施、标志、界碑上刻划、涂画、张贴的，由县级以上文物行政主管部门依法给予处罚；刻划、涂污或者以其他方式故意损坏旧址本体的，由县级以上文物行政主管部门或者公安机关依法给予处罚；构成犯罪的，依法追究刑事责任。</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ascii="黑体" w:hAnsi="黑体" w:eastAsia="黑体"/>
        </w:rPr>
        <w:t>第三十六条</w:t>
      </w:r>
      <w:r>
        <w:rPr>
          <w:rFonts w:hint="eastAsia"/>
          <w:lang w:val="en-US" w:eastAsia="zh-CN"/>
        </w:rPr>
        <w:t xml:space="preserve">  </w:t>
      </w:r>
      <w:r>
        <w:rPr>
          <w:rFonts w:hint="eastAsia"/>
        </w:rPr>
        <w:t>违反本条例第二十条第（二）项规定，在延安革命旧址保护范围内排放污水、挖砂取土取石、修建坟墓、倾倒垃圾及其他废弃物的，由县级以上文物行政主管部门责令限期改正或者恢复原状，可以并处二百元以上一千元以下罚款。</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ascii="黑体" w:hAnsi="黑体" w:eastAsia="黑体"/>
        </w:rPr>
        <w:t>第三十七条</w:t>
      </w:r>
      <w:r>
        <w:rPr>
          <w:rFonts w:hint="eastAsia"/>
          <w:lang w:val="en-US" w:eastAsia="zh-CN"/>
        </w:rPr>
        <w:t xml:space="preserve">  </w:t>
      </w:r>
      <w:r>
        <w:rPr>
          <w:rFonts w:hint="eastAsia"/>
        </w:rPr>
        <w:t>国家工作人员在延安革命旧址保护管理工作中滥用职权、玩忽职守、徇私舞弊的，由其所在单位或者有关机关给予处分;构成犯罪的，依法追究刑事责任。</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ascii="黑体" w:hAnsi="黑体" w:eastAsia="黑体"/>
        </w:rPr>
        <w:t>第三十八条</w:t>
      </w:r>
      <w:r>
        <w:rPr>
          <w:rFonts w:hint="eastAsia"/>
          <w:lang w:val="en-US" w:eastAsia="zh-CN"/>
        </w:rPr>
        <w:t xml:space="preserve">  </w:t>
      </w:r>
      <w:r>
        <w:rPr>
          <w:rFonts w:hint="eastAsia"/>
        </w:rPr>
        <w:t>违反本条例规定的其他行为，法律、法规已有处罚规定的，从其规定。</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620" w:lineRule="exact"/>
        <w:ind w:firstLine="630"/>
        <w:jc w:val="center"/>
        <w:textAlignment w:val="auto"/>
        <w:outlineLvl w:val="9"/>
        <w:rPr>
          <w:rFonts w:hint="eastAsia" w:ascii="黑体" w:hAnsi="黑体" w:eastAsia="黑体"/>
        </w:rPr>
      </w:pPr>
      <w:r>
        <w:rPr>
          <w:rFonts w:hint="eastAsia" w:ascii="黑体" w:hAnsi="黑体" w:eastAsia="黑体"/>
        </w:rPr>
        <w:t>第五章</w:t>
      </w:r>
      <w:r>
        <w:rPr>
          <w:rFonts w:hint="eastAsia" w:ascii="黑体" w:hAnsi="黑体" w:eastAsia="黑体"/>
          <w:lang w:val="en-US" w:eastAsia="zh-CN"/>
        </w:rPr>
        <w:t xml:space="preserve">  </w:t>
      </w:r>
      <w:r>
        <w:rPr>
          <w:rFonts w:hint="eastAsia" w:ascii="黑体" w:hAnsi="黑体" w:eastAsia="黑体"/>
        </w:rPr>
        <w:t>附</w:t>
      </w:r>
      <w:r>
        <w:rPr>
          <w:rFonts w:hint="eastAsia" w:ascii="黑体" w:hAnsi="黑体" w:eastAsia="黑体"/>
          <w:lang w:val="en-US" w:eastAsia="zh-CN"/>
        </w:rPr>
        <w:t xml:space="preserve">    </w:t>
      </w:r>
      <w:r>
        <w:rPr>
          <w:rFonts w:hint="eastAsia" w:ascii="黑体" w:hAnsi="黑体" w:eastAsia="黑体"/>
        </w:rPr>
        <w:t>则</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rPr>
          <w:rFonts w:hint="eastAsia" w:ascii="黑体" w:hAnsi="黑体" w:eastAsia="黑体"/>
        </w:rPr>
      </w:pP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ascii="黑体" w:hAnsi="黑体" w:eastAsia="黑体"/>
        </w:rPr>
        <w:t>第三十九条</w:t>
      </w:r>
      <w:r>
        <w:rPr>
          <w:rFonts w:hint="eastAsia"/>
          <w:lang w:val="en-US" w:eastAsia="zh-CN"/>
        </w:rPr>
        <w:t xml:space="preserve">  </w:t>
      </w:r>
      <w:r>
        <w:rPr>
          <w:rFonts w:hint="eastAsia"/>
        </w:rPr>
        <w:t>本省行政区域内其他革命旧址的保护、管理和利用，参照本条例规定执行。</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rPr>
      </w:pPr>
      <w:r>
        <w:rPr>
          <w:rFonts w:hint="eastAsia" w:ascii="黑体" w:hAnsi="黑体" w:eastAsia="黑体"/>
        </w:rPr>
        <w:t>第四十条</w:t>
      </w:r>
      <w:r>
        <w:rPr>
          <w:rFonts w:hint="eastAsia"/>
          <w:lang w:val="en-US" w:eastAsia="zh-CN"/>
        </w:rPr>
        <w:t xml:space="preserve">  </w:t>
      </w:r>
      <w:r>
        <w:rPr>
          <w:rFonts w:hint="eastAsia"/>
        </w:rPr>
        <w:t>本条例自2020年5月1日起施行。</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rPr>
          <w:rFonts w:hint="eastAsia"/>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3073" o:spid="_x0000_s3073"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pStyle w:val="2"/>
                  <w:rPr>
                    <w:rFonts w:eastAsia="仿宋_GB2312"/>
                  </w:rPr>
                </w:pPr>
                <w:r>
                  <w:rPr>
                    <w:rFonts w:hint="eastAsia"/>
                  </w:rPr>
                  <w:fldChar w:fldCharType="begin"/>
                </w:r>
                <w:r>
                  <w:rPr>
                    <w:rFonts w:hint="eastAsia"/>
                  </w:rPr>
                  <w:instrText xml:space="preserve"> PAGE  \* MERGEFORMAT </w:instrText>
                </w:r>
                <w:r>
                  <w:rPr>
                    <w:rFonts w:hint="eastAsia"/>
                  </w:rPr>
                  <w:fldChar w:fldCharType="separate"/>
                </w:r>
                <w:r>
                  <w:t>9</w:t>
                </w:r>
                <w:r>
                  <w:rPr>
                    <w:rFonts w:hint="eastAsia"/>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F45F9A"/>
    <w:rsid w:val="00033568"/>
    <w:rsid w:val="0003675E"/>
    <w:rsid w:val="00042972"/>
    <w:rsid w:val="0005137F"/>
    <w:rsid w:val="00062230"/>
    <w:rsid w:val="00075BD9"/>
    <w:rsid w:val="00081538"/>
    <w:rsid w:val="0008539C"/>
    <w:rsid w:val="000910D1"/>
    <w:rsid w:val="000D03F5"/>
    <w:rsid w:val="000E60FC"/>
    <w:rsid w:val="00100C65"/>
    <w:rsid w:val="001041C1"/>
    <w:rsid w:val="0012390A"/>
    <w:rsid w:val="001317C7"/>
    <w:rsid w:val="0014344B"/>
    <w:rsid w:val="001542FC"/>
    <w:rsid w:val="00162BE2"/>
    <w:rsid w:val="001645E7"/>
    <w:rsid w:val="001719F7"/>
    <w:rsid w:val="00190176"/>
    <w:rsid w:val="0019360A"/>
    <w:rsid w:val="001A174B"/>
    <w:rsid w:val="001A4F28"/>
    <w:rsid w:val="001B4E1C"/>
    <w:rsid w:val="001C1679"/>
    <w:rsid w:val="001D5A9C"/>
    <w:rsid w:val="001D77BA"/>
    <w:rsid w:val="001E60C7"/>
    <w:rsid w:val="001F2AB0"/>
    <w:rsid w:val="001F36B1"/>
    <w:rsid w:val="002000EE"/>
    <w:rsid w:val="00216C43"/>
    <w:rsid w:val="00224C01"/>
    <w:rsid w:val="00250552"/>
    <w:rsid w:val="002A4EB6"/>
    <w:rsid w:val="002B1B3C"/>
    <w:rsid w:val="002B32AC"/>
    <w:rsid w:val="002B5009"/>
    <w:rsid w:val="002B6179"/>
    <w:rsid w:val="002B7D12"/>
    <w:rsid w:val="002C0DE9"/>
    <w:rsid w:val="002C41A5"/>
    <w:rsid w:val="002D01DA"/>
    <w:rsid w:val="002D23AC"/>
    <w:rsid w:val="002E48E0"/>
    <w:rsid w:val="002E60C1"/>
    <w:rsid w:val="002F1E88"/>
    <w:rsid w:val="002F6F92"/>
    <w:rsid w:val="00322C04"/>
    <w:rsid w:val="00330A8A"/>
    <w:rsid w:val="0034478D"/>
    <w:rsid w:val="00350BC5"/>
    <w:rsid w:val="0037194A"/>
    <w:rsid w:val="00376D4D"/>
    <w:rsid w:val="00377AD8"/>
    <w:rsid w:val="0038366A"/>
    <w:rsid w:val="00385AB2"/>
    <w:rsid w:val="00386CCA"/>
    <w:rsid w:val="003A05F6"/>
    <w:rsid w:val="003A745C"/>
    <w:rsid w:val="003B50A2"/>
    <w:rsid w:val="003C4338"/>
    <w:rsid w:val="003D00E3"/>
    <w:rsid w:val="003E1FAA"/>
    <w:rsid w:val="003E3AF8"/>
    <w:rsid w:val="003E49C6"/>
    <w:rsid w:val="003F0354"/>
    <w:rsid w:val="00401FB1"/>
    <w:rsid w:val="00416578"/>
    <w:rsid w:val="004212AC"/>
    <w:rsid w:val="00424150"/>
    <w:rsid w:val="00424E4C"/>
    <w:rsid w:val="00432946"/>
    <w:rsid w:val="00457019"/>
    <w:rsid w:val="00457849"/>
    <w:rsid w:val="00465082"/>
    <w:rsid w:val="004669FD"/>
    <w:rsid w:val="00471936"/>
    <w:rsid w:val="00480542"/>
    <w:rsid w:val="00487A5F"/>
    <w:rsid w:val="00494E93"/>
    <w:rsid w:val="004973A0"/>
    <w:rsid w:val="004A09AE"/>
    <w:rsid w:val="004A3EDD"/>
    <w:rsid w:val="004D088D"/>
    <w:rsid w:val="004D62E4"/>
    <w:rsid w:val="004E2BF4"/>
    <w:rsid w:val="004F5A96"/>
    <w:rsid w:val="00500DB0"/>
    <w:rsid w:val="00521B94"/>
    <w:rsid w:val="00531409"/>
    <w:rsid w:val="005424CD"/>
    <w:rsid w:val="005464F7"/>
    <w:rsid w:val="0057171E"/>
    <w:rsid w:val="00571CB3"/>
    <w:rsid w:val="005750F1"/>
    <w:rsid w:val="00575780"/>
    <w:rsid w:val="0057682B"/>
    <w:rsid w:val="005813F5"/>
    <w:rsid w:val="00585B57"/>
    <w:rsid w:val="0058678E"/>
    <w:rsid w:val="005A5F61"/>
    <w:rsid w:val="005B278B"/>
    <w:rsid w:val="005D6FF7"/>
    <w:rsid w:val="005E1AB5"/>
    <w:rsid w:val="005F07BE"/>
    <w:rsid w:val="005F64A3"/>
    <w:rsid w:val="006000D2"/>
    <w:rsid w:val="00602C92"/>
    <w:rsid w:val="0060496E"/>
    <w:rsid w:val="0061198C"/>
    <w:rsid w:val="00612042"/>
    <w:rsid w:val="00623F92"/>
    <w:rsid w:val="00634AF6"/>
    <w:rsid w:val="00686D27"/>
    <w:rsid w:val="006A122F"/>
    <w:rsid w:val="006B58F9"/>
    <w:rsid w:val="006C1144"/>
    <w:rsid w:val="006C1513"/>
    <w:rsid w:val="006C1AF7"/>
    <w:rsid w:val="006E27EA"/>
    <w:rsid w:val="007172BF"/>
    <w:rsid w:val="007249FF"/>
    <w:rsid w:val="00731283"/>
    <w:rsid w:val="00735617"/>
    <w:rsid w:val="00741D40"/>
    <w:rsid w:val="00761165"/>
    <w:rsid w:val="00761490"/>
    <w:rsid w:val="00772469"/>
    <w:rsid w:val="00777318"/>
    <w:rsid w:val="00786A51"/>
    <w:rsid w:val="007A4D38"/>
    <w:rsid w:val="007C2E37"/>
    <w:rsid w:val="007E1CEC"/>
    <w:rsid w:val="00800894"/>
    <w:rsid w:val="0080348D"/>
    <w:rsid w:val="00810CA6"/>
    <w:rsid w:val="00821620"/>
    <w:rsid w:val="00824CAA"/>
    <w:rsid w:val="00831632"/>
    <w:rsid w:val="00842A7C"/>
    <w:rsid w:val="008519EA"/>
    <w:rsid w:val="00852A3A"/>
    <w:rsid w:val="00852AB5"/>
    <w:rsid w:val="00857AF4"/>
    <w:rsid w:val="008711BD"/>
    <w:rsid w:val="008757A0"/>
    <w:rsid w:val="00885A09"/>
    <w:rsid w:val="008B3A3F"/>
    <w:rsid w:val="008D267B"/>
    <w:rsid w:val="008D5AE8"/>
    <w:rsid w:val="008F4E6F"/>
    <w:rsid w:val="009131D7"/>
    <w:rsid w:val="00922A1E"/>
    <w:rsid w:val="009305B0"/>
    <w:rsid w:val="0093071D"/>
    <w:rsid w:val="0093238E"/>
    <w:rsid w:val="0094369D"/>
    <w:rsid w:val="00971392"/>
    <w:rsid w:val="00971C35"/>
    <w:rsid w:val="009A260F"/>
    <w:rsid w:val="009D4220"/>
    <w:rsid w:val="009E79B7"/>
    <w:rsid w:val="009F0489"/>
    <w:rsid w:val="00A01CCC"/>
    <w:rsid w:val="00A114C0"/>
    <w:rsid w:val="00A35E49"/>
    <w:rsid w:val="00A37234"/>
    <w:rsid w:val="00A54E4F"/>
    <w:rsid w:val="00A56959"/>
    <w:rsid w:val="00A837C1"/>
    <w:rsid w:val="00A87E09"/>
    <w:rsid w:val="00AA3102"/>
    <w:rsid w:val="00AA34FA"/>
    <w:rsid w:val="00AA5CA6"/>
    <w:rsid w:val="00AB04F3"/>
    <w:rsid w:val="00AB1C15"/>
    <w:rsid w:val="00AB7E6E"/>
    <w:rsid w:val="00AD09EA"/>
    <w:rsid w:val="00AD3CE9"/>
    <w:rsid w:val="00AE1EE1"/>
    <w:rsid w:val="00AF6673"/>
    <w:rsid w:val="00B02BDF"/>
    <w:rsid w:val="00B02C20"/>
    <w:rsid w:val="00B2325A"/>
    <w:rsid w:val="00B31131"/>
    <w:rsid w:val="00B43054"/>
    <w:rsid w:val="00B5206E"/>
    <w:rsid w:val="00B52C2C"/>
    <w:rsid w:val="00B61F37"/>
    <w:rsid w:val="00B70FB7"/>
    <w:rsid w:val="00B83A0B"/>
    <w:rsid w:val="00B95933"/>
    <w:rsid w:val="00BA7ECF"/>
    <w:rsid w:val="00BB207E"/>
    <w:rsid w:val="00BB246D"/>
    <w:rsid w:val="00BC139B"/>
    <w:rsid w:val="00BD45EB"/>
    <w:rsid w:val="00BD4E3D"/>
    <w:rsid w:val="00C13019"/>
    <w:rsid w:val="00C56E8B"/>
    <w:rsid w:val="00C96B92"/>
    <w:rsid w:val="00CC1905"/>
    <w:rsid w:val="00CC5DA6"/>
    <w:rsid w:val="00CC6D0F"/>
    <w:rsid w:val="00CD609C"/>
    <w:rsid w:val="00CE3F96"/>
    <w:rsid w:val="00D00BB8"/>
    <w:rsid w:val="00D17E75"/>
    <w:rsid w:val="00D32618"/>
    <w:rsid w:val="00D76DC2"/>
    <w:rsid w:val="00D80DD7"/>
    <w:rsid w:val="00D8198E"/>
    <w:rsid w:val="00D83B36"/>
    <w:rsid w:val="00D86584"/>
    <w:rsid w:val="00D86677"/>
    <w:rsid w:val="00DA0ECD"/>
    <w:rsid w:val="00DF3794"/>
    <w:rsid w:val="00E01903"/>
    <w:rsid w:val="00E05A6F"/>
    <w:rsid w:val="00E133DE"/>
    <w:rsid w:val="00E254AD"/>
    <w:rsid w:val="00E4058E"/>
    <w:rsid w:val="00E645F8"/>
    <w:rsid w:val="00E74CE8"/>
    <w:rsid w:val="00E754B0"/>
    <w:rsid w:val="00E87079"/>
    <w:rsid w:val="00E94E00"/>
    <w:rsid w:val="00EA6995"/>
    <w:rsid w:val="00EB32C1"/>
    <w:rsid w:val="00EB409B"/>
    <w:rsid w:val="00EC7B9C"/>
    <w:rsid w:val="00ED5236"/>
    <w:rsid w:val="00ED553C"/>
    <w:rsid w:val="00EE6945"/>
    <w:rsid w:val="00EF5354"/>
    <w:rsid w:val="00F001F5"/>
    <w:rsid w:val="00F02284"/>
    <w:rsid w:val="00F03685"/>
    <w:rsid w:val="00F112C7"/>
    <w:rsid w:val="00F15BCD"/>
    <w:rsid w:val="00F22E2C"/>
    <w:rsid w:val="00F31986"/>
    <w:rsid w:val="00F45F9A"/>
    <w:rsid w:val="00F54072"/>
    <w:rsid w:val="00F64D5E"/>
    <w:rsid w:val="00F72D96"/>
    <w:rsid w:val="00F72FA7"/>
    <w:rsid w:val="00F94FE5"/>
    <w:rsid w:val="00FA1DCF"/>
    <w:rsid w:val="00FA219F"/>
    <w:rsid w:val="00FA469F"/>
    <w:rsid w:val="00FA4F5E"/>
    <w:rsid w:val="00FA665A"/>
    <w:rsid w:val="00FB2FFF"/>
    <w:rsid w:val="00FB4925"/>
    <w:rsid w:val="00FC506A"/>
    <w:rsid w:val="02C951DE"/>
    <w:rsid w:val="050B4F2D"/>
    <w:rsid w:val="05654E87"/>
    <w:rsid w:val="05795503"/>
    <w:rsid w:val="09D2779F"/>
    <w:rsid w:val="0A842FD8"/>
    <w:rsid w:val="0E447721"/>
    <w:rsid w:val="0FB93402"/>
    <w:rsid w:val="107C4537"/>
    <w:rsid w:val="13CF26FE"/>
    <w:rsid w:val="13CF4042"/>
    <w:rsid w:val="15F0580F"/>
    <w:rsid w:val="19746649"/>
    <w:rsid w:val="1ACD5AE6"/>
    <w:rsid w:val="1C201B68"/>
    <w:rsid w:val="1C513182"/>
    <w:rsid w:val="1FE2185B"/>
    <w:rsid w:val="1FF17558"/>
    <w:rsid w:val="20102CE5"/>
    <w:rsid w:val="2168098E"/>
    <w:rsid w:val="22692506"/>
    <w:rsid w:val="239E5C53"/>
    <w:rsid w:val="25C402A9"/>
    <w:rsid w:val="27504BBE"/>
    <w:rsid w:val="27C674D1"/>
    <w:rsid w:val="2ADC4AD5"/>
    <w:rsid w:val="2B061251"/>
    <w:rsid w:val="2B713807"/>
    <w:rsid w:val="31C4401D"/>
    <w:rsid w:val="33AA1FF5"/>
    <w:rsid w:val="389A23DC"/>
    <w:rsid w:val="38D13A26"/>
    <w:rsid w:val="3AD30399"/>
    <w:rsid w:val="3B243D66"/>
    <w:rsid w:val="3B86122B"/>
    <w:rsid w:val="3CEB71D0"/>
    <w:rsid w:val="3D3277B3"/>
    <w:rsid w:val="3F2C4D54"/>
    <w:rsid w:val="3F3D675E"/>
    <w:rsid w:val="407D7BFD"/>
    <w:rsid w:val="40A658DF"/>
    <w:rsid w:val="420257F9"/>
    <w:rsid w:val="433B191D"/>
    <w:rsid w:val="43525420"/>
    <w:rsid w:val="463751F0"/>
    <w:rsid w:val="47164433"/>
    <w:rsid w:val="478E4DB1"/>
    <w:rsid w:val="489C41CE"/>
    <w:rsid w:val="499346FD"/>
    <w:rsid w:val="4A087A9C"/>
    <w:rsid w:val="4A947713"/>
    <w:rsid w:val="4DCC552B"/>
    <w:rsid w:val="4F6479BD"/>
    <w:rsid w:val="4FD76AA7"/>
    <w:rsid w:val="50721A75"/>
    <w:rsid w:val="52034B09"/>
    <w:rsid w:val="521B51C6"/>
    <w:rsid w:val="53AE3F43"/>
    <w:rsid w:val="53B70E64"/>
    <w:rsid w:val="53F647B6"/>
    <w:rsid w:val="54162D25"/>
    <w:rsid w:val="544073E8"/>
    <w:rsid w:val="548F56B2"/>
    <w:rsid w:val="569209EB"/>
    <w:rsid w:val="57B87536"/>
    <w:rsid w:val="58FE0149"/>
    <w:rsid w:val="5C7725B3"/>
    <w:rsid w:val="5E415AA0"/>
    <w:rsid w:val="5F166DFB"/>
    <w:rsid w:val="5FF05648"/>
    <w:rsid w:val="60C86A52"/>
    <w:rsid w:val="61C6224B"/>
    <w:rsid w:val="674C42CA"/>
    <w:rsid w:val="67B848F5"/>
    <w:rsid w:val="6CDC40C2"/>
    <w:rsid w:val="6D1E637A"/>
    <w:rsid w:val="6E1330F7"/>
    <w:rsid w:val="6FBB3F55"/>
    <w:rsid w:val="6FBF0123"/>
    <w:rsid w:val="729B65B6"/>
    <w:rsid w:val="72E638BF"/>
    <w:rsid w:val="730947F1"/>
    <w:rsid w:val="73E23183"/>
    <w:rsid w:val="745E6236"/>
    <w:rsid w:val="758F1466"/>
    <w:rsid w:val="76DB7E3E"/>
    <w:rsid w:val="79DC4789"/>
    <w:rsid w:val="7B2B6AB4"/>
    <w:rsid w:val="7C6F652F"/>
    <w:rsid w:val="7DCC31B2"/>
    <w:rsid w:val="7DED28F8"/>
    <w:rsid w:val="7F2026E3"/>
    <w:rsid w:val="7FA54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6">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semiHidden/>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8"/>
    <w:semiHidden/>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4">
    <w:name w:val="HTML Preformatted"/>
    <w:basedOn w:val="1"/>
    <w:link w:val="10"/>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8">
    <w:name w:val="页眉 Char"/>
    <w:basedOn w:val="6"/>
    <w:link w:val="3"/>
    <w:semiHidden/>
    <w:qFormat/>
    <w:uiPriority w:val="99"/>
    <w:rPr>
      <w:sz w:val="18"/>
      <w:szCs w:val="18"/>
    </w:rPr>
  </w:style>
  <w:style w:type="character" w:customStyle="1" w:styleId="9">
    <w:name w:val="页脚 Char"/>
    <w:basedOn w:val="6"/>
    <w:link w:val="2"/>
    <w:semiHidden/>
    <w:qFormat/>
    <w:uiPriority w:val="99"/>
    <w:rPr>
      <w:sz w:val="18"/>
      <w:szCs w:val="18"/>
    </w:rPr>
  </w:style>
  <w:style w:type="character" w:customStyle="1" w:styleId="10">
    <w:name w:val="HTML 预设格式 Char"/>
    <w:basedOn w:val="6"/>
    <w:link w:val="4"/>
    <w:semiHidden/>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966</Words>
  <Characters>5510</Characters>
  <Lines>45</Lines>
  <Paragraphs>12</Paragraphs>
  <TotalTime>13</TotalTime>
  <ScaleCrop>false</ScaleCrop>
  <LinksUpToDate>false</LinksUpToDate>
  <CharactersWithSpaces>6464</CharactersWithSpaces>
  <Application>WPS Office_10.8.2.6784_F1E327BC-269C-435d-A152-05C5408002CA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2019-09-03T06:52:00Z</dcterms:created>
  <dc:creator>lenovo</dc:creator>
  <cp:lastModifiedBy>施东良</cp:lastModifiedBy>
  <cp:lastPrinted>2012-03-24T09:46:00Z</cp:lastPrinted>
  <dcterms:modified xsi:type="dcterms:W3CDTF">2020-07-11T03:57:04Z</dcterms:modified>
  <cp:revision>172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2052-10.8.2.6784</vt:lpwstr>
  </property>
</Properties>
</file>