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pacing w:line="560" w:lineRule="exact"/>
        <w:jc w:val="center"/>
        <w:textAlignment w:val="auto"/>
        <w:rPr>
          <w:rFonts w:hint="eastAsia" w:ascii="宋体" w:hAnsi="宋体" w:eastAsia="宋体" w:cs="宋体"/>
          <w:color w:val="000000"/>
          <w:spacing w:val="-11"/>
          <w:w w:val="95"/>
          <w:kern w:val="0"/>
          <w:sz w:val="32"/>
          <w:szCs w:val="32"/>
          <w:lang w:val="zh-CN"/>
        </w:rPr>
      </w:pPr>
    </w:p>
    <w:p>
      <w:pPr>
        <w:pStyle w:val="2"/>
        <w:rPr>
          <w:rFonts w:hint="eastAsia"/>
          <w:lang w:val="zh-CN"/>
        </w:rPr>
      </w:pPr>
    </w:p>
    <w:p>
      <w:pPr>
        <w:keepNext w:val="0"/>
        <w:keepLines w:val="0"/>
        <w:pageBreakBefore w:val="0"/>
        <w:widowControl w:val="0"/>
        <w:kinsoku/>
        <w:wordWrap/>
        <w:overflowPunct/>
        <w:topLinePunct w:val="0"/>
        <w:autoSpaceDE w:val="0"/>
        <w:autoSpaceDN w:val="0"/>
        <w:bidi w:val="0"/>
        <w:adjustRightInd w:val="0"/>
        <w:spacing w:line="560" w:lineRule="exact"/>
        <w:jc w:val="center"/>
        <w:textAlignment w:val="auto"/>
        <w:rPr>
          <w:rFonts w:hint="eastAsia"/>
          <w:lang w:val="en-US" w:eastAsia="zh-CN"/>
        </w:rPr>
      </w:pPr>
      <w:r>
        <w:rPr>
          <w:rFonts w:hint="eastAsia" w:ascii="宋体" w:hAnsi="宋体" w:eastAsia="宋体" w:cs="宋体"/>
          <w:color w:val="000000"/>
          <w:spacing w:val="-11"/>
          <w:w w:val="95"/>
          <w:kern w:val="0"/>
          <w:sz w:val="44"/>
          <w:szCs w:val="44"/>
          <w:lang w:val="zh-CN"/>
        </w:rPr>
        <w:t>海西蒙古族藏族自治州促进枸杞产业发展条例</w:t>
      </w:r>
    </w:p>
    <w:p>
      <w:pPr>
        <w:keepNext w:val="0"/>
        <w:keepLines w:val="0"/>
        <w:pageBreakBefore w:val="0"/>
        <w:widowControl w:val="0"/>
        <w:kinsoku/>
        <w:wordWrap/>
        <w:overflowPunct/>
        <w:topLinePunct w:val="0"/>
        <w:autoSpaceDE w:val="0"/>
        <w:autoSpaceDN w:val="0"/>
        <w:bidi w:val="0"/>
        <w:adjustRightInd w:val="0"/>
        <w:snapToGrid/>
        <w:spacing w:line="560" w:lineRule="exact"/>
        <w:ind w:left="624" w:leftChars="200" w:right="624" w:rightChars="200" w:firstLine="0" w:firstLineChars="0"/>
        <w:jc w:val="both"/>
        <w:textAlignment w:val="auto"/>
        <w:outlineLvl w:val="9"/>
        <w:rPr>
          <w:rFonts w:hint="eastAsia" w:ascii="宋体" w:hAnsi="宋体" w:eastAsia="宋体" w:cs="宋体"/>
          <w:b w:val="0"/>
          <w:bCs w:val="0"/>
          <w:color w:val="000000"/>
          <w:spacing w:val="-8"/>
          <w:kern w:val="0"/>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60" w:lineRule="exact"/>
        <w:ind w:left="624" w:leftChars="200" w:right="624" w:rightChars="200" w:firstLine="0" w:firstLineChars="0"/>
        <w:jc w:val="both"/>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楷体_GB2312" w:hAnsi="楷体_GB2312" w:eastAsia="楷体_GB2312" w:cs="楷体_GB2312"/>
          <w:b w:val="0"/>
          <w:bCs w:val="0"/>
          <w:color w:val="000000"/>
          <w:spacing w:val="-8"/>
          <w:kern w:val="0"/>
          <w:sz w:val="32"/>
          <w:szCs w:val="32"/>
          <w:lang w:val="zh-CN"/>
        </w:rPr>
        <w:t>（</w:t>
      </w:r>
      <w:r>
        <w:rPr>
          <w:rFonts w:hint="eastAsia" w:ascii="楷体_GB2312" w:hAnsi="楷体_GB2312" w:eastAsia="楷体_GB2312" w:cs="楷体_GB2312"/>
          <w:b w:val="0"/>
          <w:bCs w:val="0"/>
          <w:color w:val="000000"/>
          <w:sz w:val="32"/>
          <w:szCs w:val="32"/>
          <w:lang w:val="zh-CN" w:eastAsia="zh-CN"/>
        </w:rPr>
        <w:t>2019年2月28日海</w:t>
      </w:r>
      <w:r>
        <w:rPr>
          <w:rFonts w:hint="eastAsia" w:ascii="楷体_GB2312" w:hAnsi="楷体_GB2312" w:eastAsia="楷体_GB2312" w:cs="楷体_GB2312"/>
          <w:b w:val="0"/>
          <w:bCs w:val="0"/>
          <w:color w:val="000000"/>
          <w:spacing w:val="-8"/>
          <w:kern w:val="0"/>
          <w:sz w:val="32"/>
          <w:szCs w:val="32"/>
          <w:lang w:val="zh-CN"/>
        </w:rPr>
        <w:t xml:space="preserve">西蒙古族藏族自治州第十四届人民代表大会第五次会议通过 </w:t>
      </w:r>
      <w:r>
        <w:rPr>
          <w:rFonts w:hint="eastAsia" w:ascii="楷体_GB2312" w:hAnsi="楷体_GB2312" w:eastAsia="楷体_GB2312" w:cs="楷体_GB2312"/>
          <w:b w:val="0"/>
          <w:bCs w:val="0"/>
          <w:color w:val="000000"/>
          <w:sz w:val="32"/>
          <w:szCs w:val="32"/>
          <w:lang w:val="zh-CN" w:eastAsia="zh-CN"/>
        </w:rPr>
        <w:t xml:space="preserve"> 2019年9月</w:t>
      </w:r>
      <w:r>
        <w:rPr>
          <w:rFonts w:hint="eastAsia" w:ascii="楷体_GB2312" w:hAnsi="楷体_GB2312" w:eastAsia="楷体_GB2312" w:cs="楷体_GB2312"/>
          <w:b w:val="0"/>
          <w:bCs w:val="0"/>
          <w:color w:val="000000"/>
          <w:spacing w:val="-8"/>
          <w:kern w:val="0"/>
          <w:sz w:val="32"/>
          <w:szCs w:val="32"/>
          <w:lang w:val="en-US" w:eastAsia="zh-CN"/>
        </w:rPr>
        <w:t>26</w:t>
      </w:r>
      <w:r>
        <w:rPr>
          <w:rFonts w:hint="eastAsia" w:ascii="楷体_GB2312" w:hAnsi="楷体_GB2312" w:eastAsia="楷体_GB2312" w:cs="楷体_GB2312"/>
          <w:b w:val="0"/>
          <w:bCs w:val="0"/>
          <w:color w:val="000000"/>
          <w:spacing w:val="-8"/>
          <w:kern w:val="0"/>
          <w:sz w:val="32"/>
          <w:szCs w:val="32"/>
          <w:lang w:val="zh-CN"/>
        </w:rPr>
        <w:t>日青海省第十三届人民代表大会常务委员会第十二次会议批准）</w:t>
      </w:r>
    </w:p>
    <w:p>
      <w:pPr>
        <w:keepNext w:val="0"/>
        <w:keepLines w:val="0"/>
        <w:pageBreakBefore w:val="0"/>
        <w:widowControl w:val="0"/>
        <w:kinsoku/>
        <w:wordWrap/>
        <w:overflowPunct/>
        <w:topLinePunct w:val="0"/>
        <w:autoSpaceDE w:val="0"/>
        <w:autoSpaceDN w:val="0"/>
        <w:bidi w:val="0"/>
        <w:adjustRightInd w:val="0"/>
        <w:spacing w:line="580" w:lineRule="exact"/>
        <w:ind w:left="-375" w:leftChars="-513" w:right="0" w:rightChars="0" w:hanging="1225" w:hangingChars="414"/>
        <w:jc w:val="center"/>
        <w:textAlignment w:val="auto"/>
        <w:outlineLvl w:val="9"/>
        <w:rPr>
          <w:rFonts w:hint="eastAsia" w:ascii="宋体" w:hAnsi="宋体" w:eastAsia="宋体" w:cs="宋体"/>
          <w:color w:val="000000"/>
          <w:spacing w:val="-8"/>
          <w:kern w:val="0"/>
          <w:sz w:val="32"/>
          <w:szCs w:val="32"/>
          <w:lang w:val="zh-CN"/>
        </w:rPr>
      </w:pPr>
    </w:p>
    <w:p>
      <w:pPr>
        <w:jc w:val="center"/>
        <w:rPr>
          <w:rFonts w:hint="eastAsia" w:ascii="黑体" w:hAnsi="黑体" w:eastAsia="黑体" w:cs="黑体"/>
          <w:lang w:val="zh-CN"/>
        </w:rPr>
      </w:pPr>
      <w:r>
        <w:rPr>
          <w:rFonts w:hint="eastAsia" w:ascii="黑体" w:hAnsi="黑体" w:eastAsia="黑体" w:cs="黑体"/>
          <w:lang w:val="zh-CN"/>
        </w:rPr>
        <w:t>第一章  总则</w:t>
      </w:r>
    </w:p>
    <w:p>
      <w:pPr>
        <w:keepNext w:val="0"/>
        <w:keepLines w:val="0"/>
        <w:pageBreakBefore w:val="0"/>
        <w:widowControl w:val="0"/>
        <w:kinsoku/>
        <w:wordWrap/>
        <w:overflowPunct/>
        <w:topLinePunct w:val="0"/>
        <w:autoSpaceDE w:val="0"/>
        <w:autoSpaceDN w:val="0"/>
        <w:bidi w:val="0"/>
        <w:adjustRightInd w:val="0"/>
        <w:spacing w:line="580" w:lineRule="exact"/>
        <w:ind w:right="0" w:rightChars="0"/>
        <w:textAlignment w:val="auto"/>
        <w:outlineLvl w:val="9"/>
        <w:rPr>
          <w:rFonts w:hint="eastAsia" w:ascii="宋体" w:hAnsi="宋体" w:eastAsia="宋体" w:cs="宋体"/>
          <w:color w:val="000000"/>
          <w:spacing w:val="-8"/>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asci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第一条</w:t>
      </w:r>
      <w:r>
        <w:rPr>
          <w:rFonts w:ascii="仿宋_GB2312" w:eastAsia="仿宋_GB2312" w:cs="仿宋_GB2312"/>
          <w:color w:val="000000"/>
          <w:spacing w:val="-8"/>
          <w:kern w:val="0"/>
          <w:sz w:val="32"/>
          <w:szCs w:val="32"/>
          <w:lang w:val="zh-CN"/>
        </w:rPr>
        <w:t xml:space="preserve">  </w:t>
      </w:r>
      <w:r>
        <w:rPr>
          <w:rFonts w:hint="eastAsia" w:ascii="仿宋_GB2312" w:eastAsia="仿宋_GB2312" w:cs="仿宋_GB2312"/>
          <w:color w:val="000000"/>
          <w:spacing w:val="-8"/>
          <w:kern w:val="0"/>
          <w:sz w:val="32"/>
          <w:szCs w:val="32"/>
          <w:lang w:val="zh-CN"/>
        </w:rPr>
        <w:t>为促进枸杞产业高质量发展，根据《中华人民共和国农产品质量安全法》《中华人民共和国种子法》《中华人民共和国食品安全法》等法律法规，结合本州实际，制定本条例。</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asci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第二条</w:t>
      </w:r>
      <w:r>
        <w:rPr>
          <w:rFonts w:ascii="仿宋_GB2312" w:eastAsia="仿宋_GB2312" w:cs="仿宋_GB2312"/>
          <w:color w:val="000000"/>
          <w:spacing w:val="-8"/>
          <w:kern w:val="0"/>
          <w:sz w:val="32"/>
          <w:szCs w:val="32"/>
          <w:lang w:val="zh-CN"/>
        </w:rPr>
        <w:t xml:space="preserve">  </w:t>
      </w:r>
      <w:r>
        <w:rPr>
          <w:rFonts w:hint="eastAsia" w:ascii="仿宋_GB2312" w:eastAsia="仿宋_GB2312" w:cs="仿宋_GB2312"/>
          <w:color w:val="000000"/>
          <w:spacing w:val="-8"/>
          <w:kern w:val="0"/>
          <w:sz w:val="32"/>
          <w:szCs w:val="32"/>
          <w:lang w:val="zh-CN"/>
        </w:rPr>
        <w:t>在本州行政区域内从事枸杞种植、加工、经营以及为枸杞产业提供服务和管理等活动，适用本条例。</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asci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第三条</w:t>
      </w:r>
      <w:r>
        <w:rPr>
          <w:rFonts w:ascii="仿宋_GB2312" w:eastAsia="仿宋_GB2312" w:cs="仿宋_GB2312"/>
          <w:color w:val="000000"/>
          <w:spacing w:val="-8"/>
          <w:kern w:val="0"/>
          <w:sz w:val="32"/>
          <w:szCs w:val="32"/>
          <w:lang w:val="zh-CN"/>
        </w:rPr>
        <w:t xml:space="preserve">  </w:t>
      </w:r>
      <w:r>
        <w:rPr>
          <w:rFonts w:hint="eastAsia" w:ascii="仿宋_GB2312" w:eastAsia="仿宋_GB2312" w:cs="仿宋_GB2312"/>
          <w:color w:val="000000"/>
          <w:spacing w:val="-8"/>
          <w:kern w:val="0"/>
          <w:sz w:val="32"/>
          <w:szCs w:val="32"/>
          <w:lang w:val="zh-CN"/>
        </w:rPr>
        <w:t>枸杞产业发展应当坚持生态保护、规范发展、绿色高效、质量监管、品牌引领的原则，增强核心竞争力，实现经济效益、社会效益和生态效益的统一。</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第四条</w:t>
      </w:r>
      <w:r>
        <w:rPr>
          <w:rFonts w:ascii="仿宋_GB2312" w:eastAsia="仿宋_GB2312" w:cs="仿宋_GB2312"/>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州人民政府和枸杞产区的市（县）人民政府、行委应当将促进枸杞产业发展纳入国民经济和社会发展总体规划，建立促进枸杞产业发展和示范带动机制。</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州人民政府和枸杞产区的市（县）人民政府、行委农牧主管部门负责本行政区域内枸杞产业的监督、管理和服务工作，林业主管部门配合做好相关工作。</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州人民政府和枸杞产区的市（县）人民政府、行委相关部门按照职责分工负责枸杞产业的管理和服务工作。</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乡（镇）人民政府负责本行政区域内枸杞产业发展的相关工作。</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第五条</w:t>
      </w:r>
      <w:r>
        <w:rPr>
          <w:rFonts w:hint="eastAsia" w:ascii="仿宋_GB2312" w:hAnsi="仿宋_GB2312" w:eastAsia="仿宋_GB2312" w:cs="仿宋_GB2312"/>
          <w:color w:val="000000"/>
          <w:spacing w:val="-8"/>
          <w:kern w:val="0"/>
          <w:sz w:val="32"/>
          <w:szCs w:val="32"/>
          <w:lang w:val="zh-CN"/>
        </w:rPr>
        <w:t xml:space="preserve"> </w:t>
      </w:r>
      <w:r>
        <w:rPr>
          <w:rFonts w:hint="eastAsia" w:ascii="仿宋_GB2312" w:hAnsi="仿宋_GB2312" w:cs="仿宋_GB2312"/>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lang w:val="zh-CN"/>
        </w:rPr>
        <w:t>枸杞产业行业协会应当</w:t>
      </w:r>
      <w:r>
        <w:rPr>
          <w:rFonts w:hint="eastAsia" w:ascii="仿宋_GB2312" w:hAnsi="仿宋_GB2312" w:eastAsia="仿宋_GB2312" w:cs="仿宋_GB2312"/>
          <w:color w:val="000000"/>
          <w:kern w:val="0"/>
          <w:sz w:val="32"/>
          <w:szCs w:val="32"/>
          <w:lang w:val="zh-CN"/>
        </w:rPr>
        <w:t>加强行业自律，积极</w:t>
      </w:r>
      <w:r>
        <w:rPr>
          <w:rFonts w:hint="eastAsia" w:ascii="仿宋_GB2312" w:hAnsi="仿宋_GB2312" w:eastAsia="仿宋_GB2312" w:cs="仿宋_GB2312"/>
          <w:color w:val="000000"/>
          <w:spacing w:val="-8"/>
          <w:kern w:val="0"/>
          <w:sz w:val="32"/>
          <w:szCs w:val="32"/>
          <w:lang w:val="zh-CN"/>
        </w:rPr>
        <w:t>发挥管理、协调作用，依法依规为枸杞生产经营者提供服务。</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jc w:val="center"/>
        <w:textAlignment w:val="auto"/>
        <w:outlineLvl w:val="9"/>
        <w:rPr>
          <w:rFonts w:hint="eastAsia" w:ascii="黑体" w:hAnsi="黑体" w:eastAsia="黑体" w:cs="仿宋_GB2312"/>
          <w:color w:val="000000"/>
          <w:spacing w:val="-8"/>
          <w:kern w:val="0"/>
          <w:sz w:val="32"/>
          <w:szCs w:val="32"/>
          <w:lang w:val="zh-CN"/>
        </w:rPr>
      </w:pPr>
    </w:p>
    <w:p>
      <w:pPr>
        <w:jc w:val="center"/>
        <w:rPr>
          <w:rFonts w:hint="eastAsia" w:ascii="黑体" w:hAnsi="黑体" w:eastAsia="黑体" w:cs="黑体"/>
          <w:lang w:val="zh-CN"/>
        </w:rPr>
      </w:pPr>
      <w:r>
        <w:rPr>
          <w:rFonts w:hint="eastAsia" w:ascii="黑体" w:hAnsi="黑体" w:eastAsia="黑体" w:cs="黑体"/>
          <w:lang w:val="zh-CN"/>
        </w:rPr>
        <w:t>第二章  规划与扶持</w:t>
      </w:r>
    </w:p>
    <w:p>
      <w:pPr>
        <w:keepNext w:val="0"/>
        <w:keepLines w:val="0"/>
        <w:pageBreakBefore w:val="0"/>
        <w:widowControl w:val="0"/>
        <w:kinsoku/>
        <w:wordWrap/>
        <w:overflowPunct/>
        <w:topLinePunct w:val="0"/>
        <w:autoSpaceDE w:val="0"/>
        <w:autoSpaceDN w:val="0"/>
        <w:bidi w:val="0"/>
        <w:adjustRightInd w:val="0"/>
        <w:spacing w:line="580" w:lineRule="exact"/>
        <w:ind w:right="0" w:rightChars="0"/>
        <w:textAlignment w:val="auto"/>
        <w:outlineLvl w:val="9"/>
        <w:rPr>
          <w:rFonts w:hint="eastAsia" w:ascii="仿宋_GB2312" w:eastAsia="仿宋_GB2312" w:cs="仿宋_GB2312"/>
          <w:color w:val="000000"/>
          <w:spacing w:val="-8"/>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592" w:firstLineChars="200"/>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color w:val="000000"/>
          <w:spacing w:val="-8"/>
          <w:kern w:val="0"/>
          <w:sz w:val="32"/>
          <w:szCs w:val="32"/>
          <w:lang w:val="zh-CN"/>
        </w:rPr>
        <w:t>第六条</w:t>
      </w:r>
      <w:r>
        <w:rPr>
          <w:rFonts w:hint="eastAsia" w:ascii="仿宋_GB2312" w:hAnsi="仿宋_GB2312" w:eastAsia="仿宋_GB2312" w:cs="仿宋_GB2312"/>
          <w:b/>
          <w:color w:val="000000"/>
          <w:spacing w:val="-8"/>
          <w:kern w:val="0"/>
          <w:sz w:val="32"/>
          <w:szCs w:val="32"/>
          <w:lang w:val="zh-CN"/>
        </w:rPr>
        <w:t xml:space="preserve"> </w:t>
      </w:r>
      <w:r>
        <w:rPr>
          <w:rFonts w:hint="eastAsia" w:ascii="仿宋_GB2312" w:hAnsi="仿宋_GB2312" w:cs="仿宋_GB2312"/>
          <w:b/>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lang w:val="zh-CN"/>
        </w:rPr>
        <w:t>州人民政府应当制定全州枸杞种植区域与规模、产业结构与布局、市场规划与建设的枸杞产业发展总体规划。</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枸杞产区的市（县）人民政府、行委根据全州枸杞产业发展总体规划，制定本地区枸杞产业发展规划，并组织实施。</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枸杞产业发展规划应当与区域空间发展战略规划、土地利用总体规划、生态环境保护规划等相适应。</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第七条</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州人民政府和枸杞产区的市（县）人民政府、行委应当制定促进枸杞产业发展政策，通过财政支持和金融、科技、人才扶持，加强种植基地和产业园区基础设施建设，推动种质资源保护、新品种选育、良种推广、科技创新、生态环境保护、质量监管、品牌建设等工作，促进枸杞产业良性循环发展。</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第八条</w:t>
      </w:r>
      <w:r>
        <w:rPr>
          <w:rFonts w:hint="eastAsia" w:ascii="仿宋_GB2312" w:hAnsi="仿宋_GB2312" w:eastAsia="仿宋_GB2312" w:cs="仿宋_GB2312"/>
          <w:color w:val="000000"/>
          <w:spacing w:val="-8"/>
          <w:kern w:val="0"/>
          <w:sz w:val="32"/>
          <w:szCs w:val="32"/>
          <w:lang w:val="zh-CN"/>
        </w:rPr>
        <w:t xml:space="preserve">  州人民政府和枸杞产区的市（县）人民政府、行委应当建立枸杞产业发展资金多元化投入机制。鼓励和支持金融机构开发适合促进枸杞产业发展的金融产品、服务项目和专业信贷担保；鼓励和支持创建枸杞产业发展融资平台，引导枸杞生产加工企业以物权、知识产权和股权抵押、出让等方式融资，促进产业发展</w:t>
      </w:r>
      <w:r>
        <w:rPr>
          <w:rFonts w:hint="eastAsia" w:ascii="仿宋_GB2312" w:hAnsi="仿宋_GB2312" w:eastAsia="仿宋_GB2312" w:cs="仿宋_GB2312"/>
          <w:color w:val="000000"/>
          <w:spacing w:val="-8"/>
          <w:kern w:val="0"/>
          <w:sz w:val="32"/>
          <w:szCs w:val="32"/>
          <w:highlight w:val="none"/>
          <w:lang w:val="zh-CN"/>
        </w:rPr>
        <w:t>；鼓励和支持国外、省外企业投资枸杞产业。</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lang w:val="en-US" w:eastAsia="zh-CN"/>
        </w:rPr>
      </w:pPr>
      <w:r>
        <w:rPr>
          <w:rFonts w:hint="eastAsia" w:ascii="黑体" w:hAnsi="黑体" w:eastAsia="黑体" w:cs="黑体"/>
          <w:b w:val="0"/>
          <w:bCs w:val="0"/>
          <w:color w:val="000000"/>
          <w:spacing w:val="-8"/>
          <w:kern w:val="0"/>
          <w:sz w:val="32"/>
          <w:szCs w:val="32"/>
          <w:lang w:val="zh-CN"/>
        </w:rPr>
        <w:t>第</w:t>
      </w:r>
      <w:r>
        <w:rPr>
          <w:rFonts w:hint="eastAsia" w:ascii="黑体" w:hAnsi="黑体" w:eastAsia="黑体" w:cs="黑体"/>
          <w:b w:val="0"/>
          <w:bCs w:val="0"/>
          <w:color w:val="000000"/>
          <w:spacing w:val="-8"/>
          <w:kern w:val="0"/>
          <w:sz w:val="32"/>
          <w:szCs w:val="32"/>
          <w:highlight w:val="none"/>
          <w:lang w:val="zh-CN"/>
        </w:rPr>
        <w:t>九</w:t>
      </w:r>
      <w:r>
        <w:rPr>
          <w:rFonts w:hint="eastAsia" w:ascii="黑体" w:hAnsi="黑体" w:eastAsia="黑体" w:cs="黑体"/>
          <w:b w:val="0"/>
          <w:bCs w:val="0"/>
          <w:color w:val="000000"/>
          <w:spacing w:val="-8"/>
          <w:kern w:val="0"/>
          <w:sz w:val="32"/>
          <w:szCs w:val="32"/>
          <w:lang w:val="zh-CN"/>
        </w:rPr>
        <w:t>条</w:t>
      </w:r>
      <w:r>
        <w:rPr>
          <w:rFonts w:hint="eastAsia" w:ascii="仿宋_GB2312" w:hAnsi="仿宋_GB2312" w:eastAsia="仿宋_GB2312" w:cs="仿宋_GB2312"/>
          <w:color w:val="000000"/>
          <w:spacing w:val="-8"/>
          <w:kern w:val="0"/>
          <w:sz w:val="32"/>
          <w:szCs w:val="32"/>
          <w:lang w:val="zh-CN"/>
        </w:rPr>
        <w:t xml:space="preserve">  州人民政府和枸杞产区的市（县）人民政府、行委应当建立和完善枸杞市场风险防范机制，加强风险预测和风险提示</w:t>
      </w:r>
      <w:r>
        <w:rPr>
          <w:rFonts w:hint="eastAsia" w:ascii="仿宋_GB2312" w:hAnsi="仿宋_GB2312" w:eastAsia="仿宋_GB2312" w:cs="仿宋_GB2312"/>
          <w:color w:val="000000"/>
          <w:spacing w:val="-8"/>
          <w:kern w:val="0"/>
          <w:sz w:val="32"/>
          <w:szCs w:val="32"/>
          <w:highlight w:val="none"/>
          <w:lang w:val="zh-CN"/>
        </w:rPr>
        <w:t>，</w:t>
      </w:r>
      <w:r>
        <w:rPr>
          <w:rFonts w:hint="eastAsia" w:ascii="仿宋_GB2312" w:hAnsi="仿宋_GB2312" w:eastAsia="仿宋_GB2312" w:cs="仿宋_GB2312"/>
          <w:color w:val="000000"/>
          <w:spacing w:val="-8"/>
          <w:kern w:val="0"/>
          <w:sz w:val="32"/>
          <w:szCs w:val="32"/>
          <w:lang w:val="zh-CN"/>
        </w:rPr>
        <w:t>鼓励和支持枸杞种植经营主体参加政策性农业保险。</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592" w:firstLineChars="200"/>
        <w:textAlignment w:val="auto"/>
        <w:outlineLvl w:val="9"/>
        <w:rPr>
          <w:rFonts w:hint="eastAsia" w:ascii="仿宋_GB2312" w:hAnsi="仿宋_GB2312" w:eastAsia="仿宋_GB2312" w:cs="仿宋_GB2312"/>
          <w:color w:val="000000"/>
          <w:spacing w:val="-8"/>
          <w:kern w:val="0"/>
          <w:sz w:val="28"/>
          <w:szCs w:val="28"/>
          <w:highlight w:val="none"/>
          <w:lang w:val="zh-CN"/>
        </w:rPr>
      </w:pPr>
      <w:r>
        <w:rPr>
          <w:rFonts w:hint="eastAsia" w:ascii="黑体" w:hAnsi="黑体" w:eastAsia="黑体" w:cs="黑体"/>
          <w:b w:val="0"/>
          <w:bCs w:val="0"/>
          <w:color w:val="000000"/>
          <w:spacing w:val="-8"/>
          <w:kern w:val="0"/>
          <w:sz w:val="32"/>
          <w:szCs w:val="32"/>
          <w:highlight w:val="none"/>
          <w:lang w:val="zh-CN"/>
        </w:rPr>
        <w:t>第十条</w:t>
      </w:r>
      <w:r>
        <w:rPr>
          <w:rFonts w:hint="eastAsia" w:ascii="仿宋_GB2312" w:hAnsi="仿宋_GB2312" w:eastAsia="仿宋_GB2312" w:cs="仿宋_GB2312"/>
          <w:color w:val="000000"/>
          <w:spacing w:val="-8"/>
          <w:kern w:val="0"/>
          <w:sz w:val="32"/>
          <w:szCs w:val="32"/>
          <w:highlight w:val="none"/>
          <w:lang w:val="zh-CN"/>
        </w:rPr>
        <w:t xml:space="preserve">  州人民政府应当推进枸杞企业信用制度建设，促进枸杞生产经营企业信用信息查询、交流和共享，建立企业信用评价体系和失信惩戒机制。</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第十</w:t>
      </w:r>
      <w:r>
        <w:rPr>
          <w:rFonts w:hint="eastAsia" w:ascii="黑体" w:hAnsi="黑体" w:eastAsia="黑体" w:cs="黑体"/>
          <w:b w:val="0"/>
          <w:bCs w:val="0"/>
          <w:color w:val="000000"/>
          <w:spacing w:val="-8"/>
          <w:kern w:val="0"/>
          <w:sz w:val="32"/>
          <w:szCs w:val="32"/>
          <w:highlight w:val="none"/>
          <w:lang w:val="zh-CN"/>
        </w:rPr>
        <w:t>一</w:t>
      </w:r>
      <w:r>
        <w:rPr>
          <w:rFonts w:hint="eastAsia" w:ascii="黑体" w:hAnsi="黑体" w:eastAsia="黑体" w:cs="黑体"/>
          <w:b w:val="0"/>
          <w:bCs w:val="0"/>
          <w:color w:val="000000"/>
          <w:spacing w:val="-8"/>
          <w:kern w:val="0"/>
          <w:sz w:val="32"/>
          <w:szCs w:val="32"/>
          <w:lang w:val="zh-CN"/>
        </w:rPr>
        <w:t>条</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州人民政府和枸杞产区的市（县）人民政府、行委农牧主管部门应当会同教育、人社等部门加强枸杞产业专业人才和经纪人队伍建设，引进和培养种植、加工、研发、质检等专业技术人才和劳务、市场等经纪人。</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第十</w:t>
      </w:r>
      <w:r>
        <w:rPr>
          <w:rFonts w:hint="eastAsia" w:ascii="黑体" w:hAnsi="黑体" w:eastAsia="黑体" w:cs="黑体"/>
          <w:b w:val="0"/>
          <w:bCs w:val="0"/>
          <w:color w:val="000000"/>
          <w:spacing w:val="-8"/>
          <w:kern w:val="0"/>
          <w:sz w:val="32"/>
          <w:szCs w:val="32"/>
          <w:highlight w:val="none"/>
          <w:lang w:val="zh-CN"/>
        </w:rPr>
        <w:t>二</w:t>
      </w:r>
      <w:r>
        <w:rPr>
          <w:rFonts w:hint="eastAsia" w:ascii="黑体" w:hAnsi="黑体" w:eastAsia="黑体" w:cs="黑体"/>
          <w:b w:val="0"/>
          <w:bCs w:val="0"/>
          <w:color w:val="000000"/>
          <w:spacing w:val="-8"/>
          <w:kern w:val="0"/>
          <w:sz w:val="32"/>
          <w:szCs w:val="32"/>
          <w:lang w:val="zh-CN"/>
        </w:rPr>
        <w:t>条</w:t>
      </w:r>
      <w:r>
        <w:rPr>
          <w:rFonts w:hint="eastAsia" w:ascii="仿宋_GB2312" w:hAnsi="仿宋_GB2312" w:eastAsia="仿宋_GB2312" w:cs="仿宋_GB2312"/>
          <w:color w:val="000000"/>
          <w:spacing w:val="-8"/>
          <w:kern w:val="0"/>
          <w:sz w:val="32"/>
          <w:szCs w:val="32"/>
          <w:lang w:val="zh-CN"/>
        </w:rPr>
        <w:t xml:space="preserve">  州人民政府应当根据产业发展需要，建设专业市场、贸易集散中心和电子交易平台。枸杞产区的市（县）人民政府、行委应当结合本地实际，建设枸杞交易市场，完善仓储、运输、质量检测和信息管理等配套服务，建立严格的市场监管机制。</w:t>
      </w:r>
    </w:p>
    <w:p>
      <w:pPr>
        <w:pStyle w:val="2"/>
        <w:keepNext w:val="0"/>
        <w:keepLines w:val="0"/>
        <w:pageBreakBefore w:val="0"/>
        <w:widowControl w:val="0"/>
        <w:kinsoku/>
        <w:wordWrap/>
        <w:overflowPunct/>
        <w:topLinePunct w:val="0"/>
        <w:bidi w:val="0"/>
        <w:spacing w:line="580" w:lineRule="exact"/>
        <w:ind w:right="0" w:rightChars="0" w:firstLine="624" w:firstLineChars="200"/>
        <w:textAlignment w:val="auto"/>
        <w:outlineLvl w:val="9"/>
        <w:rPr>
          <w:rFonts w:hint="eastAsia"/>
          <w:lang w:val="zh-CN"/>
        </w:rPr>
      </w:pPr>
      <w:r>
        <w:rPr>
          <w:rFonts w:hint="eastAsia" w:ascii="仿宋_GB2312" w:hAnsi="宋体" w:eastAsia="仿宋_GB2312" w:cs="宋体"/>
          <w:color w:val="000000"/>
          <w:kern w:val="0"/>
          <w:sz w:val="32"/>
          <w:szCs w:val="32"/>
          <w:lang w:val="en-US" w:eastAsia="zh-CN"/>
        </w:rPr>
        <w:t>鼓励和支持枸杞生产经营企业和个人利用互联网、电商等现代信息化</w:t>
      </w:r>
      <w:r>
        <w:rPr>
          <w:rFonts w:hint="eastAsia" w:ascii="仿宋_GB2312" w:hAnsi="宋体" w:cs="宋体"/>
          <w:color w:val="000000"/>
          <w:kern w:val="0"/>
          <w:sz w:val="32"/>
          <w:szCs w:val="32"/>
          <w:lang w:val="en-US" w:eastAsia="zh-CN"/>
        </w:rPr>
        <w:t>技术</w:t>
      </w:r>
      <w:r>
        <w:rPr>
          <w:rFonts w:hint="eastAsia" w:ascii="仿宋_GB2312" w:hAnsi="宋体" w:eastAsia="仿宋_GB2312" w:cs="宋体"/>
          <w:color w:val="000000"/>
          <w:kern w:val="0"/>
          <w:sz w:val="32"/>
          <w:szCs w:val="32"/>
          <w:lang w:val="en-US" w:eastAsia="zh-CN"/>
        </w:rPr>
        <w:t>开拓国内外市场。</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黑体" w:hAnsi="黑体" w:eastAsia="黑体" w:cs="黑体"/>
          <w:b w:val="0"/>
          <w:bCs w:val="0"/>
          <w:color w:val="000000"/>
          <w:spacing w:val="-8"/>
          <w:kern w:val="0"/>
          <w:sz w:val="32"/>
          <w:szCs w:val="32"/>
          <w:highlight w:val="none"/>
          <w:lang w:val="zh-CN"/>
        </w:rPr>
        <w:t>第十三条</w:t>
      </w:r>
      <w:r>
        <w:rPr>
          <w:rFonts w:hint="eastAsia" w:ascii="仿宋_GB2312" w:hAnsi="仿宋_GB2312" w:cs="仿宋_GB2312"/>
          <w:b/>
          <w:bCs/>
          <w:color w:val="000000"/>
          <w:spacing w:val="-8"/>
          <w:kern w:val="0"/>
          <w:sz w:val="32"/>
          <w:szCs w:val="32"/>
          <w:highlight w:val="none"/>
          <w:lang w:val="en-US" w:eastAsia="zh-CN"/>
        </w:rPr>
        <w:t xml:space="preserve"> </w:t>
      </w:r>
      <w:r>
        <w:rPr>
          <w:rFonts w:hint="eastAsia" w:ascii="仿宋_GB2312" w:hAnsi="仿宋_GB2312" w:eastAsia="仿宋_GB2312" w:cs="仿宋_GB2312"/>
          <w:b/>
          <w:bCs/>
          <w:color w:val="000000"/>
          <w:spacing w:val="-8"/>
          <w:kern w:val="0"/>
          <w:sz w:val="32"/>
          <w:szCs w:val="32"/>
          <w:highlight w:val="none"/>
          <w:lang w:val="zh-CN"/>
        </w:rPr>
        <w:t xml:space="preserve"> </w:t>
      </w:r>
      <w:r>
        <w:rPr>
          <w:rFonts w:hint="eastAsia" w:ascii="仿宋_GB2312" w:hAnsi="仿宋_GB2312" w:eastAsia="仿宋_GB2312" w:cs="仿宋_GB2312"/>
          <w:color w:val="000000"/>
          <w:spacing w:val="-8"/>
          <w:kern w:val="0"/>
          <w:sz w:val="32"/>
          <w:szCs w:val="32"/>
          <w:highlight w:val="none"/>
          <w:lang w:val="zh-CN"/>
        </w:rPr>
        <w:t>州</w:t>
      </w:r>
      <w:r>
        <w:rPr>
          <w:rFonts w:hint="eastAsia" w:ascii="仿宋_GB2312" w:hAnsi="仿宋_GB2312" w:eastAsia="仿宋_GB2312" w:cs="仿宋_GB2312"/>
          <w:color w:val="000000"/>
          <w:spacing w:val="-8"/>
          <w:kern w:val="0"/>
          <w:sz w:val="32"/>
          <w:szCs w:val="32"/>
          <w:lang w:val="zh-CN"/>
        </w:rPr>
        <w:t>人民政府</w:t>
      </w:r>
      <w:r>
        <w:rPr>
          <w:rFonts w:hint="eastAsia" w:ascii="仿宋_GB2312" w:hAnsi="仿宋_GB2312" w:eastAsia="仿宋_GB2312" w:cs="仿宋_GB2312"/>
          <w:color w:val="000000"/>
          <w:spacing w:val="-8"/>
          <w:kern w:val="0"/>
          <w:sz w:val="32"/>
          <w:szCs w:val="32"/>
          <w:highlight w:val="none"/>
          <w:lang w:val="zh-CN"/>
        </w:rPr>
        <w:t>和枸杞产区的市（县）人民政府、行委应当鼓励和支持：</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（一）科研机构、院校、企业和个人开展枸杞及其产品质量安全科学技术研究，研发枸杞新产品、新技术；</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（二）推广应用枸杞及其产品标准化生产、高效节水、先进机械装备和质量安全管理等现代农业技术；</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jc w:val="left"/>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（三）开办生产生鲜果品、食品饮料、生物制药、养生保健、化妆制品等枸杞精深加工企业；</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（四）参与食品餐饮、医疗保健、休闲康养、美容养生、观光旅游和民俗文化等相结合的枸杞产品销售市场建设；</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（五）发展枸杞产业文化，保护枸杞传统加工工艺，挖掘、整理、传播枸杞文化，推动枸杞文化与枸杞产业融合发展；</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（六）大力发展有机枸杞，扩大有机枸杞种植规模，推广柴达木枸杞系列品种，申报有机枸杞标准化基地认定和产品认证；</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444" w:firstLineChars="150"/>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（七）鼓励枸杞企业、合作社、种植大户通过联合、兼并、重组、股份制改造等方式增强综合实力，实现规模化生产、集约化经营、产业化发展。</w:t>
      </w:r>
    </w:p>
    <w:p>
      <w:pPr>
        <w:pStyle w:val="4"/>
        <w:keepNext w:val="0"/>
        <w:keepLines w:val="0"/>
        <w:pageBreakBefore w:val="0"/>
        <w:widowControl w:val="0"/>
        <w:kinsoku/>
        <w:wordWrap/>
        <w:overflowPunct/>
        <w:topLinePunct w:val="0"/>
        <w:bidi w:val="0"/>
        <w:spacing w:line="580" w:lineRule="exact"/>
        <w:ind w:right="0" w:rightChars="0"/>
        <w:textAlignment w:val="auto"/>
        <w:outlineLvl w:val="9"/>
        <w:rPr>
          <w:rFonts w:hint="eastAsia"/>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jc w:val="center"/>
        <w:textAlignment w:val="auto"/>
        <w:outlineLvl w:val="9"/>
        <w:rPr>
          <w:rFonts w:ascii="黑体" w:eastAsia="黑体" w:cs="黑体"/>
          <w:color w:val="000000"/>
          <w:spacing w:val="-8"/>
          <w:kern w:val="0"/>
          <w:sz w:val="32"/>
          <w:szCs w:val="32"/>
          <w:lang w:val="zh-CN"/>
        </w:rPr>
      </w:pPr>
      <w:r>
        <w:rPr>
          <w:rFonts w:hint="eastAsia" w:ascii="黑体" w:hAnsi="黑体" w:eastAsia="黑体" w:cs="仿宋_GB2312"/>
          <w:color w:val="000000"/>
          <w:spacing w:val="-8"/>
          <w:kern w:val="0"/>
          <w:sz w:val="32"/>
          <w:szCs w:val="32"/>
          <w:lang w:val="zh-CN"/>
        </w:rPr>
        <w:t xml:space="preserve">第三章  </w:t>
      </w:r>
      <w:r>
        <w:rPr>
          <w:rFonts w:hint="eastAsia" w:ascii="黑体" w:eastAsia="黑体" w:cs="黑体"/>
          <w:color w:val="000000"/>
          <w:spacing w:val="-8"/>
          <w:kern w:val="0"/>
          <w:sz w:val="32"/>
          <w:szCs w:val="32"/>
          <w:lang w:val="zh-CN"/>
        </w:rPr>
        <w:t>产地保护</w:t>
      </w:r>
    </w:p>
    <w:p>
      <w:pPr>
        <w:pStyle w:val="4"/>
        <w:keepNext w:val="0"/>
        <w:keepLines w:val="0"/>
        <w:pageBreakBefore w:val="0"/>
        <w:widowControl w:val="0"/>
        <w:numPr>
          <w:ilvl w:val="0"/>
          <w:numId w:val="0"/>
        </w:numPr>
        <w:kinsoku/>
        <w:wordWrap/>
        <w:overflowPunct/>
        <w:topLinePunct w:val="0"/>
        <w:bidi w:val="0"/>
        <w:spacing w:line="580" w:lineRule="exact"/>
        <w:ind w:right="0" w:rightChars="0" w:firstLine="592" w:firstLineChars="200"/>
        <w:textAlignment w:val="auto"/>
        <w:outlineLvl w:val="9"/>
        <w:rPr>
          <w:rFonts w:hint="eastAsia" w:ascii="仿宋_GB2312" w:hAnsi="仿宋_GB2312" w:eastAsia="仿宋_GB2312" w:cs="仿宋_GB2312"/>
          <w:color w:val="000000"/>
          <w:lang w:val="en-US" w:eastAsia="zh-CN"/>
        </w:rPr>
      </w:pPr>
      <w:r>
        <w:rPr>
          <w:rFonts w:hint="eastAsia" w:ascii="黑体" w:hAnsi="黑体" w:eastAsia="黑体" w:cs="黑体"/>
          <w:b w:val="0"/>
          <w:bCs w:val="0"/>
          <w:color w:val="000000"/>
          <w:spacing w:val="-8"/>
          <w:kern w:val="0"/>
          <w:sz w:val="32"/>
          <w:szCs w:val="32"/>
          <w:lang w:val="zh-CN"/>
        </w:rPr>
        <w:t>第十四条</w:t>
      </w:r>
      <w:r>
        <w:rPr>
          <w:rFonts w:hint="eastAsia" w:ascii="仿宋_GB2312" w:hAnsi="仿宋_GB2312" w:eastAsia="仿宋_GB2312" w:cs="仿宋_GB2312"/>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lang w:val="zh-CN"/>
        </w:rPr>
        <w:t>州人民政府或枸杞产区的市（县）人民政府、行委可以在枸杞种植集中的区域划定保护范围，</w:t>
      </w:r>
      <w:r>
        <w:rPr>
          <w:rFonts w:hint="eastAsia" w:ascii="仿宋_GB2312" w:hAnsi="仿宋_GB2312" w:eastAsia="仿宋_GB2312" w:cs="仿宋_GB2312"/>
          <w:color w:val="000000"/>
          <w:spacing w:val="-8"/>
          <w:kern w:val="0"/>
          <w:sz w:val="32"/>
          <w:szCs w:val="32"/>
          <w:lang w:val="zh-CN" w:eastAsia="zh-CN"/>
        </w:rPr>
        <w:t>实行产地保护</w:t>
      </w:r>
      <w:r>
        <w:rPr>
          <w:rFonts w:hint="eastAsia" w:ascii="仿宋_GB2312" w:hAnsi="仿宋_GB2312" w:eastAsia="仿宋_GB2312" w:cs="仿宋_GB2312"/>
          <w:color w:val="000000"/>
          <w:spacing w:val="-8"/>
          <w:kern w:val="0"/>
          <w:sz w:val="32"/>
          <w:szCs w:val="32"/>
          <w:lang w:val="zh-CN"/>
        </w:rPr>
        <w:t>。产地</w:t>
      </w:r>
      <w:r>
        <w:rPr>
          <w:rFonts w:hint="eastAsia" w:ascii="仿宋_GB2312" w:hAnsi="仿宋_GB2312" w:eastAsia="仿宋_GB2312" w:cs="仿宋_GB2312"/>
          <w:color w:val="000000"/>
          <w:spacing w:val="-8"/>
          <w:kern w:val="0"/>
          <w:sz w:val="32"/>
          <w:szCs w:val="32"/>
          <w:highlight w:val="none"/>
          <w:lang w:val="zh-CN"/>
        </w:rPr>
        <w:t>的</w:t>
      </w:r>
      <w:r>
        <w:rPr>
          <w:rFonts w:hint="eastAsia" w:ascii="仿宋_GB2312" w:hAnsi="仿宋_GB2312" w:eastAsia="仿宋_GB2312" w:cs="仿宋_GB2312"/>
          <w:color w:val="000000"/>
          <w:spacing w:val="-8"/>
          <w:kern w:val="0"/>
          <w:sz w:val="32"/>
          <w:szCs w:val="32"/>
          <w:lang w:val="zh-CN"/>
        </w:rPr>
        <w:t>土壤、水源和大气等环境</w:t>
      </w:r>
      <w:r>
        <w:rPr>
          <w:rFonts w:hint="eastAsia" w:ascii="仿宋_GB2312" w:hAnsi="仿宋_GB2312" w:eastAsia="仿宋_GB2312" w:cs="仿宋_GB2312"/>
          <w:color w:val="000000"/>
          <w:spacing w:val="-8"/>
          <w:kern w:val="0"/>
          <w:sz w:val="32"/>
          <w:szCs w:val="32"/>
          <w:highlight w:val="none"/>
          <w:lang w:val="zh-CN"/>
        </w:rPr>
        <w:t>应当符合种植要求</w:t>
      </w:r>
      <w:r>
        <w:rPr>
          <w:rFonts w:hint="eastAsia" w:ascii="仿宋_GB2312" w:hAnsi="仿宋_GB2312" w:eastAsia="仿宋_GB2312" w:cs="仿宋_GB2312"/>
          <w:color w:val="000000"/>
          <w:spacing w:val="-8"/>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eastAsia="zh-CN" w:bidi="ar-SA"/>
        </w:rPr>
        <w:t>经</w:t>
      </w:r>
      <w:r>
        <w:rPr>
          <w:rFonts w:hint="eastAsia" w:ascii="仿宋_GB2312" w:hAnsi="仿宋_GB2312" w:eastAsia="仿宋_GB2312" w:cs="仿宋_GB2312"/>
          <w:color w:val="000000"/>
          <w:spacing w:val="-8"/>
          <w:kern w:val="0"/>
          <w:sz w:val="32"/>
          <w:szCs w:val="32"/>
          <w:lang w:val="zh-CN"/>
        </w:rPr>
        <w:t>认</w:t>
      </w:r>
      <w:r>
        <w:rPr>
          <w:rFonts w:hint="eastAsia" w:ascii="仿宋_GB2312" w:hAnsi="仿宋_GB2312" w:eastAsia="仿宋_GB2312" w:cs="仿宋_GB2312"/>
          <w:color w:val="000000"/>
          <w:spacing w:val="-8"/>
          <w:kern w:val="0"/>
          <w:sz w:val="32"/>
          <w:szCs w:val="32"/>
          <w:highlight w:val="none"/>
          <w:lang w:val="zh-CN"/>
        </w:rPr>
        <w:t>定</w:t>
      </w:r>
      <w:r>
        <w:rPr>
          <w:rFonts w:hint="eastAsia" w:ascii="仿宋_GB2312" w:hAnsi="仿宋_GB2312" w:eastAsia="仿宋_GB2312" w:cs="仿宋_GB2312"/>
          <w:color w:val="000000"/>
          <w:spacing w:val="-8"/>
          <w:kern w:val="0"/>
          <w:sz w:val="32"/>
          <w:szCs w:val="32"/>
          <w:lang w:val="zh-CN"/>
        </w:rPr>
        <w:t>的有机枸杞基地，应当登记造册、设立</w:t>
      </w:r>
      <w:r>
        <w:rPr>
          <w:rFonts w:hint="eastAsia" w:ascii="仿宋_GB2312" w:hAnsi="仿宋_GB2312" w:eastAsia="仿宋_GB2312" w:cs="仿宋_GB2312"/>
          <w:color w:val="000000"/>
          <w:kern w:val="0"/>
          <w:sz w:val="32"/>
          <w:szCs w:val="32"/>
          <w:lang w:val="zh-CN"/>
        </w:rPr>
        <w:t>标识标牌</w:t>
      </w:r>
      <w:r>
        <w:rPr>
          <w:rFonts w:hint="eastAsia" w:ascii="仿宋_GB2312" w:hAnsi="仿宋_GB2312" w:eastAsia="仿宋_GB2312" w:cs="仿宋_GB2312"/>
          <w:color w:val="000000"/>
          <w:kern w:val="0"/>
          <w:sz w:val="32"/>
          <w:szCs w:val="32"/>
          <w:highlight w:val="none"/>
          <w:lang w:val="en-US" w:eastAsia="zh-CN"/>
        </w:rPr>
        <w:t>。</w:t>
      </w:r>
      <w:r>
        <w:rPr>
          <w:rFonts w:hint="eastAsia" w:ascii="仿宋_GB2312" w:hAnsi="仿宋_GB2312" w:eastAsia="仿宋_GB2312" w:cs="仿宋_GB2312"/>
          <w:color w:val="000000"/>
          <w:spacing w:val="-8"/>
          <w:kern w:val="0"/>
          <w:sz w:val="32"/>
          <w:szCs w:val="32"/>
          <w:lang w:val="zh-CN"/>
        </w:rPr>
        <w:t>划定</w:t>
      </w:r>
      <w:r>
        <w:rPr>
          <w:rFonts w:hint="eastAsia" w:ascii="仿宋_GB2312" w:hAnsi="仿宋_GB2312" w:eastAsia="仿宋_GB2312" w:cs="仿宋_GB2312"/>
          <w:color w:val="000000"/>
          <w:spacing w:val="-8"/>
          <w:kern w:val="0"/>
          <w:sz w:val="32"/>
          <w:szCs w:val="32"/>
          <w:highlight w:val="none"/>
          <w:lang w:val="zh-CN"/>
        </w:rPr>
        <w:t>的</w:t>
      </w:r>
      <w:r>
        <w:rPr>
          <w:rFonts w:hint="eastAsia" w:ascii="仿宋_GB2312" w:hAnsi="仿宋_GB2312" w:eastAsia="仿宋_GB2312" w:cs="仿宋_GB2312"/>
          <w:color w:val="000000"/>
          <w:spacing w:val="-8"/>
          <w:kern w:val="0"/>
          <w:sz w:val="32"/>
          <w:szCs w:val="32"/>
          <w:lang w:val="zh-CN"/>
        </w:rPr>
        <w:t>保护范围</w:t>
      </w:r>
      <w:r>
        <w:rPr>
          <w:rFonts w:hint="eastAsia" w:ascii="仿宋_GB2312" w:hAnsi="仿宋_GB2312" w:eastAsia="仿宋_GB2312" w:cs="仿宋_GB2312"/>
          <w:color w:val="000000"/>
          <w:spacing w:val="-8"/>
          <w:kern w:val="0"/>
          <w:sz w:val="32"/>
          <w:szCs w:val="32"/>
          <w:highlight w:val="none"/>
          <w:lang w:val="zh-CN"/>
        </w:rPr>
        <w:t>应当</w:t>
      </w:r>
      <w:r>
        <w:rPr>
          <w:rFonts w:hint="eastAsia" w:ascii="仿宋_GB2312" w:hAnsi="仿宋_GB2312" w:eastAsia="仿宋_GB2312" w:cs="仿宋_GB2312"/>
          <w:color w:val="000000"/>
          <w:spacing w:val="-8"/>
          <w:kern w:val="0"/>
          <w:sz w:val="32"/>
          <w:szCs w:val="32"/>
          <w:lang w:val="zh-CN"/>
        </w:rPr>
        <w:t>向社会公示。</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color w:val="000000"/>
          <w:spacing w:val="-8"/>
          <w:kern w:val="0"/>
          <w:sz w:val="32"/>
          <w:szCs w:val="32"/>
          <w:lang w:val="zh-CN"/>
        </w:rPr>
        <w:t>第十五条</w:t>
      </w:r>
      <w:r>
        <w:rPr>
          <w:rFonts w:hint="eastAsia" w:ascii="仿宋_GB2312" w:hAnsi="仿宋_GB2312" w:eastAsia="仿宋_GB2312" w:cs="仿宋_GB2312"/>
          <w:color w:val="000000"/>
          <w:spacing w:val="-8"/>
          <w:kern w:val="0"/>
          <w:sz w:val="32"/>
          <w:szCs w:val="32"/>
          <w:lang w:val="zh-CN"/>
        </w:rPr>
        <w:t xml:space="preserve">  州人民政府和枸杞产区的市（县）人民政府、行委相关部门按照职责，</w:t>
      </w:r>
      <w:r>
        <w:rPr>
          <w:rFonts w:hint="eastAsia" w:ascii="仿宋_GB2312" w:hAnsi="仿宋_GB2312" w:eastAsia="仿宋_GB2312" w:cs="仿宋_GB2312"/>
          <w:color w:val="000000"/>
          <w:spacing w:val="-8"/>
          <w:kern w:val="0"/>
          <w:sz w:val="32"/>
          <w:szCs w:val="32"/>
          <w:highlight w:val="none"/>
          <w:lang w:val="zh-CN"/>
        </w:rPr>
        <w:t>应当加强枸杞产地的长期保护，</w:t>
      </w:r>
      <w:r>
        <w:rPr>
          <w:rFonts w:hint="eastAsia" w:ascii="仿宋_GB2312" w:hAnsi="仿宋_GB2312" w:eastAsia="仿宋_GB2312" w:cs="仿宋_GB2312"/>
          <w:color w:val="000000"/>
          <w:spacing w:val="-8"/>
          <w:kern w:val="0"/>
          <w:sz w:val="32"/>
          <w:szCs w:val="32"/>
          <w:lang w:val="zh-CN"/>
        </w:rPr>
        <w:t>稳定枸杞种植面积。</w:t>
      </w:r>
    </w:p>
    <w:p>
      <w:pPr>
        <w:keepNext w:val="0"/>
        <w:keepLines w:val="0"/>
        <w:pageBreakBefore w:val="0"/>
        <w:widowControl w:val="0"/>
        <w:numPr>
          <w:ilvl w:val="0"/>
          <w:numId w:val="0"/>
        </w:numPr>
        <w:kinsoku/>
        <w:wordWrap/>
        <w:overflowPunct/>
        <w:topLinePunct w:val="0"/>
        <w:autoSpaceDE w:val="0"/>
        <w:autoSpaceDN w:val="0"/>
        <w:bidi w:val="0"/>
        <w:adjustRightInd w:val="0"/>
        <w:spacing w:line="580" w:lineRule="exact"/>
        <w:ind w:right="0" w:rightChars="0" w:firstLine="592" w:firstLineChars="200"/>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第十六条</w:t>
      </w:r>
      <w:r>
        <w:rPr>
          <w:rFonts w:hint="eastAsia" w:ascii="仿宋_GB2312" w:hAnsi="仿宋_GB2312" w:eastAsia="仿宋_GB2312" w:cs="仿宋_GB2312"/>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lang w:val="zh-CN"/>
        </w:rPr>
        <w:t>枸杞基地保护范围内调整产业种植结构的，应当征得当地农牧主管部门同意，并按规定程序和权限办理审批手续。</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农村居民建房用地，不得占用保护范围内的枸杞基地。</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第十七条</w:t>
      </w:r>
      <w:r>
        <w:rPr>
          <w:rFonts w:hint="eastAsia" w:ascii="仿宋_GB2312" w:hAnsi="仿宋_GB2312" w:eastAsia="仿宋_GB2312" w:cs="仿宋_GB2312"/>
          <w:color w:val="000000"/>
          <w:spacing w:val="-8"/>
          <w:kern w:val="0"/>
          <w:sz w:val="32"/>
          <w:szCs w:val="32"/>
          <w:lang w:val="zh-CN"/>
        </w:rPr>
        <w:t xml:space="preserve">  禁止损坏或者擅自移动有机枸杞基地保护范围内的</w:t>
      </w:r>
      <w:r>
        <w:rPr>
          <w:rFonts w:hint="eastAsia" w:ascii="仿宋_GB2312" w:hAnsi="仿宋_GB2312" w:eastAsia="仿宋_GB2312" w:cs="仿宋_GB2312"/>
          <w:color w:val="000000"/>
          <w:kern w:val="0"/>
          <w:sz w:val="32"/>
          <w:szCs w:val="32"/>
          <w:lang w:val="zh-CN"/>
        </w:rPr>
        <w:t>标识标牌</w:t>
      </w:r>
      <w:r>
        <w:rPr>
          <w:rFonts w:hint="eastAsia" w:ascii="仿宋_GB2312" w:hAnsi="仿宋_GB2312" w:eastAsia="仿宋_GB2312" w:cs="仿宋_GB2312"/>
          <w:color w:val="000000"/>
          <w:spacing w:val="-8"/>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因工程施工影响枸杞基地保护范围内基础设施功能正常使用的，建设单位应当采取相应的防护措施，并在施工结束时恢复原状。</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第十八条</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 xml:space="preserve"> 禁止在枸杞基地保护范围内排放、堆置、处置废弃物或者其他有毒有害物质。</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禁止在有机枸杞基地保护范围</w:t>
      </w:r>
      <w:r>
        <w:rPr>
          <w:rFonts w:hint="eastAsia" w:ascii="仿宋_GB2312" w:hAnsi="仿宋_GB2312" w:eastAsia="仿宋_GB2312" w:cs="仿宋_GB2312"/>
          <w:color w:val="000000"/>
          <w:sz w:val="32"/>
          <w:szCs w:val="32"/>
          <w:lang w:val="zh-CN"/>
        </w:rPr>
        <w:t>周</w:t>
      </w:r>
      <w:r>
        <w:rPr>
          <w:rFonts w:hint="eastAsia" w:ascii="仿宋_GB2312" w:hAnsi="仿宋_GB2312" w:eastAsia="仿宋_GB2312" w:cs="仿宋_GB2312"/>
          <w:color w:val="000000"/>
          <w:sz w:val="32"/>
          <w:szCs w:val="32"/>
          <w:lang w:val="zh-CN" w:eastAsia="zh-CN"/>
        </w:rPr>
        <w:t>边3公里及主导风向5公里内</w:t>
      </w:r>
      <w:r>
        <w:rPr>
          <w:rFonts w:hint="eastAsia" w:ascii="仿宋_GB2312" w:hAnsi="仿宋_GB2312" w:eastAsia="仿宋_GB2312" w:cs="仿宋_GB2312"/>
          <w:color w:val="000000"/>
          <w:spacing w:val="-8"/>
          <w:kern w:val="0"/>
          <w:sz w:val="32"/>
          <w:szCs w:val="32"/>
          <w:lang w:val="zh-CN"/>
        </w:rPr>
        <w:t>新建对土壤、水质、大气造成污染的项目。已经建成的污染项目，应当依法限期整改或者搬迁。</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textAlignment w:val="auto"/>
        <w:outlineLvl w:val="9"/>
        <w:rPr>
          <w:rFonts w:hint="eastAsia" w:ascii="仿宋_GB2312" w:hAnsi="仿宋_GB2312" w:eastAsia="仿宋_GB2312" w:cs="仿宋_GB2312"/>
          <w:b/>
          <w:color w:val="000000"/>
          <w:spacing w:val="-8"/>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jc w:val="center"/>
        <w:textAlignment w:val="auto"/>
        <w:outlineLvl w:val="9"/>
        <w:rPr>
          <w:rFonts w:ascii="黑体" w:eastAsia="黑体" w:cs="黑体"/>
          <w:color w:val="000000"/>
          <w:spacing w:val="-8"/>
          <w:kern w:val="0"/>
          <w:sz w:val="32"/>
          <w:szCs w:val="32"/>
          <w:lang w:val="zh-CN"/>
        </w:rPr>
      </w:pPr>
      <w:r>
        <w:rPr>
          <w:rFonts w:hint="eastAsia" w:ascii="黑体" w:hAnsi="黑体" w:eastAsia="黑体" w:cs="仿宋_GB2312"/>
          <w:b w:val="0"/>
          <w:bCs w:val="0"/>
          <w:color w:val="000000"/>
          <w:spacing w:val="-8"/>
          <w:kern w:val="0"/>
          <w:sz w:val="32"/>
          <w:szCs w:val="32"/>
          <w:lang w:val="zh-CN"/>
        </w:rPr>
        <w:t xml:space="preserve">第四章  </w:t>
      </w:r>
      <w:r>
        <w:rPr>
          <w:rFonts w:hint="eastAsia" w:ascii="黑体" w:eastAsia="黑体" w:cs="黑体"/>
          <w:b w:val="0"/>
          <w:bCs w:val="0"/>
          <w:color w:val="000000"/>
          <w:spacing w:val="-8"/>
          <w:kern w:val="0"/>
          <w:sz w:val="32"/>
          <w:szCs w:val="32"/>
          <w:lang w:val="zh-CN"/>
        </w:rPr>
        <w:t>质量监管</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11"/>
        <w:jc w:val="both"/>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第十九条</w:t>
      </w:r>
      <w:r>
        <w:rPr>
          <w:rFonts w:hint="eastAsia" w:ascii="仿宋_GB2312" w:hAnsi="仿宋_GB2312" w:eastAsia="仿宋_GB2312" w:cs="仿宋_GB2312"/>
          <w:color w:val="000000"/>
          <w:spacing w:val="-8"/>
          <w:kern w:val="0"/>
          <w:sz w:val="32"/>
          <w:szCs w:val="32"/>
          <w:lang w:val="zh-CN"/>
        </w:rPr>
        <w:t xml:space="preserve">  州人民政府农牧主管部门应当会同市场监管等相关部门制定枸杞标准化生产加工的规范、规程等技术标准。鼓励和</w:t>
      </w:r>
      <w:r>
        <w:rPr>
          <w:rFonts w:hint="eastAsia" w:ascii="仿宋_GB2312" w:hAnsi="仿宋_GB2312" w:eastAsia="仿宋_GB2312" w:cs="仿宋_GB2312"/>
          <w:color w:val="000000"/>
          <w:sz w:val="32"/>
          <w:szCs w:val="32"/>
          <w:lang w:val="zh-CN" w:eastAsia="zh-CN"/>
        </w:rPr>
        <w:t>支持</w:t>
      </w:r>
      <w:r>
        <w:rPr>
          <w:rFonts w:hint="eastAsia" w:ascii="仿宋_GB2312" w:hAnsi="仿宋_GB2312" w:eastAsia="仿宋_GB2312" w:cs="仿宋_GB2312"/>
          <w:color w:val="000000"/>
          <w:spacing w:val="-8"/>
          <w:kern w:val="0"/>
          <w:sz w:val="32"/>
          <w:szCs w:val="32"/>
          <w:lang w:val="zh-CN"/>
        </w:rPr>
        <w:t>枸杞生产企业、个人实行标准化生产，</w:t>
      </w:r>
      <w:r>
        <w:rPr>
          <w:rFonts w:hint="eastAsia" w:ascii="仿宋_GB2312" w:hAnsi="仿宋_GB2312" w:eastAsia="仿宋_GB2312" w:cs="仿宋_GB2312"/>
          <w:color w:val="000000"/>
          <w:spacing w:val="-8"/>
          <w:kern w:val="0"/>
          <w:sz w:val="32"/>
          <w:szCs w:val="32"/>
          <w:lang w:val="zh-CN" w:eastAsia="zh-CN"/>
        </w:rPr>
        <w:t>科学</w:t>
      </w:r>
      <w:r>
        <w:rPr>
          <w:rFonts w:hint="eastAsia" w:ascii="仿宋_GB2312" w:hAnsi="仿宋_GB2312" w:eastAsia="仿宋_GB2312" w:cs="仿宋_GB2312"/>
          <w:color w:val="000000"/>
          <w:spacing w:val="-8"/>
          <w:kern w:val="0"/>
          <w:sz w:val="32"/>
          <w:szCs w:val="32"/>
          <w:lang w:val="zh-CN"/>
        </w:rPr>
        <w:t>使用化学农药、肥料</w:t>
      </w:r>
      <w:r>
        <w:rPr>
          <w:rFonts w:hint="eastAsia" w:ascii="仿宋_GB2312" w:hAnsi="仿宋_GB2312" w:eastAsia="仿宋_GB2312" w:cs="仿宋_GB2312"/>
          <w:color w:val="000000"/>
          <w:spacing w:val="-8"/>
          <w:kern w:val="0"/>
          <w:sz w:val="32"/>
          <w:szCs w:val="32"/>
          <w:highlight w:val="none"/>
          <w:lang w:val="zh-CN"/>
        </w:rPr>
        <w:t>，</w:t>
      </w:r>
      <w:r>
        <w:rPr>
          <w:rFonts w:hint="eastAsia" w:ascii="仿宋_GB2312" w:hAnsi="仿宋_GB2312" w:eastAsia="仿宋_GB2312" w:cs="仿宋_GB2312"/>
          <w:color w:val="000000"/>
          <w:spacing w:val="-8"/>
          <w:kern w:val="0"/>
          <w:sz w:val="32"/>
          <w:szCs w:val="32"/>
          <w:lang w:val="zh-CN"/>
        </w:rPr>
        <w:t>建立产品质量安全可追溯体系。</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11"/>
        <w:jc w:val="both"/>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第二十条</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州人民政府林业主管部门应当加强枸杞种苗生产、检疫、运输和使用管理，规范枸杞优良品种繁育、示范和推广。</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8"/>
        <w:jc w:val="both"/>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枸杞种苗生产经营者，应当依法取得林木种子生产经营许可证。苗木出圃和调运，应当具有苗木检验证、苗木检疫证和苗木产地标签。</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11"/>
        <w:jc w:val="both"/>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第二十一条</w:t>
      </w:r>
      <w:r>
        <w:rPr>
          <w:rFonts w:hint="eastAsia" w:ascii="仿宋_GB2312" w:hAnsi="仿宋_GB2312" w:eastAsia="仿宋_GB2312" w:cs="仿宋_GB2312"/>
          <w:color w:val="000000"/>
          <w:spacing w:val="-8"/>
          <w:kern w:val="0"/>
          <w:sz w:val="32"/>
          <w:szCs w:val="32"/>
          <w:lang w:val="zh-CN"/>
        </w:rPr>
        <w:t xml:space="preserve">  有机枸杞种植者应当建立有机枸杞种植</w:t>
      </w:r>
      <w:r>
        <w:rPr>
          <w:rFonts w:hint="eastAsia" w:ascii="仿宋_GB2312" w:hAnsi="仿宋_GB2312" w:eastAsia="仿宋_GB2312" w:cs="仿宋_GB2312"/>
          <w:color w:val="000000"/>
          <w:spacing w:val="-8"/>
          <w:kern w:val="0"/>
          <w:sz w:val="32"/>
          <w:szCs w:val="32"/>
          <w:highlight w:val="none"/>
          <w:lang w:val="zh-CN"/>
        </w:rPr>
        <w:t>档案</w:t>
      </w:r>
      <w:r>
        <w:rPr>
          <w:rFonts w:hint="eastAsia" w:ascii="仿宋_GB2312" w:hAnsi="仿宋_GB2312" w:eastAsia="仿宋_GB2312" w:cs="仿宋_GB2312"/>
          <w:color w:val="000000"/>
          <w:spacing w:val="-8"/>
          <w:kern w:val="0"/>
          <w:sz w:val="32"/>
          <w:szCs w:val="32"/>
          <w:lang w:val="zh-CN"/>
        </w:rPr>
        <w:t>登记备案制度，如实记录种植者、基地情况、投入品使用、田间管理等信息</w:t>
      </w:r>
      <w:r>
        <w:rPr>
          <w:rFonts w:hint="eastAsia" w:ascii="仿宋_GB2312" w:hAnsi="仿宋_GB2312" w:eastAsia="仿宋_GB2312" w:cs="仿宋_GB2312"/>
          <w:color w:val="000000"/>
          <w:spacing w:val="-8"/>
          <w:kern w:val="0"/>
          <w:sz w:val="32"/>
          <w:szCs w:val="32"/>
          <w:highlight w:val="none"/>
          <w:lang w:val="zh-CN"/>
        </w:rPr>
        <w:t>；有机枸杞种植档案</w:t>
      </w:r>
      <w:r>
        <w:rPr>
          <w:rFonts w:hint="eastAsia" w:ascii="仿宋_GB2312" w:hAnsi="仿宋_GB2312" w:eastAsia="仿宋_GB2312" w:cs="仿宋_GB2312"/>
          <w:color w:val="000000"/>
          <w:spacing w:val="-8"/>
          <w:kern w:val="0"/>
          <w:sz w:val="32"/>
          <w:szCs w:val="32"/>
          <w:lang w:val="zh-CN"/>
        </w:rPr>
        <w:t>的保存期限不得少于十年。</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11"/>
        <w:jc w:val="both"/>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第二十二条</w:t>
      </w:r>
      <w:r>
        <w:rPr>
          <w:rFonts w:hint="eastAsia" w:ascii="仿宋_GB2312" w:hAnsi="仿宋_GB2312" w:eastAsia="仿宋_GB2312" w:cs="仿宋_GB2312"/>
          <w:color w:val="000000"/>
          <w:spacing w:val="-8"/>
          <w:kern w:val="0"/>
          <w:sz w:val="32"/>
          <w:szCs w:val="32"/>
          <w:lang w:val="zh-CN"/>
        </w:rPr>
        <w:t xml:space="preserve">  生产、加工和经营枸杞及其产品，应当符合相关质量安全标准</w:t>
      </w:r>
      <w:r>
        <w:rPr>
          <w:rFonts w:hint="eastAsia" w:ascii="仿宋_GB2312" w:hAnsi="仿宋_GB2312" w:eastAsia="仿宋_GB2312" w:cs="仿宋_GB2312"/>
          <w:color w:val="000000"/>
          <w:spacing w:val="-8"/>
          <w:kern w:val="0"/>
          <w:sz w:val="32"/>
          <w:szCs w:val="32"/>
          <w:highlight w:val="none"/>
          <w:lang w:val="zh-CN"/>
        </w:rPr>
        <w:t>，鼓励枸杞生产企业建立枸杞质量标准体系</w:t>
      </w:r>
      <w:r>
        <w:rPr>
          <w:rFonts w:hint="eastAsia" w:ascii="仿宋_GB2312" w:hAnsi="仿宋_GB2312" w:eastAsia="仿宋_GB2312" w:cs="仿宋_GB2312"/>
          <w:color w:val="000000"/>
          <w:spacing w:val="-8"/>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45"/>
        <w:jc w:val="both"/>
        <w:textAlignment w:val="auto"/>
        <w:outlineLvl w:val="9"/>
        <w:rPr>
          <w:rFonts w:hint="eastAsia" w:ascii="仿宋_GB2312" w:hAnsi="仿宋_GB2312" w:eastAsia="仿宋_GB2312" w:cs="仿宋_GB2312"/>
          <w:color w:val="000000"/>
          <w:sz w:val="32"/>
          <w:szCs w:val="32"/>
          <w:lang w:val="zh-CN" w:eastAsia="zh-CN"/>
        </w:rPr>
      </w:pPr>
      <w:r>
        <w:rPr>
          <w:rFonts w:hint="eastAsia" w:ascii="仿宋_GB2312" w:hAnsi="仿宋_GB2312" w:eastAsia="仿宋_GB2312" w:cs="仿宋_GB2312"/>
          <w:color w:val="000000"/>
          <w:spacing w:val="-8"/>
          <w:kern w:val="0"/>
          <w:sz w:val="32"/>
          <w:szCs w:val="32"/>
          <w:lang w:val="zh-CN"/>
        </w:rPr>
        <w:t>枸杞加工者应当建立枸杞及其产品质量安全管理和检验制度，建立枸杞加工</w:t>
      </w:r>
      <w:r>
        <w:rPr>
          <w:rFonts w:hint="eastAsia" w:ascii="仿宋_GB2312" w:hAnsi="仿宋_GB2312" w:eastAsia="仿宋_GB2312" w:cs="仿宋_GB2312"/>
          <w:color w:val="000000"/>
          <w:spacing w:val="-8"/>
          <w:kern w:val="0"/>
          <w:sz w:val="32"/>
          <w:szCs w:val="32"/>
          <w:highlight w:val="none"/>
          <w:lang w:val="zh-CN"/>
        </w:rPr>
        <w:t>档案</w:t>
      </w:r>
      <w:r>
        <w:rPr>
          <w:rFonts w:hint="eastAsia" w:ascii="仿宋_GB2312" w:hAnsi="仿宋_GB2312" w:eastAsia="仿宋_GB2312" w:cs="仿宋_GB2312"/>
          <w:color w:val="000000"/>
          <w:spacing w:val="-8"/>
          <w:kern w:val="0"/>
          <w:sz w:val="32"/>
          <w:szCs w:val="32"/>
          <w:lang w:val="zh-CN"/>
        </w:rPr>
        <w:t>登记备案、进货查验记录、产品出厂检验记录等制度，如实记录法定记录事项，保留载有相关信息的进货、销售票据</w:t>
      </w:r>
      <w:r>
        <w:rPr>
          <w:rFonts w:hint="eastAsia" w:ascii="仿宋_GB2312" w:hAnsi="仿宋_GB2312" w:eastAsia="仿宋_GB2312" w:cs="仿宋_GB2312"/>
          <w:color w:val="000000"/>
          <w:spacing w:val="-8"/>
          <w:kern w:val="0"/>
          <w:sz w:val="32"/>
          <w:szCs w:val="32"/>
          <w:highlight w:val="none"/>
          <w:lang w:val="zh-CN"/>
        </w:rPr>
        <w:t>；档案</w:t>
      </w:r>
      <w:r>
        <w:rPr>
          <w:rFonts w:hint="eastAsia" w:ascii="仿宋_GB2312" w:hAnsi="仿宋_GB2312" w:eastAsia="仿宋_GB2312" w:cs="仿宋_GB2312"/>
          <w:color w:val="000000"/>
          <w:spacing w:val="-8"/>
          <w:kern w:val="0"/>
          <w:sz w:val="32"/>
          <w:szCs w:val="32"/>
          <w:lang w:val="zh-CN"/>
        </w:rPr>
        <w:t>、票据的保存期限不得</w:t>
      </w:r>
      <w:r>
        <w:rPr>
          <w:rFonts w:hint="eastAsia" w:ascii="仿宋_GB2312" w:hAnsi="仿宋_GB2312" w:eastAsia="仿宋_GB2312" w:cs="仿宋_GB2312"/>
          <w:color w:val="000000"/>
          <w:sz w:val="32"/>
          <w:szCs w:val="32"/>
          <w:lang w:val="zh-CN" w:eastAsia="zh-CN"/>
        </w:rPr>
        <w:t>少于</w:t>
      </w:r>
      <w:r>
        <w:rPr>
          <w:rFonts w:hint="eastAsia" w:ascii="仿宋_GB2312" w:hAnsi="仿宋_GB2312" w:eastAsia="仿宋_GB2312" w:cs="仿宋_GB2312"/>
          <w:color w:val="000000"/>
          <w:sz w:val="32"/>
          <w:szCs w:val="32"/>
          <w:highlight w:val="none"/>
          <w:lang w:val="zh-CN" w:eastAsia="zh-CN"/>
        </w:rPr>
        <w:t>二</w:t>
      </w:r>
      <w:r>
        <w:rPr>
          <w:rFonts w:hint="eastAsia" w:ascii="仿宋_GB2312" w:hAnsi="仿宋_GB2312" w:eastAsia="仿宋_GB2312" w:cs="仿宋_GB2312"/>
          <w:color w:val="000000"/>
          <w:sz w:val="32"/>
          <w:szCs w:val="32"/>
          <w:lang w:val="zh-CN" w:eastAsia="zh-CN"/>
        </w:rPr>
        <w:t>年。</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11"/>
        <w:jc w:val="both"/>
        <w:textAlignment w:val="auto"/>
        <w:outlineLvl w:val="9"/>
        <w:rPr>
          <w:rFonts w:hint="eastAsia" w:ascii="仿宋_GB2312" w:hAnsi="仿宋_GB2312" w:eastAsia="仿宋_GB2312" w:cs="仿宋_GB2312"/>
          <w:b/>
          <w:bCs/>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第二十三条</w:t>
      </w:r>
      <w:r>
        <w:rPr>
          <w:rFonts w:hint="eastAsia" w:ascii="仿宋_GB2312" w:hAnsi="仿宋_GB2312" w:eastAsia="仿宋_GB2312" w:cs="仿宋_GB2312"/>
          <w:color w:val="000000"/>
          <w:spacing w:val="-8"/>
          <w:kern w:val="0"/>
          <w:sz w:val="32"/>
          <w:szCs w:val="32"/>
          <w:lang w:val="zh-CN"/>
        </w:rPr>
        <w:t xml:space="preserve">  生产、加工枸杞及其产品过程中，除禁止使用国家明令禁止使用的投入品外</w:t>
      </w:r>
      <w:r>
        <w:rPr>
          <w:rFonts w:hint="eastAsia" w:ascii="仿宋_GB2312" w:hAnsi="仿宋_GB2312" w:eastAsia="仿宋_GB2312" w:cs="仿宋_GB2312"/>
          <w:b w:val="0"/>
          <w:bCs w:val="0"/>
          <w:color w:val="000000"/>
          <w:spacing w:val="-8"/>
          <w:kern w:val="0"/>
          <w:sz w:val="32"/>
          <w:szCs w:val="32"/>
          <w:lang w:val="zh-CN"/>
        </w:rPr>
        <w:t>，还</w:t>
      </w:r>
      <w:r>
        <w:rPr>
          <w:rFonts w:hint="eastAsia" w:ascii="仿宋_GB2312" w:hAnsi="仿宋_GB2312" w:eastAsia="仿宋_GB2312" w:cs="仿宋_GB2312"/>
          <w:color w:val="000000"/>
          <w:spacing w:val="-8"/>
          <w:kern w:val="0"/>
          <w:sz w:val="32"/>
          <w:szCs w:val="32"/>
          <w:lang w:val="zh-CN"/>
        </w:rPr>
        <w:t>禁止使用焦亚硫酸钠</w:t>
      </w:r>
      <w:r>
        <w:rPr>
          <w:rFonts w:hint="eastAsia" w:ascii="仿宋_GB2312" w:hAnsi="仿宋_GB2312" w:eastAsia="仿宋_GB2312" w:cs="仿宋_GB2312"/>
          <w:color w:val="000000"/>
          <w:spacing w:val="-8"/>
          <w:kern w:val="0"/>
          <w:sz w:val="32"/>
          <w:szCs w:val="32"/>
          <w:highlight w:val="none"/>
          <w:lang w:val="zh-CN"/>
        </w:rPr>
        <w:t>及其替代品</w:t>
      </w:r>
      <w:r>
        <w:rPr>
          <w:rFonts w:hint="eastAsia" w:ascii="仿宋_GB2312" w:hAnsi="仿宋_GB2312" w:eastAsia="仿宋_GB2312" w:cs="仿宋_GB2312"/>
          <w:color w:val="000000"/>
          <w:spacing w:val="-8"/>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left="0" w:leftChars="0" w:right="0" w:rightChars="0" w:firstLine="611"/>
        <w:jc w:val="both"/>
        <w:textAlignment w:val="auto"/>
        <w:outlineLvl w:val="9"/>
        <w:rPr>
          <w:rFonts w:hint="eastAsia" w:asci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第二十四条</w:t>
      </w:r>
      <w:r>
        <w:rPr>
          <w:rFonts w:hint="eastAsia" w:ascii="仿宋_GB2312" w:hAnsi="仿宋_GB2312" w:eastAsia="仿宋_GB2312" w:cs="仿宋_GB2312"/>
          <w:color w:val="000000"/>
          <w:spacing w:val="-8"/>
          <w:kern w:val="0"/>
          <w:sz w:val="32"/>
          <w:szCs w:val="32"/>
          <w:lang w:val="zh-CN"/>
        </w:rPr>
        <w:t xml:space="preserve">  州人民政府农牧主管部门应当会同公安、市场监管、商务等部门对枸杞生</w:t>
      </w:r>
      <w:bookmarkStart w:id="0" w:name="_GoBack"/>
      <w:bookmarkEnd w:id="0"/>
      <w:r>
        <w:rPr>
          <w:rFonts w:hint="eastAsia" w:ascii="仿宋_GB2312" w:hAnsi="仿宋_GB2312" w:eastAsia="仿宋_GB2312" w:cs="仿宋_GB2312"/>
          <w:color w:val="000000"/>
          <w:spacing w:val="-8"/>
          <w:kern w:val="0"/>
          <w:sz w:val="32"/>
          <w:szCs w:val="32"/>
          <w:lang w:val="zh-CN"/>
        </w:rPr>
        <w:t>产加工、质量安全和市场流通实施监督管理，建立枸杞及其产品综合信息发布平台，定期向社会发布相关信息。</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08"/>
        <w:jc w:val="center"/>
        <w:textAlignment w:val="auto"/>
        <w:outlineLvl w:val="9"/>
        <w:rPr>
          <w:rFonts w:ascii="黑体" w:eastAsia="黑体" w:cs="黑体"/>
          <w:color w:val="000000"/>
          <w:spacing w:val="-8"/>
          <w:kern w:val="0"/>
          <w:sz w:val="32"/>
          <w:szCs w:val="32"/>
          <w:lang w:val="zh-CN"/>
        </w:rPr>
      </w:pPr>
      <w:r>
        <w:rPr>
          <w:rFonts w:hint="eastAsia" w:ascii="黑体" w:hAnsi="黑体" w:eastAsia="黑体" w:cs="仿宋_GB2312"/>
          <w:color w:val="000000"/>
          <w:spacing w:val="-8"/>
          <w:kern w:val="0"/>
          <w:sz w:val="32"/>
          <w:szCs w:val="32"/>
          <w:lang w:val="zh-CN"/>
        </w:rPr>
        <w:t>第五章</w:t>
      </w:r>
      <w:r>
        <w:rPr>
          <w:rFonts w:hint="eastAsia" w:ascii="黑体" w:hAnsi="黑体" w:eastAsia="黑体" w:cs="黑体"/>
          <w:color w:val="000000"/>
          <w:spacing w:val="-8"/>
          <w:kern w:val="0"/>
          <w:sz w:val="32"/>
          <w:szCs w:val="32"/>
          <w:lang w:val="zh-CN"/>
        </w:rPr>
        <w:t xml:space="preserve"> </w:t>
      </w:r>
      <w:r>
        <w:rPr>
          <w:rFonts w:hint="eastAsia" w:ascii="黑体" w:eastAsia="黑体" w:cs="黑体"/>
          <w:color w:val="000000"/>
          <w:spacing w:val="-8"/>
          <w:kern w:val="0"/>
          <w:sz w:val="32"/>
          <w:szCs w:val="32"/>
          <w:lang w:val="zh-CN"/>
        </w:rPr>
        <w:t xml:space="preserve"> 品牌建设与保护</w:t>
      </w:r>
    </w:p>
    <w:p>
      <w:pPr>
        <w:keepNext w:val="0"/>
        <w:keepLines w:val="0"/>
        <w:pageBreakBefore w:val="0"/>
        <w:widowControl w:val="0"/>
        <w:kinsoku/>
        <w:wordWrap/>
        <w:overflowPunct/>
        <w:topLinePunct w:val="0"/>
        <w:autoSpaceDE w:val="0"/>
        <w:autoSpaceDN w:val="0"/>
        <w:bidi w:val="0"/>
        <w:adjustRightInd w:val="0"/>
        <w:spacing w:line="580" w:lineRule="exact"/>
        <w:ind w:right="0" w:rightChars="0"/>
        <w:textAlignment w:val="auto"/>
        <w:outlineLvl w:val="9"/>
        <w:rPr>
          <w:rFonts w:ascii="黑体" w:eastAsia="黑体" w:cs="黑体"/>
          <w:color w:val="000000"/>
          <w:spacing w:val="-8"/>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kern w:val="0"/>
          <w:sz w:val="32"/>
          <w:szCs w:val="32"/>
          <w:lang w:val="zh-CN"/>
        </w:rPr>
      </w:pPr>
      <w:r>
        <w:rPr>
          <w:rFonts w:hint="eastAsia" w:ascii="黑体" w:hAnsi="黑体" w:eastAsia="黑体" w:cs="黑体"/>
          <w:b w:val="0"/>
          <w:bCs w:val="0"/>
          <w:color w:val="000000"/>
          <w:spacing w:val="-8"/>
          <w:kern w:val="0"/>
          <w:sz w:val="32"/>
          <w:szCs w:val="32"/>
          <w:lang w:val="zh-CN"/>
        </w:rPr>
        <w:t>第二十五条</w:t>
      </w:r>
      <w:r>
        <w:rPr>
          <w:rFonts w:hint="eastAsia" w:ascii="仿宋_GB2312" w:hAnsi="仿宋_GB2312" w:eastAsia="仿宋_GB2312" w:cs="仿宋_GB2312"/>
          <w:b/>
          <w:bCs/>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lang w:val="zh-CN"/>
        </w:rPr>
        <w:t xml:space="preserve"> 州人民政府和枸杞产区的市（县）人民政府、行委鼓励和支持</w:t>
      </w:r>
      <w:r>
        <w:rPr>
          <w:rFonts w:hint="eastAsia" w:ascii="仿宋_GB2312" w:hAnsi="仿宋_GB2312" w:eastAsia="仿宋_GB2312" w:cs="仿宋_GB2312"/>
          <w:color w:val="000000"/>
          <w:kern w:val="0"/>
          <w:sz w:val="32"/>
          <w:szCs w:val="32"/>
          <w:highlight w:val="none"/>
          <w:lang w:val="zh-CN"/>
        </w:rPr>
        <w:t>企业</w:t>
      </w:r>
      <w:r>
        <w:rPr>
          <w:rFonts w:hint="eastAsia" w:ascii="仿宋_GB2312" w:hAnsi="仿宋_GB2312" w:eastAsia="仿宋_GB2312" w:cs="仿宋_GB2312"/>
          <w:color w:val="000000"/>
          <w:spacing w:val="-8"/>
          <w:kern w:val="0"/>
          <w:sz w:val="32"/>
          <w:szCs w:val="32"/>
          <w:lang w:val="zh-CN"/>
        </w:rPr>
        <w:t>、个人</w:t>
      </w:r>
      <w:r>
        <w:rPr>
          <w:rFonts w:hint="eastAsia" w:ascii="仿宋_GB2312" w:hAnsi="仿宋_GB2312" w:eastAsia="仿宋_GB2312" w:cs="仿宋_GB2312"/>
          <w:color w:val="000000"/>
          <w:kern w:val="0"/>
          <w:sz w:val="32"/>
          <w:szCs w:val="32"/>
          <w:lang w:val="zh-CN"/>
        </w:rPr>
        <w:t>创建有机枸杞品牌和柴达木枸杞区域公用品牌</w:t>
      </w:r>
      <w:r>
        <w:rPr>
          <w:rFonts w:hint="eastAsia" w:ascii="仿宋_GB2312" w:hAnsi="仿宋_GB2312" w:eastAsia="仿宋_GB2312" w:cs="仿宋_GB2312"/>
          <w:color w:val="000000"/>
          <w:kern w:val="0"/>
          <w:sz w:val="32"/>
          <w:szCs w:val="32"/>
          <w:highlight w:val="none"/>
          <w:lang w:val="zh-CN"/>
        </w:rPr>
        <w:t>；</w:t>
      </w:r>
      <w:r>
        <w:rPr>
          <w:rFonts w:hint="eastAsia" w:ascii="仿宋_GB2312" w:hAnsi="仿宋_GB2312" w:eastAsia="仿宋_GB2312" w:cs="仿宋_GB2312"/>
          <w:color w:val="000000"/>
          <w:spacing w:val="-8"/>
          <w:kern w:val="0"/>
          <w:sz w:val="32"/>
          <w:szCs w:val="32"/>
          <w:lang w:val="zh-CN"/>
        </w:rPr>
        <w:t>鼓励和支持新闻媒体、枸杞企业和社会各界宣传柴达木枸杞区域公用品牌。</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bCs/>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第二十六条</w:t>
      </w:r>
      <w:r>
        <w:rPr>
          <w:rFonts w:hint="eastAsia" w:ascii="仿宋_GB2312" w:hAnsi="仿宋_GB2312" w:eastAsia="仿宋_GB2312" w:cs="仿宋_GB2312"/>
          <w:b/>
          <w:bCs/>
          <w:color w:val="000000"/>
          <w:spacing w:val="-8"/>
          <w:kern w:val="0"/>
          <w:sz w:val="32"/>
          <w:szCs w:val="32"/>
          <w:lang w:val="en-US" w:eastAsia="zh-CN"/>
        </w:rPr>
        <w:t xml:space="preserve"> </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州人民政府和枸杞产区的市（县）人民政府、行委</w:t>
      </w:r>
      <w:r>
        <w:rPr>
          <w:rFonts w:hint="eastAsia" w:ascii="仿宋_GB2312" w:hAnsi="仿宋_GB2312" w:eastAsia="仿宋_GB2312" w:cs="仿宋_GB2312"/>
          <w:bCs/>
          <w:color w:val="000000"/>
          <w:spacing w:val="-8"/>
          <w:kern w:val="0"/>
          <w:sz w:val="32"/>
          <w:szCs w:val="32"/>
          <w:lang w:val="zh-CN"/>
        </w:rPr>
        <w:t>市场监管部门应当加强柴达木枸杞地理标志产品专用标志以及枸杞品牌商标使用情况的监督管理，保护消费者和经营者的合法权益。</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第二十七条</w:t>
      </w:r>
      <w:r>
        <w:rPr>
          <w:rFonts w:hint="eastAsia" w:ascii="仿宋_GB2312" w:hAnsi="仿宋_GB2312" w:eastAsia="仿宋_GB2312" w:cs="仿宋_GB2312"/>
          <w:b/>
          <w:bCs/>
          <w:color w:val="000000"/>
          <w:spacing w:val="-8"/>
          <w:kern w:val="0"/>
          <w:sz w:val="32"/>
          <w:szCs w:val="32"/>
          <w:lang w:val="en-US" w:eastAsia="zh-CN"/>
        </w:rPr>
        <w:t xml:space="preserve"> </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州人民政府支持州域内的企业、个人申请使用柴达木枸杞地理标志产品专用标志。</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45"/>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申请使用柴达木枸杞地理标志产品专用标志的企业、个人，由海西州柴达木枸杞产业协会组织申报，向州人民政府市场监管部门提出申请。</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第二十八条</w:t>
      </w:r>
      <w:r>
        <w:rPr>
          <w:rFonts w:hint="eastAsia" w:ascii="仿宋_GB2312" w:hAnsi="仿宋_GB2312" w:eastAsia="仿宋_GB2312" w:cs="仿宋_GB2312"/>
          <w:color w:val="000000"/>
          <w:spacing w:val="-8"/>
          <w:kern w:val="0"/>
          <w:sz w:val="32"/>
          <w:szCs w:val="32"/>
          <w:lang w:val="zh-CN"/>
        </w:rPr>
        <w:t xml:space="preserve">  获准使用柴达木枸杞地理标志产品专用标志的企业、个人，在其种植、生产的枸杞及其产</w:t>
      </w:r>
      <w:r>
        <w:rPr>
          <w:rFonts w:hint="eastAsia" w:ascii="仿宋_GB2312" w:hAnsi="仿宋_GB2312" w:eastAsia="仿宋_GB2312" w:cs="仿宋_GB2312"/>
          <w:b w:val="0"/>
          <w:bCs w:val="0"/>
          <w:color w:val="000000"/>
          <w:spacing w:val="-8"/>
          <w:kern w:val="0"/>
          <w:sz w:val="32"/>
          <w:szCs w:val="32"/>
          <w:lang w:val="zh-CN"/>
        </w:rPr>
        <w:t>品的标识、</w:t>
      </w:r>
      <w:r>
        <w:rPr>
          <w:rFonts w:hint="eastAsia" w:ascii="仿宋_GB2312" w:hAnsi="仿宋_GB2312" w:eastAsia="仿宋_GB2312" w:cs="仿宋_GB2312"/>
          <w:color w:val="000000"/>
          <w:spacing w:val="-8"/>
          <w:kern w:val="0"/>
          <w:sz w:val="32"/>
          <w:szCs w:val="32"/>
          <w:lang w:val="zh-CN"/>
        </w:rPr>
        <w:t>标签、说明书或者广告上，可以注明产品专用标志。</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黑体" w:hAnsi="黑体" w:eastAsia="黑体" w:cs="黑体"/>
          <w:b w:val="0"/>
          <w:bCs w:val="0"/>
          <w:color w:val="000000"/>
          <w:spacing w:val="-8"/>
          <w:kern w:val="0"/>
          <w:sz w:val="32"/>
          <w:szCs w:val="32"/>
          <w:lang w:val="zh-CN"/>
        </w:rPr>
        <w:t>第二十九条</w:t>
      </w:r>
      <w:r>
        <w:rPr>
          <w:rFonts w:hint="eastAsia" w:ascii="仿宋_GB2312" w:hAnsi="仿宋_GB2312" w:eastAsia="仿宋_GB2312" w:cs="仿宋_GB2312"/>
          <w:b/>
          <w:bCs/>
          <w:color w:val="000000"/>
          <w:spacing w:val="-8"/>
          <w:kern w:val="0"/>
          <w:sz w:val="32"/>
          <w:szCs w:val="32"/>
          <w:lang w:val="zh-CN"/>
        </w:rPr>
        <w:t xml:space="preserve">  </w:t>
      </w:r>
      <w:r>
        <w:rPr>
          <w:rFonts w:hint="eastAsia" w:ascii="仿宋_GB2312" w:hAnsi="仿宋_GB2312" w:eastAsia="仿宋_GB2312" w:cs="仿宋_GB2312"/>
          <w:color w:val="000000"/>
          <w:spacing w:val="-8"/>
          <w:kern w:val="0"/>
          <w:sz w:val="32"/>
          <w:szCs w:val="32"/>
          <w:lang w:val="zh-CN"/>
        </w:rPr>
        <w:t>获准使用柴达木枸杞地理标志产品专用标志的企业、个人，不得擅自扩大产品专用标志确定的枸杞及其产品使用范围，不得掺杂非本产区枸杞。</w:t>
      </w:r>
    </w:p>
    <w:p>
      <w:pPr>
        <w:keepNext w:val="0"/>
        <w:keepLines w:val="0"/>
        <w:pageBreakBefore w:val="0"/>
        <w:widowControl w:val="0"/>
        <w:kinsoku/>
        <w:wordWrap/>
        <w:overflowPunct/>
        <w:topLinePunct w:val="0"/>
        <w:autoSpaceDE w:val="0"/>
        <w:autoSpaceDN w:val="0"/>
        <w:bidi w:val="0"/>
        <w:adjustRightInd w:val="0"/>
        <w:spacing w:line="580" w:lineRule="exact"/>
        <w:ind w:right="0" w:rightChars="0"/>
        <w:textAlignment w:val="auto"/>
        <w:outlineLvl w:val="9"/>
        <w:rPr>
          <w:rFonts w:hint="eastAsia" w:ascii="仿宋_GB2312" w:hAnsi="仿宋_GB2312" w:eastAsia="仿宋_GB2312" w:cs="仿宋_GB2312"/>
          <w:color w:val="000000"/>
          <w:spacing w:val="-8"/>
          <w:kern w:val="0"/>
          <w:sz w:val="32"/>
          <w:szCs w:val="32"/>
          <w:lang w:val="zh-CN"/>
        </w:rPr>
      </w:pPr>
      <w:r>
        <w:rPr>
          <w:rFonts w:hint="eastAsia" w:ascii="仿宋_GB2312" w:hAnsi="仿宋_GB2312" w:eastAsia="仿宋_GB2312" w:cs="仿宋_GB2312"/>
          <w:color w:val="000000"/>
          <w:spacing w:val="-8"/>
          <w:kern w:val="0"/>
          <w:sz w:val="32"/>
          <w:szCs w:val="32"/>
          <w:lang w:val="zh-CN"/>
        </w:rPr>
        <w:t xml:space="preserve">    </w:t>
      </w:r>
      <w:r>
        <w:rPr>
          <w:rFonts w:hint="eastAsia" w:ascii="黑体" w:hAnsi="黑体" w:eastAsia="黑体" w:cs="黑体"/>
          <w:b w:val="0"/>
          <w:bCs w:val="0"/>
          <w:color w:val="000000"/>
          <w:spacing w:val="-8"/>
          <w:kern w:val="0"/>
          <w:sz w:val="32"/>
          <w:szCs w:val="32"/>
          <w:lang w:val="zh-CN"/>
        </w:rPr>
        <w:t>第三十条</w:t>
      </w:r>
      <w:r>
        <w:rPr>
          <w:rFonts w:hint="eastAsia" w:ascii="仿宋_GB2312" w:hAnsi="仿宋_GB2312" w:eastAsia="仿宋_GB2312" w:cs="仿宋_GB2312"/>
          <w:b/>
          <w:bCs/>
          <w:color w:val="000000"/>
          <w:spacing w:val="-8"/>
          <w:kern w:val="0"/>
          <w:sz w:val="32"/>
          <w:szCs w:val="32"/>
          <w:lang w:val="en-US" w:eastAsia="zh-CN"/>
        </w:rPr>
        <w:t xml:space="preserve">  </w:t>
      </w:r>
      <w:r>
        <w:rPr>
          <w:rFonts w:hint="eastAsia" w:ascii="仿宋_GB2312" w:hAnsi="仿宋_GB2312" w:eastAsia="仿宋_GB2312" w:cs="仿宋_GB2312"/>
          <w:color w:val="000000"/>
          <w:spacing w:val="-8"/>
          <w:kern w:val="0"/>
          <w:sz w:val="32"/>
          <w:szCs w:val="32"/>
          <w:lang w:val="zh-CN"/>
        </w:rPr>
        <w:t>禁止伪造、转让、出租、出借或者买卖柴达木枸杞地理标志产品专用标志；禁止改变柴达木枸杞地理标志产品专用标志的表述方式、</w:t>
      </w:r>
      <w:r>
        <w:rPr>
          <w:rFonts w:hint="eastAsia" w:ascii="仿宋_GB2312" w:hAnsi="仿宋_GB2312" w:eastAsia="仿宋_GB2312" w:cs="仿宋_GB2312"/>
          <w:b w:val="0"/>
          <w:bCs w:val="0"/>
          <w:color w:val="000000"/>
          <w:spacing w:val="-8"/>
          <w:kern w:val="0"/>
          <w:sz w:val="32"/>
          <w:szCs w:val="32"/>
          <w:lang w:val="zh-CN"/>
        </w:rPr>
        <w:t>标识</w:t>
      </w:r>
      <w:r>
        <w:rPr>
          <w:rFonts w:hint="eastAsia" w:ascii="仿宋_GB2312" w:hAnsi="仿宋_GB2312" w:eastAsia="仿宋_GB2312" w:cs="仿宋_GB2312"/>
          <w:color w:val="000000"/>
          <w:spacing w:val="-8"/>
          <w:kern w:val="0"/>
          <w:sz w:val="32"/>
          <w:szCs w:val="32"/>
          <w:lang w:val="zh-CN"/>
        </w:rPr>
        <w:t>字体、图案颜色等。</w:t>
      </w:r>
    </w:p>
    <w:p>
      <w:pPr>
        <w:keepNext w:val="0"/>
        <w:keepLines w:val="0"/>
        <w:pageBreakBefore w:val="0"/>
        <w:widowControl w:val="0"/>
        <w:kinsoku/>
        <w:wordWrap/>
        <w:overflowPunct/>
        <w:topLinePunct w:val="0"/>
        <w:autoSpaceDE w:val="0"/>
        <w:autoSpaceDN w:val="0"/>
        <w:bidi w:val="0"/>
        <w:adjustRightInd w:val="0"/>
        <w:spacing w:line="580" w:lineRule="exact"/>
        <w:ind w:right="0" w:rightChars="0"/>
        <w:jc w:val="center"/>
        <w:textAlignment w:val="auto"/>
        <w:outlineLvl w:val="9"/>
        <w:rPr>
          <w:rFonts w:ascii="黑体" w:eastAsia="黑体" w:cs="黑体"/>
          <w:color w:val="000000"/>
          <w:spacing w:val="-8"/>
          <w:kern w:val="0"/>
          <w:sz w:val="32"/>
          <w:szCs w:val="32"/>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jc w:val="center"/>
        <w:textAlignment w:val="auto"/>
        <w:outlineLvl w:val="9"/>
        <w:rPr>
          <w:rFonts w:ascii="黑体" w:eastAsia="黑体" w:cs="黑体"/>
          <w:color w:val="000000"/>
          <w:spacing w:val="-8"/>
          <w:kern w:val="0"/>
          <w:sz w:val="32"/>
          <w:szCs w:val="32"/>
          <w:lang w:val="zh-CN"/>
        </w:rPr>
      </w:pPr>
      <w:r>
        <w:rPr>
          <w:rFonts w:hint="eastAsia" w:ascii="黑体" w:eastAsia="黑体" w:cs="黑体"/>
          <w:color w:val="000000"/>
          <w:spacing w:val="-8"/>
          <w:kern w:val="0"/>
          <w:sz w:val="32"/>
          <w:szCs w:val="32"/>
          <w:lang w:val="zh-CN"/>
        </w:rPr>
        <w:t>第六章</w:t>
      </w:r>
      <w:r>
        <w:rPr>
          <w:rFonts w:ascii="黑体" w:eastAsia="黑体" w:cs="黑体"/>
          <w:color w:val="000000"/>
          <w:spacing w:val="-8"/>
          <w:kern w:val="0"/>
          <w:sz w:val="32"/>
          <w:szCs w:val="32"/>
          <w:lang w:val="zh-CN"/>
        </w:rPr>
        <w:t xml:space="preserve">  </w:t>
      </w:r>
      <w:r>
        <w:rPr>
          <w:rFonts w:hint="eastAsia" w:ascii="黑体" w:eastAsia="黑体" w:cs="黑体"/>
          <w:color w:val="000000"/>
          <w:spacing w:val="-8"/>
          <w:kern w:val="0"/>
          <w:sz w:val="32"/>
          <w:szCs w:val="32"/>
          <w:lang w:val="zh-CN"/>
        </w:rPr>
        <w:t>法律责任</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jc w:val="left"/>
        <w:textAlignment w:val="auto"/>
        <w:outlineLvl w:val="9"/>
        <w:rPr>
          <w:rFonts w:ascii="仿宋_GB2312" w:eastAsia="仿宋_GB2312" w:cs="仿宋_GB2312"/>
          <w:b/>
          <w:bCs/>
          <w:color w:val="000000"/>
          <w:spacing w:val="-8"/>
          <w:kern w:val="0"/>
          <w:sz w:val="32"/>
          <w:szCs w:val="32"/>
          <w:highlight w:val="white"/>
          <w:lang w:val="zh-CN"/>
        </w:rPr>
      </w:pP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white"/>
          <w:lang w:val="zh-CN"/>
        </w:rPr>
      </w:pPr>
      <w:r>
        <w:rPr>
          <w:rFonts w:hint="eastAsia" w:ascii="黑体" w:hAnsi="黑体" w:eastAsia="黑体" w:cs="黑体"/>
          <w:b w:val="0"/>
          <w:bCs w:val="0"/>
          <w:color w:val="000000"/>
          <w:spacing w:val="-8"/>
          <w:kern w:val="0"/>
          <w:sz w:val="32"/>
          <w:szCs w:val="32"/>
          <w:highlight w:val="none"/>
          <w:lang w:val="zh-CN"/>
        </w:rPr>
        <w:t>第三十一条</w:t>
      </w:r>
      <w:r>
        <w:rPr>
          <w:rFonts w:hint="eastAsia" w:ascii="仿宋_GB2312" w:hAnsi="仿宋_GB2312" w:eastAsia="仿宋_GB2312" w:cs="仿宋_GB2312"/>
          <w:color w:val="000000"/>
          <w:spacing w:val="-8"/>
          <w:kern w:val="0"/>
          <w:sz w:val="32"/>
          <w:szCs w:val="32"/>
          <w:highlight w:val="none"/>
          <w:lang w:val="zh-CN"/>
        </w:rPr>
        <w:t xml:space="preserve">  违反本条例规定，法律法规已有处罚规定的，从其规定。</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28"/>
          <w:szCs w:val="28"/>
          <w:highlight w:val="none"/>
          <w:lang w:val="zh-CN"/>
        </w:rPr>
      </w:pPr>
      <w:r>
        <w:rPr>
          <w:rFonts w:hint="eastAsia" w:ascii="黑体" w:hAnsi="黑体" w:eastAsia="黑体" w:cs="黑体"/>
          <w:b w:val="0"/>
          <w:bCs w:val="0"/>
          <w:color w:val="000000"/>
          <w:spacing w:val="-8"/>
          <w:kern w:val="0"/>
          <w:sz w:val="32"/>
          <w:szCs w:val="32"/>
          <w:highlight w:val="none"/>
          <w:lang w:val="zh-CN"/>
        </w:rPr>
        <w:t>第三十二条</w:t>
      </w:r>
      <w:r>
        <w:rPr>
          <w:rFonts w:hint="eastAsia" w:ascii="仿宋_GB2312" w:hAnsi="仿宋_GB2312" w:eastAsia="仿宋_GB2312" w:cs="仿宋_GB2312"/>
          <w:color w:val="000000"/>
          <w:spacing w:val="-8"/>
          <w:kern w:val="0"/>
          <w:sz w:val="32"/>
          <w:szCs w:val="32"/>
          <w:highlight w:val="none"/>
          <w:lang w:val="zh-CN"/>
        </w:rPr>
        <w:t xml:space="preserve">  违反本条例规定，擅自调整产业种植结构</w:t>
      </w:r>
      <w:r>
        <w:rPr>
          <w:rFonts w:hint="eastAsia" w:ascii="仿宋_GB2312" w:hAnsi="仿宋_GB2312" w:eastAsia="仿宋_GB2312" w:cs="仿宋_GB2312"/>
          <w:color w:val="000000"/>
          <w:spacing w:val="-8"/>
          <w:kern w:val="0"/>
          <w:sz w:val="32"/>
          <w:szCs w:val="32"/>
          <w:highlight w:val="none"/>
          <w:lang w:val="zh-CN" w:eastAsia="zh-CN"/>
        </w:rPr>
        <w:t>的</w:t>
      </w:r>
      <w:r>
        <w:rPr>
          <w:rFonts w:hint="eastAsia" w:ascii="仿宋_GB2312" w:hAnsi="仿宋_GB2312" w:eastAsia="仿宋_GB2312" w:cs="仿宋_GB2312"/>
          <w:color w:val="000000"/>
          <w:spacing w:val="-8"/>
          <w:kern w:val="0"/>
          <w:sz w:val="32"/>
          <w:szCs w:val="32"/>
          <w:highlight w:val="none"/>
          <w:lang w:val="zh-CN"/>
        </w:rPr>
        <w:t>，由枸杞产区的市（县）人民政府、行委农牧主管部门责令恢复原状，并按调整亩数处每亩五千元罚款。</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586" w:firstLineChars="198"/>
        <w:textAlignment w:val="auto"/>
        <w:outlineLvl w:val="9"/>
        <w:rPr>
          <w:rFonts w:hint="eastAsia"/>
          <w:lang w:val="zh-CN"/>
        </w:rPr>
      </w:pPr>
      <w:r>
        <w:rPr>
          <w:rFonts w:hint="eastAsia" w:ascii="黑体" w:hAnsi="黑体" w:eastAsia="黑体" w:cs="黑体"/>
          <w:b w:val="0"/>
          <w:bCs/>
          <w:color w:val="000000"/>
          <w:spacing w:val="-8"/>
          <w:kern w:val="0"/>
          <w:sz w:val="32"/>
          <w:szCs w:val="32"/>
          <w:highlight w:val="none"/>
          <w:lang w:val="zh-CN"/>
        </w:rPr>
        <w:t>第三十三条</w:t>
      </w:r>
      <w:r>
        <w:rPr>
          <w:rFonts w:hint="eastAsia" w:ascii="仿宋_GB2312" w:hAnsi="仿宋_GB2312" w:eastAsia="仿宋_GB2312" w:cs="仿宋_GB2312"/>
          <w:b/>
          <w:color w:val="000000"/>
          <w:spacing w:val="-8"/>
          <w:kern w:val="0"/>
          <w:sz w:val="32"/>
          <w:szCs w:val="32"/>
          <w:highlight w:val="none"/>
          <w:lang w:val="zh-CN"/>
        </w:rPr>
        <w:t xml:space="preserve"> </w:t>
      </w:r>
      <w:r>
        <w:rPr>
          <w:rFonts w:hint="eastAsia" w:ascii="仿宋_GB2312" w:hAnsi="仿宋_GB2312" w:eastAsia="仿宋_GB2312" w:cs="仿宋_GB2312"/>
          <w:color w:val="000000"/>
          <w:spacing w:val="-8"/>
          <w:kern w:val="0"/>
          <w:sz w:val="32"/>
          <w:szCs w:val="32"/>
          <w:highlight w:val="none"/>
          <w:lang w:val="zh-CN"/>
        </w:rPr>
        <w:t xml:space="preserve"> 违反本条例规定，损坏或者擅自移动有机枸杞</w:t>
      </w:r>
      <w:r>
        <w:rPr>
          <w:rFonts w:hint="eastAsia" w:ascii="仿宋_GB2312" w:hAnsi="仿宋_GB2312" w:eastAsia="仿宋_GB2312" w:cs="仿宋_GB2312"/>
          <w:color w:val="000000"/>
          <w:sz w:val="32"/>
          <w:szCs w:val="32"/>
          <w:highlight w:val="none"/>
          <w:lang w:val="zh-CN"/>
        </w:rPr>
        <w:t>基</w:t>
      </w:r>
      <w:r>
        <w:rPr>
          <w:rFonts w:hint="eastAsia" w:ascii="仿宋_GB2312" w:hAnsi="仿宋_GB2312" w:eastAsia="仿宋_GB2312" w:cs="仿宋_GB2312"/>
          <w:color w:val="000000"/>
          <w:spacing w:val="-8"/>
          <w:kern w:val="0"/>
          <w:sz w:val="32"/>
          <w:szCs w:val="32"/>
          <w:highlight w:val="none"/>
          <w:lang w:val="zh-CN"/>
        </w:rPr>
        <w:t>地</w:t>
      </w:r>
      <w:r>
        <w:rPr>
          <w:rFonts w:hint="eastAsia" w:ascii="仿宋_GB2312" w:hAnsi="仿宋_GB2312" w:eastAsia="仿宋_GB2312" w:cs="仿宋_GB2312"/>
          <w:color w:val="000000"/>
          <w:sz w:val="32"/>
          <w:szCs w:val="32"/>
          <w:highlight w:val="none"/>
          <w:lang w:val="zh-CN"/>
        </w:rPr>
        <w:t>保护范围内</w:t>
      </w:r>
      <w:r>
        <w:rPr>
          <w:rFonts w:hint="eastAsia" w:ascii="仿宋_GB2312" w:hAnsi="仿宋_GB2312" w:eastAsia="仿宋_GB2312" w:cs="仿宋_GB2312"/>
          <w:color w:val="000000"/>
          <w:spacing w:val="-8"/>
          <w:kern w:val="0"/>
          <w:sz w:val="32"/>
          <w:szCs w:val="32"/>
          <w:highlight w:val="none"/>
          <w:lang w:val="zh-CN"/>
        </w:rPr>
        <w:t>标</w:t>
      </w:r>
      <w:r>
        <w:rPr>
          <w:rFonts w:hint="eastAsia" w:ascii="仿宋_GB2312" w:hAnsi="仿宋_GB2312" w:eastAsia="仿宋_GB2312" w:cs="仿宋_GB2312"/>
          <w:color w:val="000000"/>
          <w:sz w:val="32"/>
          <w:szCs w:val="32"/>
          <w:highlight w:val="none"/>
          <w:lang w:val="zh-CN"/>
        </w:rPr>
        <w:t>识标牌</w:t>
      </w:r>
      <w:r>
        <w:rPr>
          <w:rFonts w:hint="eastAsia" w:ascii="仿宋_GB2312" w:hAnsi="仿宋_GB2312" w:eastAsia="仿宋_GB2312" w:cs="仿宋_GB2312"/>
          <w:color w:val="000000"/>
          <w:spacing w:val="-8"/>
          <w:kern w:val="0"/>
          <w:sz w:val="32"/>
          <w:szCs w:val="32"/>
          <w:highlight w:val="none"/>
          <w:lang w:val="zh-CN"/>
        </w:rPr>
        <w:t>的，由枸杞产区的市（县）人民政府、行委农牧主管部门责令恢复原状，并</w:t>
      </w:r>
      <w:r>
        <w:rPr>
          <w:rFonts w:hint="eastAsia" w:ascii="仿宋_GB2312" w:hAnsi="仿宋_GB2312" w:eastAsia="仿宋_GB2312" w:cs="仿宋_GB2312"/>
          <w:color w:val="000000"/>
          <w:sz w:val="32"/>
          <w:szCs w:val="32"/>
          <w:highlight w:val="none"/>
          <w:lang w:val="zh-CN"/>
        </w:rPr>
        <w:t>处一百元以上一千元以下罚款。</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黑体" w:hAnsi="黑体" w:eastAsia="黑体" w:cs="黑体"/>
          <w:b w:val="0"/>
          <w:bCs/>
          <w:color w:val="000000"/>
          <w:sz w:val="32"/>
          <w:szCs w:val="32"/>
          <w:highlight w:val="none"/>
        </w:rPr>
        <w:t>第三十</w:t>
      </w:r>
      <w:r>
        <w:rPr>
          <w:rFonts w:hint="eastAsia" w:ascii="黑体" w:hAnsi="黑体" w:eastAsia="黑体" w:cs="黑体"/>
          <w:b w:val="0"/>
          <w:bCs/>
          <w:color w:val="000000"/>
          <w:sz w:val="32"/>
          <w:szCs w:val="32"/>
          <w:highlight w:val="none"/>
          <w:lang w:val="zh-CN"/>
        </w:rPr>
        <w:t>四</w:t>
      </w:r>
      <w:r>
        <w:rPr>
          <w:rFonts w:hint="eastAsia" w:ascii="黑体" w:hAnsi="黑体" w:eastAsia="黑体" w:cs="黑体"/>
          <w:b w:val="0"/>
          <w:bCs/>
          <w:color w:val="000000"/>
          <w:sz w:val="32"/>
          <w:szCs w:val="32"/>
          <w:highlight w:val="none"/>
        </w:rPr>
        <w:t>条</w:t>
      </w:r>
      <w:r>
        <w:rPr>
          <w:rFonts w:hint="eastAsia" w:ascii="仿宋_GB2312" w:hAnsi="仿宋_GB2312" w:eastAsia="仿宋_GB2312" w:cs="仿宋_GB2312"/>
          <w:b/>
          <w:bCs w:val="0"/>
          <w:color w:val="000000"/>
          <w:sz w:val="32"/>
          <w:szCs w:val="32"/>
          <w:highlight w:val="none"/>
        </w:rPr>
        <w:t xml:space="preserve"> </w:t>
      </w:r>
      <w:r>
        <w:rPr>
          <w:rFonts w:hint="eastAsia" w:ascii="仿宋_GB2312" w:hAnsi="仿宋_GB2312" w:eastAsia="仿宋_GB2312" w:cs="仿宋_GB2312"/>
          <w:color w:val="000000"/>
          <w:sz w:val="32"/>
          <w:szCs w:val="32"/>
          <w:highlight w:val="none"/>
        </w:rPr>
        <w:t xml:space="preserve"> </w:t>
      </w:r>
      <w:r>
        <w:rPr>
          <w:rFonts w:hint="eastAsia" w:ascii="仿宋_GB2312" w:hAnsi="仿宋_GB2312" w:eastAsia="仿宋_GB2312" w:cs="仿宋_GB2312"/>
          <w:color w:val="000000"/>
          <w:spacing w:val="-8"/>
          <w:kern w:val="0"/>
          <w:sz w:val="32"/>
          <w:szCs w:val="32"/>
          <w:highlight w:val="none"/>
          <w:lang w:val="zh-CN"/>
        </w:rPr>
        <w:t>违反本条例规定，未取得生产经营许可证生产经营枸杞种苗，或者未取得苗木检验证、苗木检疫证和苗木产地标签而出圃调运的，由州</w:t>
      </w:r>
      <w:r>
        <w:rPr>
          <w:rFonts w:hint="eastAsia" w:ascii="仿宋_GB2312" w:hAnsi="仿宋_GB2312" w:eastAsia="仿宋_GB2312" w:cs="仿宋_GB2312"/>
          <w:color w:val="000000"/>
          <w:spacing w:val="-8"/>
          <w:kern w:val="0"/>
          <w:sz w:val="32"/>
          <w:szCs w:val="32"/>
          <w:lang w:val="zh-CN"/>
        </w:rPr>
        <w:t>人民政府</w:t>
      </w:r>
      <w:r>
        <w:rPr>
          <w:rFonts w:hint="eastAsia" w:ascii="仿宋_GB2312" w:hAnsi="仿宋_GB2312" w:eastAsia="仿宋_GB2312" w:cs="仿宋_GB2312"/>
          <w:color w:val="000000"/>
          <w:spacing w:val="-8"/>
          <w:kern w:val="0"/>
          <w:sz w:val="32"/>
          <w:szCs w:val="32"/>
          <w:highlight w:val="none"/>
          <w:lang w:val="zh-CN"/>
        </w:rPr>
        <w:t>或者枸杞产区的市（县）人民政府、行委林业主管部门依据职权责令改正，没收违法所得和种苗；违法生产经营的货值金额不足</w:t>
      </w:r>
      <w:r>
        <w:rPr>
          <w:rFonts w:hint="eastAsia" w:ascii="仿宋_GB2312" w:hAnsi="仿宋_GB2312" w:eastAsia="仿宋_GB2312" w:cs="仿宋_GB2312"/>
          <w:color w:val="000000"/>
          <w:sz w:val="32"/>
          <w:szCs w:val="32"/>
          <w:highlight w:val="none"/>
          <w:lang w:val="zh-CN"/>
        </w:rPr>
        <w:t>一万元的，并处五千元以上三万元以下罚款；货值金额一万元以上的</w:t>
      </w:r>
      <w:r>
        <w:rPr>
          <w:rFonts w:hint="eastAsia" w:ascii="仿宋_GB2312" w:hAnsi="仿宋_GB2312" w:eastAsia="仿宋_GB2312" w:cs="仿宋_GB2312"/>
          <w:color w:val="000000"/>
          <w:spacing w:val="-8"/>
          <w:kern w:val="0"/>
          <w:sz w:val="32"/>
          <w:szCs w:val="32"/>
          <w:highlight w:val="none"/>
          <w:lang w:val="zh-CN"/>
        </w:rPr>
        <w:t>，并处货值金额三倍以上五倍以下罚款；可以吊销种苗生产经营许可证。</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黑体" w:hAnsi="黑体" w:eastAsia="黑体" w:cs="黑体"/>
          <w:b w:val="0"/>
          <w:bCs/>
          <w:color w:val="000000"/>
          <w:sz w:val="32"/>
          <w:szCs w:val="32"/>
          <w:highlight w:val="none"/>
        </w:rPr>
        <w:t>第三十</w:t>
      </w:r>
      <w:r>
        <w:rPr>
          <w:rFonts w:hint="eastAsia" w:ascii="黑体" w:hAnsi="黑体" w:eastAsia="黑体" w:cs="黑体"/>
          <w:b w:val="0"/>
          <w:bCs/>
          <w:color w:val="000000"/>
          <w:sz w:val="32"/>
          <w:szCs w:val="32"/>
          <w:highlight w:val="none"/>
          <w:lang w:val="zh-CN"/>
        </w:rPr>
        <w:t>五</w:t>
      </w:r>
      <w:r>
        <w:rPr>
          <w:rFonts w:hint="eastAsia" w:ascii="黑体" w:hAnsi="黑体" w:eastAsia="黑体" w:cs="黑体"/>
          <w:b w:val="0"/>
          <w:bCs/>
          <w:color w:val="000000"/>
          <w:sz w:val="32"/>
          <w:szCs w:val="32"/>
          <w:highlight w:val="none"/>
        </w:rPr>
        <w:t>条</w:t>
      </w:r>
      <w:r>
        <w:rPr>
          <w:rFonts w:hint="eastAsia" w:ascii="仿宋_GB2312" w:hAnsi="仿宋_GB2312" w:eastAsia="仿宋_GB2312" w:cs="仿宋_GB2312"/>
          <w:b/>
          <w:bCs/>
          <w:color w:val="000000"/>
          <w:sz w:val="32"/>
          <w:szCs w:val="32"/>
          <w:highlight w:val="none"/>
        </w:rPr>
        <w:t xml:space="preserve">  </w:t>
      </w:r>
      <w:r>
        <w:rPr>
          <w:rFonts w:hint="eastAsia" w:ascii="仿宋_GB2312" w:hAnsi="仿宋_GB2312" w:eastAsia="仿宋_GB2312" w:cs="仿宋_GB2312"/>
          <w:color w:val="000000"/>
          <w:spacing w:val="-8"/>
          <w:kern w:val="0"/>
          <w:sz w:val="32"/>
          <w:szCs w:val="32"/>
          <w:highlight w:val="none"/>
          <w:lang w:val="zh-CN"/>
        </w:rPr>
        <w:t>违反本条例规定，有机枸杞种植者有下列情形之一的，由州</w:t>
      </w:r>
      <w:r>
        <w:rPr>
          <w:rFonts w:hint="eastAsia" w:ascii="仿宋_GB2312" w:hAnsi="仿宋_GB2312" w:eastAsia="仿宋_GB2312" w:cs="仿宋_GB2312"/>
          <w:color w:val="000000"/>
          <w:sz w:val="32"/>
          <w:szCs w:val="32"/>
          <w:highlight w:val="none"/>
          <w:lang w:val="zh-CN"/>
        </w:rPr>
        <w:t>人民政府</w:t>
      </w:r>
      <w:r>
        <w:rPr>
          <w:rFonts w:hint="eastAsia" w:ascii="仿宋_GB2312" w:hAnsi="仿宋_GB2312" w:eastAsia="仿宋_GB2312" w:cs="仿宋_GB2312"/>
          <w:color w:val="000000"/>
          <w:spacing w:val="-8"/>
          <w:kern w:val="0"/>
          <w:sz w:val="32"/>
          <w:szCs w:val="32"/>
          <w:highlight w:val="none"/>
          <w:lang w:val="zh-CN"/>
        </w:rPr>
        <w:t>或者枸杞产区的市（县）人民政府、行委农牧主管部门责令限期改正；逾期不改的，可以</w:t>
      </w:r>
      <w:r>
        <w:rPr>
          <w:rFonts w:hint="eastAsia" w:ascii="仿宋_GB2312" w:hAnsi="仿宋_GB2312" w:eastAsia="仿宋_GB2312" w:cs="仿宋_GB2312"/>
          <w:color w:val="000000"/>
          <w:sz w:val="32"/>
          <w:szCs w:val="32"/>
          <w:highlight w:val="none"/>
          <w:lang w:val="zh-CN"/>
        </w:rPr>
        <w:t>处五百元以上二千元</w:t>
      </w:r>
      <w:r>
        <w:rPr>
          <w:rFonts w:hint="eastAsia" w:ascii="仿宋_GB2312" w:hAnsi="仿宋_GB2312" w:eastAsia="仿宋_GB2312" w:cs="仿宋_GB2312"/>
          <w:color w:val="000000"/>
          <w:spacing w:val="-8"/>
          <w:kern w:val="0"/>
          <w:sz w:val="32"/>
          <w:szCs w:val="32"/>
          <w:highlight w:val="none"/>
          <w:lang w:val="zh-CN"/>
        </w:rPr>
        <w:t>以下罚款。</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（一）未建立有机枸杞种植档案登记备案制度的；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（二）未如实记录种植者、基地情况、投入品使用、田间管理等信息的；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（三）伪造有机枸杞种植档案的；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（四）未按照规定期限保存有机枸杞种植档案的；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黑体" w:hAnsi="黑体" w:eastAsia="黑体" w:cs="黑体"/>
          <w:b w:val="0"/>
          <w:bCs/>
          <w:color w:val="000000"/>
          <w:sz w:val="32"/>
          <w:szCs w:val="32"/>
          <w:highlight w:val="none"/>
          <w:lang w:val="zh-CN"/>
        </w:rPr>
        <w:t>第三十六条</w:t>
      </w:r>
      <w:r>
        <w:rPr>
          <w:rFonts w:hint="eastAsia" w:ascii="仿宋_GB2312" w:hAnsi="仿宋_GB2312" w:eastAsia="仿宋_GB2312" w:cs="仿宋_GB2312"/>
          <w:b/>
          <w:color w:val="000000"/>
          <w:spacing w:val="-8"/>
          <w:kern w:val="0"/>
          <w:sz w:val="32"/>
          <w:szCs w:val="32"/>
          <w:highlight w:val="none"/>
          <w:lang w:val="zh-CN"/>
        </w:rPr>
        <w:t xml:space="preserve">  </w:t>
      </w:r>
      <w:r>
        <w:rPr>
          <w:rFonts w:hint="eastAsia" w:ascii="仿宋_GB2312" w:hAnsi="仿宋_GB2312" w:eastAsia="仿宋_GB2312" w:cs="仿宋_GB2312"/>
          <w:color w:val="000000"/>
          <w:spacing w:val="-8"/>
          <w:kern w:val="0"/>
          <w:sz w:val="32"/>
          <w:szCs w:val="32"/>
          <w:highlight w:val="none"/>
          <w:lang w:val="zh-CN"/>
        </w:rPr>
        <w:t>违反本条例规定，枸杞加工者有下列情形之一的，由州人民政府或者枸杞产区的市（县）人民政府、行委农牧主管部门依据职权责令限期改正；逾期不改的，可以处</w:t>
      </w:r>
      <w:r>
        <w:rPr>
          <w:rFonts w:hint="eastAsia" w:ascii="仿宋_GB2312" w:hAnsi="仿宋_GB2312" w:eastAsia="仿宋_GB2312" w:cs="仿宋_GB2312"/>
          <w:color w:val="000000"/>
          <w:sz w:val="32"/>
          <w:szCs w:val="32"/>
          <w:highlight w:val="none"/>
          <w:lang w:val="zh-CN"/>
        </w:rPr>
        <w:t>一千元以上二千元以</w:t>
      </w:r>
      <w:r>
        <w:rPr>
          <w:rFonts w:hint="eastAsia" w:ascii="仿宋_GB2312" w:hAnsi="仿宋_GB2312" w:eastAsia="仿宋_GB2312" w:cs="仿宋_GB2312"/>
          <w:color w:val="000000"/>
          <w:spacing w:val="-8"/>
          <w:kern w:val="0"/>
          <w:sz w:val="32"/>
          <w:szCs w:val="32"/>
          <w:highlight w:val="none"/>
          <w:lang w:val="zh-CN"/>
        </w:rPr>
        <w:t>下罚款。</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（一）未建立枸杞及其产品质量安全管理和检验制度的；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（二）未建立枸杞加工</w:t>
      </w:r>
      <w:r>
        <w:rPr>
          <w:rFonts w:hint="eastAsia" w:ascii="仿宋_GB2312" w:hAnsi="仿宋_GB2312" w:eastAsia="仿宋_GB2312" w:cs="仿宋_GB2312"/>
          <w:color w:val="000000"/>
          <w:sz w:val="32"/>
          <w:szCs w:val="32"/>
          <w:highlight w:val="none"/>
          <w:lang w:val="zh-CN"/>
        </w:rPr>
        <w:t>档案</w:t>
      </w:r>
      <w:r>
        <w:rPr>
          <w:rFonts w:hint="eastAsia" w:ascii="仿宋_GB2312" w:hAnsi="仿宋_GB2312" w:eastAsia="仿宋_GB2312" w:cs="仿宋_GB2312"/>
          <w:color w:val="000000"/>
          <w:spacing w:val="-8"/>
          <w:kern w:val="0"/>
          <w:sz w:val="32"/>
          <w:szCs w:val="32"/>
          <w:highlight w:val="none"/>
          <w:lang w:val="zh-CN"/>
        </w:rPr>
        <w:t>登记备案、进货查验记录、产品出厂检验记录等制度的；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45"/>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 xml:space="preserve">（三）未如实记录法定记录事项的； </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45"/>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仿宋_GB2312" w:hAnsi="仿宋_GB2312" w:eastAsia="仿宋_GB2312" w:cs="仿宋_GB2312"/>
          <w:color w:val="000000"/>
          <w:spacing w:val="-8"/>
          <w:kern w:val="0"/>
          <w:sz w:val="32"/>
          <w:szCs w:val="32"/>
          <w:highlight w:val="none"/>
          <w:lang w:val="zh-CN"/>
        </w:rPr>
        <w:t>（四）伪造枸杞加工档案、进货查验记录档案、产品出厂检验记录档案的；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45"/>
        <w:textAlignment w:val="auto"/>
        <w:outlineLvl w:val="9"/>
        <w:rPr>
          <w:rFonts w:hint="eastAsia" w:ascii="仿宋_GB2312" w:hAnsi="仿宋_GB2312" w:eastAsia="仿宋_GB2312" w:cs="仿宋_GB2312"/>
          <w:color w:val="000000"/>
          <w:spacing w:val="-8"/>
          <w:kern w:val="0"/>
          <w:sz w:val="28"/>
          <w:szCs w:val="28"/>
          <w:highlight w:val="none"/>
          <w:lang w:val="zh-CN"/>
        </w:rPr>
      </w:pPr>
      <w:r>
        <w:rPr>
          <w:rFonts w:hint="eastAsia" w:ascii="仿宋_GB2312" w:hAnsi="仿宋_GB2312" w:eastAsia="仿宋_GB2312" w:cs="仿宋_GB2312"/>
          <w:color w:val="000000"/>
          <w:spacing w:val="-8"/>
          <w:kern w:val="0"/>
          <w:sz w:val="32"/>
          <w:szCs w:val="32"/>
          <w:highlight w:val="none"/>
          <w:lang w:val="zh-CN"/>
        </w:rPr>
        <w:t>（五）未按照规定期限保存档案、票据的。</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28"/>
          <w:szCs w:val="28"/>
          <w:highlight w:val="none"/>
          <w:lang w:val="zh-CN"/>
        </w:rPr>
      </w:pPr>
      <w:r>
        <w:rPr>
          <w:rFonts w:hint="eastAsia" w:ascii="黑体" w:hAnsi="黑体" w:eastAsia="黑体" w:cs="黑体"/>
          <w:b w:val="0"/>
          <w:bCs/>
          <w:color w:val="000000"/>
          <w:sz w:val="32"/>
          <w:szCs w:val="32"/>
          <w:highlight w:val="none"/>
        </w:rPr>
        <w:t>第三十</w:t>
      </w:r>
      <w:r>
        <w:rPr>
          <w:rFonts w:hint="eastAsia" w:ascii="黑体" w:hAnsi="黑体" w:eastAsia="黑体" w:cs="黑体"/>
          <w:b w:val="0"/>
          <w:bCs/>
          <w:color w:val="000000"/>
          <w:sz w:val="32"/>
          <w:szCs w:val="32"/>
          <w:highlight w:val="none"/>
          <w:lang w:val="zh-CN"/>
        </w:rPr>
        <w:t>七</w:t>
      </w:r>
      <w:r>
        <w:rPr>
          <w:rFonts w:hint="eastAsia" w:ascii="黑体" w:hAnsi="黑体" w:eastAsia="黑体" w:cs="黑体"/>
          <w:b w:val="0"/>
          <w:bCs/>
          <w:color w:val="000000"/>
          <w:sz w:val="32"/>
          <w:szCs w:val="32"/>
          <w:highlight w:val="none"/>
        </w:rPr>
        <w:t>条</w:t>
      </w:r>
      <w:r>
        <w:rPr>
          <w:rFonts w:hint="eastAsia" w:ascii="仿宋_GB2312" w:hAnsi="仿宋_GB2312" w:eastAsia="仿宋_GB2312" w:cs="仿宋_GB2312"/>
          <w:color w:val="000000"/>
          <w:sz w:val="32"/>
          <w:szCs w:val="32"/>
          <w:highlight w:val="none"/>
        </w:rPr>
        <w:t xml:space="preserve">  </w:t>
      </w:r>
      <w:r>
        <w:rPr>
          <w:rFonts w:hint="eastAsia" w:ascii="仿宋_GB2312" w:hAnsi="仿宋_GB2312" w:eastAsia="仿宋_GB2312" w:cs="仿宋_GB2312"/>
          <w:color w:val="000000"/>
          <w:spacing w:val="-8"/>
          <w:kern w:val="0"/>
          <w:sz w:val="32"/>
          <w:szCs w:val="32"/>
          <w:highlight w:val="none"/>
          <w:lang w:val="zh-CN"/>
        </w:rPr>
        <w:t>违反本条例规定，在加工生产枸杞及其产品过程中，使用焦亚硫酸钠及其替代品的，由州人民政府或者枸杞产区的市（县）人民政府、行委农牧主管部门依据职权责令停止销售，对被污染的枸杞及其产品进行无害化处理，对不能进行无害化处理的予以监督销毁；没收违法所得，并</w:t>
      </w:r>
      <w:r>
        <w:rPr>
          <w:rFonts w:hint="eastAsia" w:ascii="仿宋_GB2312" w:hAnsi="仿宋_GB2312" w:eastAsia="仿宋_GB2312" w:cs="仿宋_GB2312"/>
          <w:color w:val="000000"/>
          <w:sz w:val="32"/>
          <w:szCs w:val="32"/>
          <w:highlight w:val="none"/>
          <w:lang w:val="zh-CN"/>
        </w:rPr>
        <w:t>处五千元以上两万元以</w:t>
      </w:r>
      <w:r>
        <w:rPr>
          <w:rFonts w:hint="eastAsia" w:ascii="仿宋_GB2312" w:hAnsi="仿宋_GB2312" w:eastAsia="仿宋_GB2312" w:cs="仿宋_GB2312"/>
          <w:color w:val="000000"/>
          <w:spacing w:val="-8"/>
          <w:kern w:val="0"/>
          <w:sz w:val="32"/>
          <w:szCs w:val="32"/>
          <w:highlight w:val="none"/>
          <w:lang w:val="zh-CN"/>
        </w:rPr>
        <w:t>下罚款。</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黑体" w:hAnsi="黑体" w:eastAsia="黑体" w:cs="黑体"/>
          <w:b w:val="0"/>
          <w:bCs/>
          <w:color w:val="000000"/>
          <w:sz w:val="32"/>
          <w:szCs w:val="32"/>
          <w:highlight w:val="none"/>
        </w:rPr>
        <w:t>第三十</w:t>
      </w:r>
      <w:r>
        <w:rPr>
          <w:rFonts w:hint="eastAsia" w:ascii="黑体" w:hAnsi="黑体" w:eastAsia="黑体" w:cs="黑体"/>
          <w:b w:val="0"/>
          <w:bCs/>
          <w:color w:val="000000"/>
          <w:spacing w:val="-8"/>
          <w:kern w:val="0"/>
          <w:sz w:val="32"/>
          <w:szCs w:val="32"/>
          <w:lang w:val="zh-CN"/>
        </w:rPr>
        <w:t>八</w:t>
      </w:r>
      <w:r>
        <w:rPr>
          <w:rFonts w:hint="eastAsia" w:ascii="黑体" w:hAnsi="黑体" w:eastAsia="黑体" w:cs="黑体"/>
          <w:b w:val="0"/>
          <w:bCs/>
          <w:color w:val="000000"/>
          <w:sz w:val="32"/>
          <w:szCs w:val="32"/>
          <w:highlight w:val="none"/>
        </w:rPr>
        <w:t>条</w:t>
      </w:r>
      <w:r>
        <w:rPr>
          <w:rFonts w:hint="eastAsia" w:ascii="仿宋_GB2312" w:hAnsi="仿宋_GB2312" w:eastAsia="仿宋_GB2312" w:cs="仿宋_GB2312"/>
          <w:color w:val="000000"/>
          <w:sz w:val="32"/>
          <w:szCs w:val="32"/>
          <w:highlight w:val="none"/>
        </w:rPr>
        <w:t xml:space="preserve"> </w:t>
      </w:r>
      <w:r>
        <w:rPr>
          <w:rFonts w:hint="eastAsia" w:ascii="仿宋_GB2312" w:hAnsi="仿宋_GB2312" w:eastAsia="仿宋_GB2312" w:cs="仿宋_GB2312"/>
          <w:color w:val="000000"/>
          <w:spacing w:val="-8"/>
          <w:kern w:val="0"/>
          <w:sz w:val="32"/>
          <w:szCs w:val="32"/>
          <w:highlight w:val="none"/>
          <w:lang w:val="zh-CN"/>
        </w:rPr>
        <w:t xml:space="preserve"> 违反本条例规定，擅自扩大</w:t>
      </w:r>
      <w:r>
        <w:rPr>
          <w:rFonts w:hint="eastAsia" w:ascii="仿宋_GB2312" w:hAnsi="仿宋_GB2312" w:eastAsia="仿宋_GB2312" w:cs="仿宋_GB2312"/>
          <w:color w:val="000000"/>
          <w:spacing w:val="-8"/>
          <w:kern w:val="0"/>
          <w:sz w:val="32"/>
          <w:szCs w:val="32"/>
          <w:lang w:val="zh-CN"/>
        </w:rPr>
        <w:t>柴达木枸杞地理标志产品专用标志</w:t>
      </w:r>
      <w:r>
        <w:rPr>
          <w:rFonts w:hint="eastAsia" w:ascii="仿宋_GB2312" w:hAnsi="仿宋_GB2312" w:eastAsia="仿宋_GB2312" w:cs="仿宋_GB2312"/>
          <w:color w:val="000000"/>
          <w:spacing w:val="-8"/>
          <w:kern w:val="0"/>
          <w:sz w:val="32"/>
          <w:szCs w:val="32"/>
          <w:highlight w:val="none"/>
          <w:lang w:val="zh-CN"/>
        </w:rPr>
        <w:t>确定的枸杞及其产品使用范围，伪造、转让、出租、出借或者买卖柴达木枸杞地理标志产品专用标志，改变柴达木枸杞地理标志产品专用标志表述方式、标识字体、图案颜色的，由州人民政府或者枸杞产区的市（县）人民政府、行委市场监管部门依据职权责令改正，没收非法所得和违法经营的枸杞及其产品；违法经营的货值金额不</w:t>
      </w:r>
      <w:r>
        <w:rPr>
          <w:rFonts w:hint="eastAsia" w:ascii="仿宋_GB2312" w:hAnsi="仿宋_GB2312" w:eastAsia="仿宋_GB2312" w:cs="仿宋_GB2312"/>
          <w:color w:val="000000"/>
          <w:sz w:val="32"/>
          <w:szCs w:val="32"/>
          <w:highlight w:val="none"/>
          <w:lang w:val="zh-CN"/>
        </w:rPr>
        <w:t>足一万元的，并处五千元以上五万元以下罚款；货值金额一万元以上的，并处货值五倍以上十倍以下</w:t>
      </w:r>
      <w:r>
        <w:rPr>
          <w:rFonts w:hint="eastAsia" w:ascii="仿宋_GB2312" w:hAnsi="仿宋_GB2312" w:eastAsia="仿宋_GB2312" w:cs="仿宋_GB2312"/>
          <w:color w:val="000000"/>
          <w:spacing w:val="-8"/>
          <w:kern w:val="0"/>
          <w:sz w:val="32"/>
          <w:szCs w:val="32"/>
          <w:highlight w:val="none"/>
          <w:lang w:val="zh-CN"/>
        </w:rPr>
        <w:t>罚款。</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hint="eastAsia" w:ascii="仿宋_GB2312" w:hAnsi="仿宋_GB2312" w:eastAsia="仿宋_GB2312" w:cs="仿宋_GB2312"/>
          <w:color w:val="000000"/>
          <w:spacing w:val="-8"/>
          <w:kern w:val="0"/>
          <w:sz w:val="32"/>
          <w:szCs w:val="32"/>
          <w:highlight w:val="none"/>
          <w:lang w:val="zh-CN"/>
        </w:rPr>
      </w:pPr>
      <w:r>
        <w:rPr>
          <w:rFonts w:hint="eastAsia" w:ascii="黑体" w:hAnsi="黑体" w:eastAsia="黑体" w:cs="黑体"/>
          <w:b w:val="0"/>
          <w:bCs/>
          <w:color w:val="000000"/>
          <w:sz w:val="32"/>
          <w:szCs w:val="32"/>
          <w:highlight w:val="none"/>
        </w:rPr>
        <w:t>第</w:t>
      </w:r>
      <w:r>
        <w:rPr>
          <w:rFonts w:hint="eastAsia" w:ascii="黑体" w:hAnsi="黑体" w:eastAsia="黑体" w:cs="黑体"/>
          <w:b w:val="0"/>
          <w:bCs/>
          <w:color w:val="000000"/>
          <w:sz w:val="32"/>
          <w:szCs w:val="32"/>
          <w:highlight w:val="none"/>
          <w:lang w:val="zh-CN"/>
        </w:rPr>
        <w:t>三</w:t>
      </w:r>
      <w:r>
        <w:rPr>
          <w:rFonts w:hint="eastAsia" w:ascii="黑体" w:hAnsi="黑体" w:eastAsia="黑体" w:cs="黑体"/>
          <w:b w:val="0"/>
          <w:bCs/>
          <w:color w:val="000000"/>
          <w:sz w:val="32"/>
          <w:szCs w:val="32"/>
          <w:highlight w:val="none"/>
        </w:rPr>
        <w:t>十</w:t>
      </w:r>
      <w:r>
        <w:rPr>
          <w:rFonts w:hint="eastAsia" w:ascii="黑体" w:hAnsi="黑体" w:eastAsia="黑体" w:cs="黑体"/>
          <w:b w:val="0"/>
          <w:bCs/>
          <w:color w:val="000000"/>
          <w:sz w:val="32"/>
          <w:szCs w:val="32"/>
          <w:highlight w:val="none"/>
          <w:lang w:val="zh-CN" w:eastAsia="zh-CN"/>
        </w:rPr>
        <w:t>九</w:t>
      </w:r>
      <w:r>
        <w:rPr>
          <w:rFonts w:hint="eastAsia" w:ascii="黑体" w:hAnsi="黑体" w:eastAsia="黑体" w:cs="黑体"/>
          <w:b w:val="0"/>
          <w:bCs/>
          <w:color w:val="000000"/>
          <w:sz w:val="32"/>
          <w:szCs w:val="32"/>
          <w:highlight w:val="none"/>
        </w:rPr>
        <w:t>条</w:t>
      </w:r>
      <w:r>
        <w:rPr>
          <w:rFonts w:hint="eastAsia" w:ascii="仿宋_GB2312" w:hAnsi="仿宋_GB2312" w:eastAsia="仿宋_GB2312" w:cs="仿宋_GB2312"/>
          <w:color w:val="000000"/>
          <w:sz w:val="32"/>
          <w:szCs w:val="32"/>
          <w:highlight w:val="none"/>
        </w:rPr>
        <w:t xml:space="preserve">  </w:t>
      </w:r>
      <w:r>
        <w:rPr>
          <w:rFonts w:hint="eastAsia" w:ascii="仿宋_GB2312" w:hAnsi="仿宋_GB2312" w:eastAsia="仿宋_GB2312" w:cs="仿宋_GB2312"/>
          <w:color w:val="000000"/>
          <w:spacing w:val="-8"/>
          <w:kern w:val="0"/>
          <w:sz w:val="32"/>
          <w:szCs w:val="32"/>
          <w:highlight w:val="none"/>
          <w:lang w:val="zh-CN"/>
        </w:rPr>
        <w:t>违反本条例规定，在标注柴达木枸杞地理标志产品专用标志的枸杞中掺杂非本产区枸杞的，由州人民政府或者枸杞产区的市（县）人民政府、行委市场监管部门依据职权给予警告，没收非法所得，并处货值金</w:t>
      </w:r>
      <w:r>
        <w:rPr>
          <w:rFonts w:hint="eastAsia" w:ascii="仿宋_GB2312" w:hAnsi="仿宋_GB2312" w:eastAsia="仿宋_GB2312" w:cs="仿宋_GB2312"/>
          <w:color w:val="000000"/>
          <w:sz w:val="32"/>
          <w:szCs w:val="32"/>
          <w:highlight w:val="none"/>
          <w:lang w:val="zh-CN"/>
        </w:rPr>
        <w:t>额一倍以上五倍以</w:t>
      </w:r>
      <w:r>
        <w:rPr>
          <w:rFonts w:hint="eastAsia" w:ascii="仿宋_GB2312" w:hAnsi="仿宋_GB2312" w:eastAsia="仿宋_GB2312" w:cs="仿宋_GB2312"/>
          <w:color w:val="000000"/>
          <w:spacing w:val="-8"/>
          <w:kern w:val="0"/>
          <w:sz w:val="32"/>
          <w:szCs w:val="32"/>
          <w:highlight w:val="none"/>
          <w:lang w:val="zh-CN"/>
        </w:rPr>
        <w:t>下罚款；情节严重的，责令停产停业。</w:t>
      </w:r>
    </w:p>
    <w:p>
      <w:pPr>
        <w:pStyle w:val="4"/>
        <w:keepNext w:val="0"/>
        <w:keepLines w:val="0"/>
        <w:pageBreakBefore w:val="0"/>
        <w:widowControl w:val="0"/>
        <w:kinsoku/>
        <w:wordWrap/>
        <w:overflowPunct/>
        <w:topLinePunct w:val="0"/>
        <w:bidi w:val="0"/>
        <w:spacing w:line="580" w:lineRule="exact"/>
        <w:ind w:right="0" w:rightChars="0"/>
        <w:textAlignment w:val="auto"/>
        <w:outlineLvl w:val="9"/>
      </w:pP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jc w:val="center"/>
        <w:textAlignment w:val="auto"/>
        <w:outlineLvl w:val="9"/>
        <w:rPr>
          <w:rFonts w:ascii="黑体" w:hAnsi="黑体" w:eastAsia="黑体" w:cs="Arial"/>
          <w:color w:val="000000"/>
          <w:sz w:val="32"/>
          <w:szCs w:val="32"/>
          <w:highlight w:val="none"/>
        </w:rPr>
      </w:pPr>
      <w:r>
        <w:rPr>
          <w:rFonts w:hint="eastAsia" w:ascii="黑体" w:hAnsi="黑体" w:eastAsia="黑体" w:cs="Arial"/>
          <w:color w:val="000000"/>
          <w:sz w:val="32"/>
          <w:szCs w:val="32"/>
          <w:highlight w:val="none"/>
        </w:rPr>
        <w:t>第七章  附则</w:t>
      </w:r>
    </w:p>
    <w:p>
      <w:pPr>
        <w:keepNext w:val="0"/>
        <w:keepLines w:val="0"/>
        <w:pageBreakBefore w:val="0"/>
        <w:widowControl w:val="0"/>
        <w:kinsoku/>
        <w:wordWrap/>
        <w:overflowPunct/>
        <w:topLinePunct w:val="0"/>
        <w:autoSpaceDE w:val="0"/>
        <w:autoSpaceDN w:val="0"/>
        <w:bidi w:val="0"/>
        <w:adjustRightInd w:val="0"/>
        <w:spacing w:line="580" w:lineRule="exact"/>
        <w:ind w:right="0" w:rightChars="0" w:firstLine="611"/>
        <w:textAlignment w:val="auto"/>
        <w:outlineLvl w:val="9"/>
        <w:rPr>
          <w:rFonts w:ascii="仿宋_GB2312" w:hAnsi="Arial" w:eastAsia="仿宋_GB2312" w:cs="Arial"/>
          <w:b/>
          <w:color w:val="000000"/>
          <w:sz w:val="32"/>
          <w:szCs w:val="32"/>
          <w:highlight w:val="none"/>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4" w:firstLineChars="200"/>
        <w:jc w:val="both"/>
        <w:textAlignment w:val="auto"/>
        <w:outlineLvl w:val="9"/>
        <w:rPr>
          <w:rFonts w:hint="eastAsia" w:ascii="仿宋_GB2312" w:eastAsia="仿宋_GB2312" w:cs="仿宋_GB2312"/>
          <w:color w:val="000000"/>
          <w:spacing w:val="-8"/>
          <w:kern w:val="0"/>
          <w:sz w:val="32"/>
          <w:szCs w:val="32"/>
          <w:highlight w:val="none"/>
          <w:lang w:val="zh-CN"/>
        </w:rPr>
      </w:pPr>
      <w:r>
        <w:rPr>
          <w:rFonts w:hint="eastAsia" w:ascii="黑体" w:hAnsi="黑体" w:eastAsia="黑体" w:cs="黑体"/>
          <w:b w:val="0"/>
          <w:bCs/>
          <w:color w:val="000000"/>
          <w:sz w:val="32"/>
          <w:szCs w:val="32"/>
          <w:highlight w:val="none"/>
        </w:rPr>
        <w:t>第四十条</w:t>
      </w:r>
      <w:r>
        <w:rPr>
          <w:rFonts w:hint="eastAsia" w:ascii="仿宋_GB2312" w:hAnsi="Arial" w:eastAsia="仿宋_GB2312" w:cs="Arial"/>
          <w:color w:val="000000"/>
          <w:sz w:val="32"/>
          <w:szCs w:val="32"/>
          <w:highlight w:val="none"/>
        </w:rPr>
        <w:t xml:space="preserve"> </w:t>
      </w:r>
      <w:r>
        <w:rPr>
          <w:rFonts w:hint="eastAsia" w:ascii="仿宋_GB2312" w:eastAsia="仿宋_GB2312" w:cs="仿宋_GB2312"/>
          <w:color w:val="000000"/>
          <w:spacing w:val="-8"/>
          <w:kern w:val="0"/>
          <w:sz w:val="32"/>
          <w:szCs w:val="32"/>
          <w:highlight w:val="none"/>
          <w:lang w:val="zh-CN"/>
        </w:rPr>
        <w:t xml:space="preserve"> 本</w:t>
      </w:r>
      <w:r>
        <w:rPr>
          <w:rFonts w:hint="eastAsia" w:eastAsia="仿宋_GB2312"/>
          <w:color w:val="000000"/>
          <w:sz w:val="32"/>
          <w:szCs w:val="32"/>
          <w:highlight w:val="none"/>
          <w:lang w:val="zh-CN"/>
        </w:rPr>
        <w:t>条例自2019年</w:t>
      </w:r>
      <w:r>
        <w:rPr>
          <w:rFonts w:hint="eastAsia" w:eastAsia="仿宋_GB2312"/>
          <w:color w:val="000000"/>
          <w:sz w:val="32"/>
          <w:szCs w:val="32"/>
          <w:highlight w:val="none"/>
          <w:lang w:val="en-US" w:eastAsia="zh-CN"/>
        </w:rPr>
        <w:t>11</w:t>
      </w:r>
      <w:r>
        <w:rPr>
          <w:rFonts w:hint="eastAsia" w:eastAsia="仿宋_GB2312"/>
          <w:color w:val="000000"/>
          <w:sz w:val="32"/>
          <w:szCs w:val="32"/>
          <w:highlight w:val="none"/>
          <w:lang w:val="zh-CN"/>
        </w:rPr>
        <w:t>月</w:t>
      </w:r>
      <w:r>
        <w:rPr>
          <w:rFonts w:hint="eastAsia" w:eastAsia="仿宋_GB2312"/>
          <w:color w:val="000000"/>
          <w:sz w:val="32"/>
          <w:szCs w:val="32"/>
          <w:highlight w:val="none"/>
          <w:lang w:val="en-US" w:eastAsia="zh-CN"/>
        </w:rPr>
        <w:t>1</w:t>
      </w:r>
      <w:r>
        <w:rPr>
          <w:rFonts w:hint="eastAsia" w:eastAsia="仿宋_GB2312"/>
          <w:color w:val="000000"/>
          <w:sz w:val="32"/>
          <w:szCs w:val="32"/>
          <w:highlight w:val="none"/>
          <w:lang w:val="zh-CN"/>
        </w:rPr>
        <w:t>日起施行</w:t>
      </w:r>
      <w:r>
        <w:rPr>
          <w:rFonts w:hint="eastAsia" w:ascii="仿宋_GB2312" w:eastAsia="仿宋_GB2312" w:cs="仿宋_GB2312"/>
          <w:color w:val="000000"/>
          <w:spacing w:val="-8"/>
          <w:kern w:val="0"/>
          <w:sz w:val="32"/>
          <w:szCs w:val="32"/>
          <w:highlight w:val="none"/>
          <w:lang w:val="zh-CN"/>
        </w:rPr>
        <w:t>。</w:t>
      </w:r>
    </w:p>
    <w:p/>
    <w:sectPr>
      <w:footerReference r:id="rId3" w:type="default"/>
      <w:footerReference r:id="rId4" w:type="even"/>
      <w:pgSz w:w="11906" w:h="16838"/>
      <w:pgMar w:top="2098" w:right="1587" w:bottom="2098" w:left="1587" w:header="851" w:footer="113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Consolas">
    <w:panose1 w:val="020B0609020204030204"/>
    <w:charset w:val="00"/>
    <w:family w:val="auto"/>
    <w:pitch w:val="default"/>
    <w:sig w:usb0="E10002FF" w:usb1="4000FCFF" w:usb2="00000009" w:usb3="00000000" w:csb0="6000019F" w:csb1="DFD70000"/>
  </w:font>
  <w:font w:name="LilyUPC">
    <w:panose1 w:val="020B0604020202020204"/>
    <w:charset w:val="00"/>
    <w:family w:val="auto"/>
    <w:pitch w:val="default"/>
    <w:sig w:usb0="01000007" w:usb1="00000002" w:usb2="00000000" w:usb3="00000000" w:csb0="00010001" w:csb1="00000000"/>
  </w:font>
  <w:font w:name="iconfont">
    <w:altName w:val="MingLiU"/>
    <w:panose1 w:val="00000000000000000000"/>
    <w:charset w:val="00"/>
    <w:family w:val="auto"/>
    <w:pitch w:val="default"/>
    <w:sig w:usb0="00000000" w:usb1="00000000" w:usb2="00000000" w:usb3="00000000" w:csb0="00000000" w:csb1="00000000"/>
  </w:font>
  <w:font w:name="HG Mincho Light J">
    <w:altName w:val="Times New Roman"/>
    <w:panose1 w:val="00000000000000000000"/>
    <w:charset w:val="00"/>
    <w:family w:val="auto"/>
    <w:pitch w:val="default"/>
    <w:sig w:usb0="00000000" w:usb1="00000000" w:usb2="00000000" w:usb3="00000000" w:csb0="00000001" w:csb1="00000000"/>
  </w:font>
  <w:font w:name="黑体">
    <w:panose1 w:val="02010600030101010101"/>
    <w:charset w:val="7A"/>
    <w:family w:val="modern"/>
    <w:pitch w:val="default"/>
    <w:sig w:usb0="800002BF" w:usb1="38CF7CFA" w:usb2="00000016" w:usb3="00000000" w:csb0="00040001" w:csb1="00000000"/>
  </w:font>
  <w:font w:name="mircosoft yahei">
    <w:altName w:val="微软雅黑"/>
    <w:panose1 w:val="00000000000000000000"/>
    <w:charset w:val="00"/>
    <w:family w:val="auto"/>
    <w:pitch w:val="default"/>
    <w:sig w:usb0="00000000" w:usb1="00000000" w:usb2="00000000" w:usb3="00000000" w:csb0="00040001" w:csb1="00000000"/>
  </w:font>
  <w:font w:name="Malgun Gothic Semilight">
    <w:altName w:val="宋体"/>
    <w:panose1 w:val="020B0502040204020203"/>
    <w:charset w:val="86"/>
    <w:family w:val="auto"/>
    <w:pitch w:val="default"/>
    <w:sig w:usb0="00000000" w:usb1="00000000" w:usb2="00000012" w:usb3="00000000" w:csb0="003E01BD" w:csb1="00000000"/>
  </w:font>
  <w:font w:name="方正公文小标宋">
    <w:altName w:val="宋体"/>
    <w:panose1 w:val="02000000000000000000"/>
    <w:charset w:val="86"/>
    <w:family w:val="auto"/>
    <w:pitch w:val="default"/>
    <w:sig w:usb0="00000000" w:usb1="00000000" w:usb2="00000010" w:usb3="00000000" w:csb0="00040000"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baikeFont_layout">
    <w:altName w:val="微软雅黑"/>
    <w:panose1 w:val="00000000000000000000"/>
    <w:charset w:val="01"/>
    <w:family w:val="auto"/>
    <w:pitch w:val="default"/>
    <w:sig w:usb0="00000000" w:usb1="00000000" w:usb2="00000000" w:usb3="00000000" w:csb0="00040001"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汉仪旗黑-55S">
    <w:altName w:val="黑体"/>
    <w:panose1 w:val="00020600040101010101"/>
    <w:charset w:val="86"/>
    <w:family w:val="auto"/>
    <w:pitch w:val="default"/>
    <w:sig w:usb0="00000000" w:usb1="00000000" w:usb2="00000016" w:usb3="00000000" w:csb0="00040000"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cnrfont">
    <w:altName w:val="微软雅黑"/>
    <w:panose1 w:val="00000000000000000000"/>
    <w:charset w:val="00"/>
    <w:family w:val="auto"/>
    <w:pitch w:val="default"/>
    <w:sig w:usb0="00000000" w:usb1="00000000" w:usb2="00000000" w:usb3="00000000" w:csb0="00040001" w:csb1="00000000"/>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Yu Gothic UI Semilight">
    <w:altName w:val="Meiryo UI"/>
    <w:panose1 w:val="020B0400000000000000"/>
    <w:charset w:val="80"/>
    <w:family w:val="auto"/>
    <w:pitch w:val="default"/>
    <w:sig w:usb0="00000000" w:usb1="00000000" w:usb2="00000016" w:usb3="00000000" w:csb0="2002009F" w:csb1="00000000"/>
  </w:font>
  <w:font w:name="宋体 ! important">
    <w:altName w:val="宋体"/>
    <w:panose1 w:val="00000000000000000000"/>
    <w:charset w:val="00"/>
    <w:family w:val="auto"/>
    <w:pitch w:val="default"/>
    <w:sig w:usb0="00000000" w:usb1="00000000" w:usb2="00000000" w:usb3="00000000" w:csb0="00040001"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Segoe UI Black">
    <w:altName w:val="Segoe UI"/>
    <w:panose1 w:val="020B0A02040204020203"/>
    <w:charset w:val="00"/>
    <w:family w:val="auto"/>
    <w:pitch w:val="default"/>
    <w:sig w:usb0="00000000" w:usb1="00000000" w:usb2="00000021" w:usb3="00000000" w:csb0="2000019F"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Yu Gothic UI Semibold">
    <w:altName w:val="Meiryo UI"/>
    <w:panose1 w:val="020B0700000000000000"/>
    <w:charset w:val="80"/>
    <w:family w:val="auto"/>
    <w:pitch w:val="default"/>
    <w:sig w:usb0="00000000" w:usb1="00000000" w:usb2="00000016" w:usb3="00000000" w:csb0="2002009F" w:csb1="00000000"/>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Leelawadee UI">
    <w:altName w:val="Microsoft Sans Serif"/>
    <w:panose1 w:val="020B0502040204020203"/>
    <w:charset w:val="00"/>
    <w:family w:val="auto"/>
    <w:pitch w:val="default"/>
    <w:sig w:usb0="00000000" w:usb1="00000000" w:usb2="00010000" w:usb3="00000001" w:csb0="000101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Sitka Text">
    <w:altName w:val="Microsoft Sans Serif"/>
    <w:panose1 w:val="02000505000000020004"/>
    <w:charset w:val="00"/>
    <w:family w:val="auto"/>
    <w:pitch w:val="default"/>
    <w:sig w:usb0="00000000" w:usb1="00000000" w:usb2="00000000" w:usb3="00000000" w:csb0="2000019F" w:csb1="00000000"/>
  </w:font>
  <w:font w:name="Yu Mincho">
    <w:altName w:val="Meiryo UI"/>
    <w:panose1 w:val="02020400000000000000"/>
    <w:charset w:val="80"/>
    <w:family w:val="auto"/>
    <w:pitch w:val="default"/>
    <w:sig w:usb0="00000000" w:usb1="00000000" w:usb2="00000012" w:usb3="00000000" w:csb0="2002009F" w:csb1="00000000"/>
  </w:font>
  <w:font w:name="汉仪旗黑-55">
    <w:altName w:val="黑体"/>
    <w:panose1 w:val="00020600040101010101"/>
    <w:charset w:val="86"/>
    <w:family w:val="auto"/>
    <w:pitch w:val="default"/>
    <w:sig w:usb0="00000000" w:usb1="00000000" w:usb2="00000016" w:usb3="00000000" w:csb0="00040000"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swiss"/>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Lucida Console"/>
    <w:panose1 w:val="02010609000101010101"/>
    <w:charset w:val="00"/>
    <w:family w:val="auto"/>
    <w:pitch w:val="default"/>
    <w:sig w:usb0="00000000" w:usb1="00000000" w:usb2="00000000" w:usb3="00000000" w:csb0="00000000" w:csb1="00000000"/>
  </w:font>
  <w:font w:name="ikonw_qb_new">
    <w:altName w:val="Latha"/>
    <w:panose1 w:val="00000000000000000000"/>
    <w:charset w:val="00"/>
    <w:family w:val="auto"/>
    <w:pitch w:val="default"/>
    <w:sig w:usb0="00000000" w:usb1="00000000" w:usb2="00000000" w:usb3="00000000" w:csb0="00000000" w:csb1="00000000"/>
  </w:font>
  <w:font w:name="iknow-icons">
    <w:altName w:val="Latha"/>
    <w:panose1 w:val="00000000000000000000"/>
    <w:charset w:val="00"/>
    <w:family w:val="auto"/>
    <w:pitch w:val="default"/>
    <w:sig w:usb0="00000000" w:usb1="00000000" w:usb2="00000000" w:usb3="00000000" w:csb0="00000000" w:csb1="00000000"/>
  </w:font>
  <w:font w:name="iknow-qb_replyer_icons">
    <w:altName w:val="Latha"/>
    <w:panose1 w:val="00000000000000000000"/>
    <w:charset w:val="00"/>
    <w:family w:val="auto"/>
    <w:pitch w:val="default"/>
    <w:sig w:usb0="00000000" w:usb1="00000000" w:usb2="00000000" w:usb3="00000000" w:csb0="00000000" w:csb1="00000000"/>
  </w:font>
  <w:font w:name="icon-font">
    <w:altName w:val="Latha"/>
    <w:panose1 w:val="00000000000000000000"/>
    <w:charset w:val="00"/>
    <w:family w:val="auto"/>
    <w:pitch w:val="default"/>
    <w:sig w:usb0="00000000" w:usb1="00000000" w:usb2="00000000" w:usb3="00000000" w:csb0="00000000" w:csb1="00000000"/>
  </w:font>
  <w:font w:name="iknow-qb_home_icons">
    <w:altName w:val="Latha"/>
    <w:panose1 w:val="00000000000000000000"/>
    <w:charset w:val="00"/>
    <w:family w:val="auto"/>
    <w:pitch w:val="default"/>
    <w:sig w:usb0="00000000" w:usb1="00000000" w:usb2="00000000" w:usb3="00000000" w:csb0="00000000" w:csb1="00000000"/>
  </w:font>
  <w:font w:name="iknow-qb_share_icons">
    <w:altName w:val="Latha"/>
    <w:panose1 w:val="00000000000000000000"/>
    <w:charset w:val="00"/>
    <w:family w:val="auto"/>
    <w:pitch w:val="default"/>
    <w:sig w:usb0="00000000" w:usb1="00000000" w:usb2="00000000" w:usb3="00000000" w:csb0="00000000" w:csb1="00000000"/>
  </w:font>
  <w:font w:name="iknow-qb_grade_icons">
    <w:altName w:val="Latha"/>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000" w:usb3="00000404" w:csb0="00000093" w:csb1="00000000"/>
  </w:font>
  <w:font w:name="Magneto">
    <w:panose1 w:val="04030805050802020D02"/>
    <w:charset w:val="00"/>
    <w:family w:val="auto"/>
    <w:pitch w:val="default"/>
    <w:sig w:usb0="00000003" w:usb1="00000000" w:usb2="00000000" w:usb3="00000000" w:csb0="20000001" w:csb1="00000000"/>
  </w:font>
  <w:font w:name="Leelawadee">
    <w:panose1 w:val="020B0502040204020203"/>
    <w:charset w:val="00"/>
    <w:family w:val="auto"/>
    <w:pitch w:val="default"/>
    <w:sig w:usb0="810000AF" w:usb1="4000204B" w:usb2="00000000" w:usb3="00000000" w:csb0="2001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Modern No. 20">
    <w:panose1 w:val="02070704070505020303"/>
    <w:charset w:val="00"/>
    <w:family w:val="auto"/>
    <w:pitch w:val="default"/>
    <w:sig w:usb0="00000003" w:usb1="00000000" w:usb2="00000000" w:usb3="00000000" w:csb0="20000001" w:csb1="0000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onotype Corsiva">
    <w:panose1 w:val="03010101010201010101"/>
    <w:charset w:val="00"/>
    <w:family w:val="auto"/>
    <w:pitch w:val="default"/>
    <w:sig w:usb0="00000287" w:usb1="00000000" w:usb2="00000000" w:usb3="00000000" w:csb0="2000009F" w:csb1="DFD7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FontAwesome">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仿宋">
    <w:panose1 w:val="02010609060101010101"/>
    <w:charset w:val="7A"/>
    <w:family w:val="auto"/>
    <w:pitch w:val="default"/>
    <w:sig w:usb0="800002BF" w:usb1="38CF7CFA" w:usb2="00000016" w:usb3="00000000" w:csb0="00040001" w:csb1="00000000"/>
  </w:font>
  <w:font w:name="Calibri">
    <w:panose1 w:val="020F0502020204030204"/>
    <w:charset w:val="7A"/>
    <w:family w:val="swiss"/>
    <w:pitch w:val="default"/>
    <w:sig w:usb0="E00002FF" w:usb1="4000ACFF" w:usb2="00000001" w:usb3="00000000" w:csb0="2000019F" w:csb1="00000000"/>
  </w:font>
  <w:font w:name="微软繁综艺">
    <w:panose1 w:val="00000000000000000000"/>
    <w:charset w:val="00"/>
    <w:family w:val="auto"/>
    <w:pitch w:val="default"/>
    <w:sig w:usb0="00000000" w:usb1="00000000" w:usb2="00000000" w:usb3="00000000" w:csb0="00000000" w:csb1="00000000"/>
  </w:font>
  <w:font w:name="VideoJS">
    <w:altName w:val="MingLiU"/>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微软繁粗圆">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324F93"/>
    <w:rsid w:val="64525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uiPriority w:val="0"/>
    <w:pPr>
      <w:spacing w:after="120" w:afterLines="0"/>
    </w:pPr>
  </w:style>
  <w:style w:type="paragraph" w:styleId="4">
    <w:name w:val="Body Text Indent"/>
    <w:basedOn w:val="1"/>
    <w:uiPriority w:val="0"/>
    <w:pPr>
      <w:spacing w:line="360" w:lineRule="auto"/>
      <w:ind w:firstLine="200" w:firstLineChars="200"/>
    </w:pPr>
    <w:rPr>
      <w:sz w:val="2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2019-11-11T08:01:21Z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