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西宁市建设绿色发展样板城市促进条例</w:t>
      </w:r>
    </w:p>
    <w:p>
      <w:pPr>
        <w:pStyle w:val="2"/>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rPr>
      </w:pPr>
    </w:p>
    <w:p>
      <w:pPr>
        <w:pStyle w:val="2"/>
        <w:keepNext w:val="0"/>
        <w:keepLines w:val="0"/>
        <w:pageBreakBefore w:val="0"/>
        <w:widowControl w:val="0"/>
        <w:kinsoku/>
        <w:wordWrap/>
        <w:overflowPunct/>
        <w:topLinePunct w:val="0"/>
        <w:autoSpaceDE/>
        <w:autoSpaceDN/>
        <w:bidi w:val="0"/>
        <w:adjustRightInd/>
        <w:snapToGrid/>
        <w:spacing w:after="0" w:afterLines="0" w:line="600" w:lineRule="exact"/>
        <w:ind w:left="632" w:leftChars="200" w:right="632" w:rightChars="200" w:firstLine="0" w:firstLineChars="0"/>
        <w:jc w:val="both"/>
        <w:textAlignment w:val="auto"/>
        <w:outlineLvl w:val="9"/>
        <w:rPr>
          <w:rFonts w:hint="eastAsia" w:ascii="楷体_GB2312" w:hAnsi="楷体_GB2312" w:eastAsia="楷体_GB2312" w:cs="楷体_GB2312"/>
          <w:b w:val="0"/>
          <w:bCs/>
          <w:sz w:val="30"/>
          <w:szCs w:val="30"/>
        </w:rPr>
      </w:pPr>
      <w:r>
        <w:rPr>
          <w:rFonts w:hint="eastAsia" w:ascii="楷体_GB2312" w:hAnsi="楷体_GB2312" w:eastAsia="楷体_GB2312" w:cs="楷体_GB2312"/>
          <w:b w:val="0"/>
          <w:bCs/>
          <w:sz w:val="30"/>
          <w:szCs w:val="30"/>
        </w:rPr>
        <w:t>(2018年10月25日西宁市第十六届人民代表大会常务委员会第十四次会议通过</w:t>
      </w:r>
      <w:r>
        <w:rPr>
          <w:rFonts w:hint="eastAsia" w:ascii="楷体_GB2312" w:hAnsi="楷体_GB2312" w:eastAsia="楷体_GB2312" w:cs="楷体_GB2312"/>
          <w:b w:val="0"/>
          <w:bCs/>
          <w:sz w:val="30"/>
          <w:szCs w:val="30"/>
          <w:lang w:val="en-US" w:eastAsia="zh-CN"/>
        </w:rPr>
        <w:t xml:space="preserve"> </w:t>
      </w:r>
      <w:r>
        <w:rPr>
          <w:rFonts w:hint="eastAsia" w:ascii="楷体_GB2312" w:hAnsi="楷体_GB2312" w:eastAsia="楷体_GB2312" w:cs="楷体_GB2312"/>
          <w:b w:val="0"/>
          <w:bCs/>
          <w:color w:val="000000"/>
          <w:kern w:val="0"/>
          <w:sz w:val="30"/>
          <w:szCs w:val="30"/>
          <w:lang w:val="en-US" w:eastAsia="zh-CN"/>
        </w:rPr>
        <w:t xml:space="preserve"> </w:t>
      </w:r>
      <w:r>
        <w:rPr>
          <w:rFonts w:hint="eastAsia" w:ascii="楷体_GB2312" w:hAnsi="楷体_GB2312" w:eastAsia="楷体_GB2312" w:cs="楷体_GB2312"/>
          <w:b w:val="0"/>
          <w:bCs/>
          <w:color w:val="auto"/>
          <w:spacing w:val="0"/>
          <w:sz w:val="30"/>
          <w:szCs w:val="30"/>
          <w:lang w:val="en-US" w:eastAsia="zh-CN"/>
        </w:rPr>
        <w:t>2018年11月28日青海省第十三届人民代表大会常务委员会第七次会议批准</w:t>
      </w:r>
      <w:r>
        <w:rPr>
          <w:rFonts w:hint="eastAsia" w:ascii="楷体_GB2312" w:hAnsi="楷体_GB2312" w:eastAsia="楷体_GB2312" w:cs="楷体_GB2312"/>
          <w:b w:val="0"/>
          <w:bCs/>
          <w:sz w:val="30"/>
          <w:szCs w:val="30"/>
        </w:rPr>
        <w:t>)</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目    </w:t>
      </w:r>
      <w:bookmarkStart w:id="0" w:name="_GoBack"/>
      <w:bookmarkEnd w:id="0"/>
      <w:r>
        <w:rPr>
          <w:rFonts w:hint="eastAsia" w:ascii="楷体_GB2312" w:hAnsi="楷体_GB2312" w:eastAsia="楷体_GB2312" w:cs="楷体_GB2312"/>
          <w:sz w:val="32"/>
          <w:szCs w:val="32"/>
          <w:lang w:val="en-US"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Calibri"/>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黑体" w:hAnsi="黑体" w:eastAsia="黑体" w:cs="Calibri"/>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黑体" w:hAnsi="黑体" w:eastAsia="黑体" w:cs="Calibri"/>
          <w:sz w:val="32"/>
          <w:szCs w:val="32"/>
          <w:lang w:val="en-US" w:eastAsia="zh-CN"/>
        </w:rPr>
      </w:pPr>
      <w:r>
        <w:rPr>
          <w:rFonts w:hint="eastAsia" w:ascii="楷体_GB2312" w:hAnsi="楷体_GB2312" w:eastAsia="楷体_GB2312" w:cs="楷体_GB2312"/>
          <w:sz w:val="32"/>
          <w:szCs w:val="32"/>
          <w:lang w:val="en-US" w:eastAsia="zh-CN"/>
        </w:rPr>
        <w:t>第二章  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第三章 </w:t>
      </w:r>
      <w:r>
        <w:rPr>
          <w:rFonts w:hint="eastAsia" w:ascii="黑体" w:hAnsi="黑体" w:eastAsia="黑体" w:cs="Calibri"/>
          <w:sz w:val="32"/>
          <w:szCs w:val="32"/>
          <w:lang w:val="en-US" w:eastAsia="zh-CN"/>
        </w:rPr>
        <w:t xml:space="preserve"> </w:t>
      </w:r>
      <w:r>
        <w:rPr>
          <w:rFonts w:hint="eastAsia" w:ascii="楷体_GB2312" w:hAnsi="楷体_GB2312" w:eastAsia="楷体_GB2312" w:cs="楷体_GB2312"/>
          <w:sz w:val="32"/>
          <w:szCs w:val="32"/>
          <w:lang w:val="en-US" w:eastAsia="zh-CN"/>
        </w:rPr>
        <w:t>保护与治理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监督与保障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eastAsia" w:ascii="黑体" w:hAnsi="黑体" w:eastAsia="黑体" w:cs="Calibri"/>
          <w:sz w:val="32"/>
          <w:szCs w:val="32"/>
          <w:lang w:val="en-US" w:eastAsia="zh-CN"/>
        </w:rPr>
        <w:t xml:space="preserve">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0" w:firstLineChars="0"/>
        <w:jc w:val="both"/>
        <w:textAlignment w:val="auto"/>
        <w:outlineLvl w:val="9"/>
        <w:rPr>
          <w:rFonts w:ascii="仿宋_GB2312" w:hAnsi="黑体" w:eastAsia="仿宋_GB2312" w:cs="黑体"/>
          <w:sz w:val="32"/>
          <w:szCs w:val="32"/>
        </w:rPr>
      </w:pP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jc w:val="both"/>
        <w:textAlignment w:val="auto"/>
        <w:outlineLvl w:val="9"/>
        <w:rPr>
          <w:rFonts w:ascii="仿宋_GB2312" w:hAnsi="Calibri" w:eastAsia="仿宋_GB2312" w:cs="Calibri"/>
          <w:sz w:val="32"/>
          <w:szCs w:val="32"/>
        </w:rPr>
      </w:pP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黑体" w:hAnsi="黑体" w:eastAsia="黑体" w:cs="黑体"/>
          <w:b w:val="0"/>
          <w:bCs w:val="0"/>
          <w:sz w:val="32"/>
          <w:szCs w:val="32"/>
        </w:rPr>
        <w:t>第一条</w:t>
      </w:r>
      <w:r>
        <w:rPr>
          <w:rFonts w:hint="eastAsia" w:ascii="仿宋_GB2312" w:hAnsi="Calibri" w:eastAsia="仿宋_GB2312" w:cs="Calibri"/>
          <w:sz w:val="32"/>
          <w:szCs w:val="32"/>
        </w:rPr>
        <w:t xml:space="preserve">  为了促进建设</w:t>
      </w:r>
      <w:r>
        <w:rPr>
          <w:rFonts w:hint="eastAsia" w:ascii="仿宋_GB2312" w:hAnsi="黑体" w:eastAsia="仿宋_GB2312" w:cs="Calibri"/>
          <w:sz w:val="32"/>
          <w:szCs w:val="32"/>
        </w:rPr>
        <w:t>绿色发展样板城市</w:t>
      </w:r>
      <w:r>
        <w:rPr>
          <w:rFonts w:hint="eastAsia" w:ascii="仿宋_GB2312" w:hAnsi="Calibri" w:eastAsia="仿宋_GB2312" w:cs="Calibri"/>
          <w:sz w:val="32"/>
          <w:szCs w:val="32"/>
        </w:rPr>
        <w:t>，实现城市发展与生态环境相融合、人与自然和谐相处，根据</w:t>
      </w:r>
      <w:r>
        <w:rPr>
          <w:rFonts w:hint="eastAsia" w:ascii="仿宋_GB2312" w:hAnsi="Calibri" w:eastAsia="仿宋_GB2312" w:cs="Calibri"/>
          <w:sz w:val="32"/>
          <w:szCs w:val="32"/>
          <w:lang w:val="en-US" w:eastAsia="zh-CN"/>
        </w:rPr>
        <w:t>《中华人民共和国环境保护法》《中华人民共和国节约能源法》《青海省生态文明建设促进条例》等</w:t>
      </w:r>
      <w:r>
        <w:rPr>
          <w:rFonts w:hint="eastAsia" w:ascii="仿宋_GB2312" w:hAnsi="Calibri" w:eastAsia="仿宋_GB2312" w:cs="Calibri"/>
          <w:sz w:val="32"/>
          <w:szCs w:val="32"/>
        </w:rPr>
        <w:t>法律、法规规定，结合本市实际，制定本条例。</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43"/>
        <w:textAlignment w:val="auto"/>
        <w:outlineLvl w:val="9"/>
        <w:rPr>
          <w:rFonts w:ascii="仿宋_GB2312" w:hAnsi="Calibri" w:eastAsia="仿宋_GB2312" w:cs="Calibri"/>
          <w:sz w:val="32"/>
          <w:szCs w:val="32"/>
        </w:rPr>
      </w:pPr>
      <w:r>
        <w:rPr>
          <w:rFonts w:hint="eastAsia" w:ascii="黑体" w:hAnsi="黑体" w:eastAsia="黑体" w:cs="黑体"/>
          <w:b w:val="0"/>
          <w:bCs w:val="0"/>
          <w:sz w:val="32"/>
          <w:szCs w:val="32"/>
        </w:rPr>
        <w:t>第二条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本市行政区域内建设绿色发展样板城市的相关活动，适用本条例。</w:t>
      </w:r>
    </w:p>
    <w:p>
      <w:pPr>
        <w:keepNext w:val="0"/>
        <w:keepLines w:val="0"/>
        <w:pageBreakBefore w:val="0"/>
        <w:widowControl/>
        <w:shd w:val="clear" w:color="auto" w:fill="FFFFFF"/>
        <w:kinsoku/>
        <w:wordWrap/>
        <w:overflowPunct/>
        <w:topLinePunct w:val="0"/>
        <w:autoSpaceDE/>
        <w:autoSpaceDN/>
        <w:bidi w:val="0"/>
        <w:adjustRightInd/>
        <w:snapToGrid/>
        <w:spacing w:after="0" w:afterLines="0"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Calibri" w:eastAsia="仿宋_GB2312" w:cs="Calibri"/>
          <w:sz w:val="32"/>
          <w:szCs w:val="32"/>
        </w:rPr>
        <w:t>建设绿色发展样板城市，应当树立</w:t>
      </w:r>
      <w:r>
        <w:rPr>
          <w:rFonts w:hint="eastAsia" w:ascii="仿宋_GB2312" w:hAnsi="Calibri" w:eastAsia="仿宋_GB2312" w:cs="Calibri"/>
          <w:sz w:val="32"/>
          <w:szCs w:val="32"/>
          <w:lang w:val="en-US" w:eastAsia="zh-CN"/>
        </w:rPr>
        <w:t>尊重自然、顺应自然、保护自然的理念，贯彻节约资源和保护自然环境的基本国策，把生态文明建设融入经济建设、政治建设、文化建设、社会建设各方面和全过程，推动经济社会全方位、全要素、全周期地与自然生态环境有机融合，形成与生态文明新时代相适应的制度机制、空间格局、产业结构和生产生活方式。</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hAnsi="宋体"/>
          <w:kern w:val="0"/>
          <w:szCs w:val="20"/>
          <w:u w:val="none" w:color="000000"/>
        </w:rPr>
      </w:pPr>
      <w:r>
        <w:rPr>
          <w:rFonts w:hint="eastAsia" w:ascii="黑体" w:hAnsi="黑体" w:eastAsia="黑体" w:cs="黑体"/>
          <w:b w:val="0"/>
          <w:bCs w:val="0"/>
          <w:sz w:val="32"/>
          <w:szCs w:val="32"/>
        </w:rPr>
        <w:t>第三条</w:t>
      </w:r>
      <w:r>
        <w:rPr>
          <w:rFonts w:hint="eastAsia" w:ascii="仿宋_GB2312" w:eastAsia="仿宋_GB2312"/>
          <w:kern w:val="0"/>
          <w:sz w:val="32"/>
          <w:szCs w:val="32"/>
          <w:u w:val="none" w:color="000000"/>
        </w:rPr>
        <w:t xml:space="preserve">  建设绿色发展样板城市应当遵循生态</w:t>
      </w:r>
      <w:r>
        <w:rPr>
          <w:rFonts w:hint="eastAsia" w:ascii="仿宋_GB2312" w:eastAsia="仿宋_GB2312"/>
          <w:kern w:val="0"/>
          <w:sz w:val="32"/>
          <w:szCs w:val="32"/>
          <w:u w:val="none" w:color="000000"/>
          <w:lang w:eastAsia="zh-CN"/>
        </w:rPr>
        <w:t>保护</w:t>
      </w:r>
      <w:r>
        <w:rPr>
          <w:rFonts w:hint="eastAsia" w:ascii="仿宋_GB2312" w:eastAsia="仿宋_GB2312"/>
          <w:kern w:val="0"/>
          <w:sz w:val="32"/>
          <w:szCs w:val="32"/>
          <w:u w:val="none" w:color="000000"/>
        </w:rPr>
        <w:t>优先、绿色发展的原则，坚持党委领导、政府负责、多方参与、协同推进。</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Calibri"/>
          <w:sz w:val="32"/>
          <w:szCs w:val="32"/>
        </w:rPr>
      </w:pPr>
      <w:r>
        <w:rPr>
          <w:rFonts w:hint="eastAsia" w:ascii="黑体" w:hAnsi="黑体" w:eastAsia="黑体" w:cs="黑体"/>
          <w:b w:val="0"/>
          <w:bCs w:val="0"/>
          <w:sz w:val="32"/>
          <w:szCs w:val="32"/>
        </w:rPr>
        <w:t>第四条</w:t>
      </w:r>
      <w:r>
        <w:rPr>
          <w:rFonts w:hint="eastAsia" w:ascii="仿宋_GB2312" w:hAnsi="Calibri" w:eastAsia="仿宋_GB2312" w:cs="Calibri"/>
          <w:sz w:val="32"/>
          <w:szCs w:val="32"/>
        </w:rPr>
        <w:t xml:space="preserve">  市人民政府负责全市</w:t>
      </w:r>
      <w:r>
        <w:rPr>
          <w:rFonts w:hint="eastAsia" w:ascii="仿宋_GB2312" w:hAnsi="黑体" w:eastAsia="仿宋_GB2312" w:cs="Calibri"/>
          <w:sz w:val="32"/>
          <w:szCs w:val="32"/>
        </w:rPr>
        <w:t>建设</w:t>
      </w:r>
      <w:r>
        <w:rPr>
          <w:rFonts w:hint="eastAsia" w:ascii="仿宋_GB2312" w:hAnsi="Calibri" w:eastAsia="仿宋_GB2312" w:cs="Calibri"/>
          <w:sz w:val="32"/>
          <w:szCs w:val="32"/>
        </w:rPr>
        <w:t>绿色发展样板城市工作，按照</w:t>
      </w:r>
      <w:r>
        <w:rPr>
          <w:rFonts w:hint="eastAsia" w:ascii="仿宋_GB2312" w:hAnsi="黑体" w:eastAsia="仿宋_GB2312" w:cs="Calibri"/>
          <w:sz w:val="32"/>
          <w:szCs w:val="32"/>
        </w:rPr>
        <w:t>建设绿色发展样板城市主要任务</w:t>
      </w:r>
      <w:r>
        <w:rPr>
          <w:rFonts w:hint="eastAsia" w:ascii="隶书" w:hAnsi="隶书" w:eastAsia="隶书" w:cs="隶书"/>
          <w:sz w:val="32"/>
          <w:szCs w:val="32"/>
          <w:lang w:eastAsia="zh-CN"/>
        </w:rPr>
        <w:t>、</w:t>
      </w:r>
      <w:r>
        <w:rPr>
          <w:rFonts w:hint="eastAsia" w:ascii="仿宋_GB2312" w:hAnsi="黑体" w:eastAsia="仿宋_GB2312" w:cs="Calibri"/>
          <w:sz w:val="32"/>
          <w:szCs w:val="32"/>
        </w:rPr>
        <w:t>行动框架和发展指标开展工作，组织实施年度计划。</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Calibri" w:eastAsia="仿宋_GB2312" w:cs="Calibri"/>
          <w:sz w:val="32"/>
          <w:szCs w:val="32"/>
        </w:rPr>
      </w:pPr>
      <w:r>
        <w:rPr>
          <w:rFonts w:hint="eastAsia" w:ascii="仿宋_GB2312" w:hAnsi="Calibri" w:eastAsia="仿宋_GB2312" w:cs="Calibri"/>
          <w:sz w:val="32"/>
          <w:szCs w:val="32"/>
        </w:rPr>
        <w:t>县（区）人民政府、园区管委会组织实施本辖区建设绿色发展样板城市工作。</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Calibri"/>
          <w:sz w:val="32"/>
          <w:szCs w:val="32"/>
        </w:rPr>
      </w:pPr>
      <w:r>
        <w:rPr>
          <w:rFonts w:hint="eastAsia" w:ascii="仿宋_GB2312" w:hAnsi="Calibri" w:eastAsia="仿宋_GB2312" w:cs="Calibri"/>
          <w:sz w:val="32"/>
          <w:szCs w:val="32"/>
        </w:rPr>
        <w:t>市绿色发展协调机构负责统筹协调推进全市建设绿色发展样板城市工作。组织编制绿色发展总体规划和年度推进计划</w:t>
      </w:r>
      <w:r>
        <w:rPr>
          <w:rFonts w:hint="eastAsia" w:ascii="仿宋_GB2312" w:hAnsi="黑体" w:eastAsia="仿宋_GB2312" w:cs="Calibri"/>
          <w:sz w:val="32"/>
          <w:szCs w:val="32"/>
        </w:rPr>
        <w:t>；建立建设绿色发展样板城市协调、合作和激励机制；制定和实施建设绿色发展样板城市目标责任体系、考核办法和奖惩机制。</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Calibri" w:eastAsia="仿宋_GB2312" w:cs="Calibri"/>
          <w:sz w:val="32"/>
          <w:szCs w:val="32"/>
        </w:rPr>
      </w:pPr>
      <w:r>
        <w:rPr>
          <w:rFonts w:hint="eastAsia" w:ascii="仿宋_GB2312" w:hAnsi="黑体" w:eastAsia="仿宋_GB2312" w:cs="Calibri"/>
          <w:sz w:val="32"/>
          <w:szCs w:val="32"/>
        </w:rPr>
        <w:t>县（区）绿色发展协调机构负责协调推进本行政区域内的绿色发</w:t>
      </w:r>
      <w:r>
        <w:rPr>
          <w:rFonts w:hint="eastAsia" w:ascii="仿宋_GB2312" w:hAnsi="黑体" w:eastAsia="仿宋_GB2312" w:cs="宋体"/>
          <w:sz w:val="32"/>
          <w:szCs w:val="32"/>
        </w:rPr>
        <w:t>展样板城市建设工作。</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Calibri"/>
          <w:sz w:val="32"/>
          <w:szCs w:val="32"/>
        </w:rPr>
      </w:pPr>
      <w:r>
        <w:rPr>
          <w:rFonts w:hint="eastAsia" w:ascii="仿宋_GB2312" w:hAnsi="黑体" w:eastAsia="仿宋_GB2312" w:cs="Calibri"/>
          <w:sz w:val="32"/>
          <w:szCs w:val="32"/>
        </w:rPr>
        <w:t>县级以上人民政府有关部门按照各自职责做好建设绿色发展样板城市的相关工作。</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Calibri" w:eastAsia="仿宋_GB2312" w:cs="Calibri"/>
          <w:sz w:val="32"/>
          <w:szCs w:val="32"/>
        </w:rPr>
      </w:pPr>
      <w:r>
        <w:rPr>
          <w:rFonts w:hint="eastAsia" w:ascii="仿宋_GB2312" w:hAnsi="Calibri" w:eastAsia="仿宋_GB2312" w:cs="Calibri"/>
          <w:sz w:val="32"/>
          <w:szCs w:val="32"/>
        </w:rPr>
        <w:t>乡（镇）人民政府、街道办事处应当协助上级人民政府及有关部门做好建设绿色发展样板城市的相关工作。</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Calibri" w:eastAsia="仿宋_GB2312" w:cs="Calibri"/>
          <w:b/>
          <w:sz w:val="32"/>
          <w:szCs w:val="32"/>
        </w:rPr>
      </w:pPr>
      <w:r>
        <w:rPr>
          <w:rFonts w:hint="eastAsia" w:ascii="黑体" w:hAnsi="黑体" w:eastAsia="黑体" w:cs="黑体"/>
          <w:b w:val="0"/>
          <w:bCs w:val="0"/>
          <w:sz w:val="32"/>
          <w:szCs w:val="32"/>
        </w:rPr>
        <w:t>第五条</w:t>
      </w:r>
      <w:r>
        <w:rPr>
          <w:rFonts w:hint="eastAsia" w:ascii="仿宋_GB2312" w:hAnsi="Calibri" w:eastAsia="仿宋_GB2312" w:cs="Calibri"/>
          <w:b/>
          <w:bCs/>
          <w:sz w:val="32"/>
          <w:szCs w:val="32"/>
        </w:rPr>
        <w:t xml:space="preserve"> </w:t>
      </w:r>
      <w:r>
        <w:rPr>
          <w:rFonts w:hint="eastAsia" w:ascii="仿宋_GB2312" w:hAnsi="Calibri" w:eastAsia="仿宋_GB2312" w:cs="Calibri"/>
          <w:bCs/>
          <w:sz w:val="32"/>
          <w:szCs w:val="32"/>
        </w:rPr>
        <w:t xml:space="preserve"> </w:t>
      </w:r>
      <w:r>
        <w:rPr>
          <w:rFonts w:hint="eastAsia" w:ascii="仿宋_GB2312" w:hAnsi="Calibri" w:eastAsia="仿宋_GB2312" w:cs="Calibri"/>
          <w:sz w:val="32"/>
          <w:szCs w:val="32"/>
        </w:rPr>
        <w:t>鼓励公民、法人和其他组织参与建设绿色发展样板城市工作，开展绿色发展志愿服务</w:t>
      </w:r>
      <w:r>
        <w:rPr>
          <w:rFonts w:hint="eastAsia" w:ascii="仿宋_GB2312" w:hAnsi="黑体" w:eastAsia="仿宋_GB2312" w:cs="Calibri"/>
          <w:sz w:val="32"/>
          <w:szCs w:val="32"/>
        </w:rPr>
        <w:t>和宣传教育活动，</w:t>
      </w:r>
      <w:r>
        <w:rPr>
          <w:rFonts w:hint="eastAsia" w:ascii="仿宋_GB2312" w:hAnsi="Calibri" w:eastAsia="仿宋_GB2312" w:cs="Calibri"/>
          <w:sz w:val="32"/>
          <w:szCs w:val="32"/>
        </w:rPr>
        <w:t>购买和使用节能、节水、再生产品，减少一次性消费品使用，倡导绿色出行，形成简约适度、绿色低碳、文明健康的生活方式和消费模式。</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Calibri"/>
          <w:sz w:val="32"/>
          <w:szCs w:val="32"/>
        </w:rPr>
      </w:pPr>
      <w:r>
        <w:rPr>
          <w:rFonts w:hint="eastAsia" w:ascii="仿宋_GB2312" w:hAnsi="黑体" w:eastAsia="仿宋_GB2312" w:cs="Calibri"/>
          <w:sz w:val="32"/>
          <w:szCs w:val="32"/>
        </w:rPr>
        <w:t>鼓励园区、企业、社区、学校、医院、家庭等开展绿色发展实践，建设绿色园区、绿色企业、绿色社区、绿色学校、绿色医院和绿色家庭。</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20" w:firstLineChars="196"/>
        <w:outlineLvl w:val="9"/>
        <w:rPr>
          <w:rFonts w:ascii="仿宋_GB2312" w:hAnsi="Calibri" w:eastAsia="仿宋_GB2312" w:cs="Calibri"/>
          <w:b/>
          <w:sz w:val="32"/>
          <w:szCs w:val="32"/>
        </w:rPr>
      </w:pPr>
      <w:r>
        <w:rPr>
          <w:rFonts w:hint="eastAsia" w:ascii="黑体" w:hAnsi="黑体" w:eastAsia="黑体" w:cs="黑体"/>
          <w:b w:val="0"/>
          <w:bCs w:val="0"/>
          <w:sz w:val="32"/>
          <w:szCs w:val="32"/>
        </w:rPr>
        <w:t>第六条</w:t>
      </w:r>
      <w:r>
        <w:rPr>
          <w:rFonts w:hint="eastAsia" w:ascii="仿宋_GB2312" w:hAnsi="Calibri" w:eastAsia="仿宋_GB2312" w:cs="Calibri"/>
          <w:sz w:val="32"/>
          <w:szCs w:val="32"/>
        </w:rPr>
        <w:t xml:space="preserve">  市、县（区）人民政府、园区管委会及有关部门应当</w:t>
      </w:r>
      <w:r>
        <w:rPr>
          <w:rFonts w:hint="eastAsia" w:ascii="仿宋_GB2312" w:hAnsi="黑体" w:eastAsia="仿宋_GB2312" w:cs="Calibri"/>
          <w:sz w:val="32"/>
          <w:szCs w:val="32"/>
          <w:shd w:val="clear" w:color="auto" w:fill="FFFFFF"/>
        </w:rPr>
        <w:t>加强绿色发展宣传和绿色价值观教育，</w:t>
      </w:r>
      <w:r>
        <w:rPr>
          <w:rFonts w:hint="eastAsia" w:ascii="仿宋_GB2312" w:hAnsi="Calibri" w:eastAsia="仿宋_GB2312" w:cs="Calibri"/>
          <w:sz w:val="32"/>
          <w:szCs w:val="32"/>
        </w:rPr>
        <w:t>普及绿色发展相关知识，提高全社会的</w:t>
      </w:r>
      <w:r>
        <w:rPr>
          <w:rFonts w:hint="eastAsia" w:ascii="仿宋_GB2312" w:hAnsi="黑体" w:eastAsia="仿宋_GB2312" w:cs="Calibri"/>
          <w:sz w:val="32"/>
          <w:szCs w:val="32"/>
        </w:rPr>
        <w:t>绿色发展</w:t>
      </w:r>
      <w:r>
        <w:rPr>
          <w:rFonts w:hint="eastAsia" w:ascii="仿宋_GB2312" w:hAnsi="Calibri" w:eastAsia="仿宋_GB2312" w:cs="Calibri"/>
          <w:sz w:val="32"/>
          <w:szCs w:val="32"/>
        </w:rPr>
        <w:t>意识。</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60"/>
        <w:outlineLvl w:val="9"/>
        <w:rPr>
          <w:rFonts w:ascii="仿宋_GB2312" w:hAnsi="Calibri" w:eastAsia="仿宋_GB2312" w:cs="Calibri"/>
          <w:sz w:val="32"/>
          <w:szCs w:val="32"/>
        </w:rPr>
      </w:pPr>
      <w:r>
        <w:rPr>
          <w:rFonts w:hint="eastAsia" w:ascii="仿宋_GB2312" w:hAnsi="Calibri" w:eastAsia="仿宋_GB2312" w:cs="Calibri"/>
          <w:sz w:val="32"/>
          <w:szCs w:val="32"/>
        </w:rPr>
        <w:t>新闻媒体应当</w:t>
      </w:r>
      <w:r>
        <w:rPr>
          <w:rFonts w:hint="eastAsia" w:ascii="仿宋_GB2312" w:hAnsi="黑体" w:eastAsia="仿宋_GB2312" w:cs="Calibri"/>
          <w:sz w:val="32"/>
          <w:szCs w:val="32"/>
        </w:rPr>
        <w:t>加强建设绿色发展样板城市宣传和舆论监督</w:t>
      </w:r>
      <w:r>
        <w:rPr>
          <w:rFonts w:hint="eastAsia" w:ascii="仿宋_GB2312" w:hAnsi="Calibri" w:eastAsia="仿宋_GB2312" w:cs="Calibri"/>
          <w:sz w:val="32"/>
          <w:szCs w:val="32"/>
        </w:rPr>
        <w:t>。</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60"/>
        <w:outlineLvl w:val="9"/>
        <w:rPr>
          <w:rFonts w:ascii="仿宋_GB2312" w:hAnsi="Calibri" w:eastAsia="仿宋_GB2312" w:cs="Calibri"/>
          <w:sz w:val="32"/>
          <w:szCs w:val="32"/>
        </w:rPr>
      </w:pPr>
      <w:r>
        <w:rPr>
          <w:rFonts w:hint="eastAsia" w:ascii="仿宋_GB2312" w:hAnsi="Calibri" w:eastAsia="仿宋_GB2312" w:cs="Calibri"/>
          <w:sz w:val="32"/>
          <w:szCs w:val="32"/>
        </w:rPr>
        <w:t>每年8月为绿色发展宣传</w:t>
      </w:r>
      <w:r>
        <w:rPr>
          <w:rFonts w:hint="eastAsia" w:ascii="仿宋_GB2312" w:hAnsi="Calibri" w:eastAsia="仿宋_GB2312" w:cs="Calibri"/>
          <w:sz w:val="32"/>
          <w:szCs w:val="32"/>
          <w:lang w:eastAsia="zh-CN"/>
        </w:rPr>
        <w:t>月</w:t>
      </w:r>
      <w:r>
        <w:rPr>
          <w:rFonts w:hint="eastAsia" w:ascii="仿宋_GB2312" w:hAnsi="Calibri" w:eastAsia="仿宋_GB2312" w:cs="Calibri"/>
          <w:sz w:val="32"/>
          <w:szCs w:val="32"/>
        </w:rPr>
        <w:t>。</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60"/>
        <w:outlineLvl w:val="9"/>
        <w:rPr>
          <w:rFonts w:hint="eastAsia" w:ascii="仿宋_GB2312" w:hAnsi="Calibri" w:eastAsia="仿宋_GB2312" w:cs="Calibri"/>
          <w:sz w:val="32"/>
          <w:szCs w:val="32"/>
        </w:rPr>
      </w:pPr>
      <w:r>
        <w:rPr>
          <w:rFonts w:hint="eastAsia" w:ascii="黑体" w:hAnsi="黑体" w:eastAsia="黑体" w:cs="黑体"/>
          <w:b w:val="0"/>
          <w:bCs w:val="0"/>
          <w:sz w:val="32"/>
          <w:szCs w:val="32"/>
        </w:rPr>
        <w:t>第七条</w:t>
      </w:r>
      <w:r>
        <w:rPr>
          <w:rFonts w:hint="eastAsia" w:ascii="仿宋_GB2312" w:hAnsi="Calibri" w:eastAsia="仿宋_GB2312" w:cs="Calibri"/>
          <w:sz w:val="32"/>
          <w:szCs w:val="32"/>
        </w:rPr>
        <w:t xml:space="preserve">  市、县（区）人民政府、园区管委会应当对在建设绿色发展样板城市工作中做出显著成绩的单位和个人予以表彰。</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jc w:val="both"/>
        <w:outlineLvl w:val="9"/>
        <w:rPr>
          <w:rFonts w:hint="eastAsia" w:asciiTheme="minorEastAsia" w:hAnsiTheme="minorEastAsia" w:eastAsiaTheme="minorEastAsia" w:cstheme="minorEastAsia"/>
          <w:sz w:val="32"/>
          <w:szCs w:val="32"/>
        </w:rPr>
      </w:pP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jc w:val="center"/>
        <w:outlineLvl w:val="9"/>
        <w:rPr>
          <w:rFonts w:ascii="黑体" w:hAnsi="黑体" w:eastAsia="黑体" w:cs="Calibri"/>
          <w:sz w:val="32"/>
          <w:szCs w:val="32"/>
        </w:rPr>
      </w:pPr>
      <w:r>
        <w:rPr>
          <w:rFonts w:hint="eastAsia" w:ascii="黑体" w:hAnsi="黑体" w:eastAsia="黑体" w:cs="Calibri"/>
          <w:sz w:val="32"/>
          <w:szCs w:val="32"/>
        </w:rPr>
        <w:t>第二章  规划与建设</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jc w:val="both"/>
        <w:outlineLvl w:val="9"/>
        <w:rPr>
          <w:rFonts w:hint="eastAsia" w:asciiTheme="minorEastAsia" w:hAnsiTheme="minorEastAsia" w:eastAsiaTheme="minorEastAsia" w:cstheme="minorEastAsia"/>
          <w:sz w:val="32"/>
          <w:szCs w:val="32"/>
        </w:rPr>
      </w:pP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黑体" w:hAnsi="黑体" w:eastAsia="黑体" w:cs="黑体"/>
          <w:b w:val="0"/>
          <w:bCs w:val="0"/>
          <w:sz w:val="32"/>
          <w:szCs w:val="32"/>
        </w:rPr>
        <w:t>第八条</w:t>
      </w:r>
      <w:r>
        <w:rPr>
          <w:rFonts w:hint="eastAsia" w:ascii="仿宋_GB2312" w:hAnsi="黑体" w:eastAsia="仿宋_GB2312"/>
          <w:b/>
          <w:kern w:val="0"/>
          <w:sz w:val="32"/>
          <w:szCs w:val="32"/>
          <w:u w:val="none" w:color="000000"/>
        </w:rPr>
        <w:t xml:space="preserve">  </w:t>
      </w:r>
      <w:r>
        <w:rPr>
          <w:rFonts w:hint="eastAsia" w:ascii="仿宋_GB2312" w:hAnsi="黑体" w:eastAsia="仿宋_GB2312"/>
          <w:kern w:val="0"/>
          <w:sz w:val="32"/>
          <w:szCs w:val="32"/>
          <w:u w:val="none" w:color="000000"/>
        </w:rPr>
        <w:t>绿色发展总体规划应当深入实施“五四”战略、奋力推进“一优两高”</w:t>
      </w:r>
      <w:r>
        <w:rPr>
          <w:rFonts w:hint="eastAsia" w:ascii="仿宋_GB2312" w:hAnsi="黑体" w:eastAsia="仿宋_GB2312"/>
          <w:kern w:val="0"/>
          <w:sz w:val="32"/>
          <w:szCs w:val="32"/>
          <w:u w:val="none" w:color="000000"/>
          <w:lang w:eastAsia="zh-CN"/>
        </w:rPr>
        <w:t>，</w:t>
      </w:r>
      <w:r>
        <w:rPr>
          <w:rFonts w:hint="eastAsia" w:ascii="仿宋_GB2312" w:hAnsi="黑体" w:eastAsia="仿宋_GB2312"/>
          <w:kern w:val="0"/>
          <w:sz w:val="32"/>
          <w:szCs w:val="32"/>
          <w:u w:val="none" w:color="000000"/>
        </w:rPr>
        <w:t>紧密结合打造“宜居宜业大西宁”的决策部署，与国民经济和社会发展规划、城乡规划、土地利用总体规划、生态环境保护规划等功能互补、相互衔接，实行多规合一，构建全域统一衔接、人与自然和谐相处的规划体系。</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仿宋_GB2312" w:hAnsi="黑体" w:eastAsia="仿宋_GB2312"/>
          <w:kern w:val="0"/>
          <w:sz w:val="32"/>
          <w:szCs w:val="32"/>
          <w:u w:val="none" w:color="000000"/>
        </w:rPr>
        <w:t>依法批准的绿色发展总体规划，非经法定程序任何单位和个人不得擅自改变。</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黑体" w:hAnsi="黑体" w:eastAsia="黑体" w:cs="黑体"/>
          <w:b w:val="0"/>
          <w:bCs w:val="0"/>
          <w:sz w:val="32"/>
          <w:szCs w:val="32"/>
        </w:rPr>
        <w:t>第九条</w:t>
      </w:r>
      <w:r>
        <w:rPr>
          <w:rFonts w:hint="eastAsia" w:ascii="仿宋_GB2312" w:hAnsi="黑体" w:eastAsia="仿宋_GB2312"/>
          <w:b/>
          <w:kern w:val="0"/>
          <w:sz w:val="32"/>
          <w:szCs w:val="32"/>
          <w:u w:val="none" w:color="000000"/>
        </w:rPr>
        <w:t xml:space="preserve"> </w:t>
      </w:r>
      <w:r>
        <w:rPr>
          <w:rFonts w:hint="eastAsia" w:ascii="仿宋_GB2312" w:hAnsi="黑体" w:eastAsia="仿宋_GB2312"/>
          <w:kern w:val="0"/>
          <w:sz w:val="32"/>
          <w:szCs w:val="32"/>
          <w:u w:val="none" w:color="000000"/>
        </w:rPr>
        <w:t xml:space="preserve"> 绿色发展总体规划应当突出本市发展特色和优势，优化空间布局结构，构建绿色产业体系，改善生态环境，提升城市品质，体现历史文化和时代风貌，并</w:t>
      </w:r>
      <w:r>
        <w:rPr>
          <w:rFonts w:hint="eastAsia" w:ascii="仿宋_GB2312" w:hAnsi="黑体" w:eastAsia="仿宋_GB2312" w:cs="宋体"/>
          <w:kern w:val="0"/>
          <w:sz w:val="32"/>
          <w:szCs w:val="32"/>
          <w:u w:val="none" w:color="000000"/>
        </w:rPr>
        <w:t>构建</w:t>
      </w:r>
      <w:r>
        <w:rPr>
          <w:rFonts w:hint="eastAsia" w:ascii="仿宋_GB2312" w:hAnsi="黑体" w:eastAsia="仿宋_GB2312"/>
          <w:kern w:val="0"/>
          <w:sz w:val="32"/>
          <w:szCs w:val="32"/>
          <w:u w:val="none" w:color="000000"/>
        </w:rPr>
        <w:t>下列格局：</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hint="eastAsia" w:ascii="仿宋_GB2312" w:hAnsi="黑体" w:eastAsia="仿宋_GB2312"/>
          <w:kern w:val="0"/>
          <w:sz w:val="32"/>
          <w:szCs w:val="32"/>
          <w:u w:val="none" w:color="000000"/>
          <w:lang w:eastAsia="zh-CN"/>
        </w:rPr>
      </w:pPr>
      <w:r>
        <w:rPr>
          <w:rFonts w:hint="eastAsia" w:ascii="楷体_GB2312" w:hAnsi="楷体_GB2312" w:eastAsia="楷体_GB2312" w:cs="楷体_GB2312"/>
          <w:kern w:val="0"/>
          <w:sz w:val="32"/>
          <w:szCs w:val="32"/>
          <w:u w:val="none" w:color="000000"/>
        </w:rPr>
        <w:t>（一）</w:t>
      </w:r>
      <w:r>
        <w:rPr>
          <w:rFonts w:hint="eastAsia" w:ascii="仿宋_GB2312" w:hAnsi="黑体" w:eastAsia="仿宋_GB2312" w:cs="Arial"/>
          <w:kern w:val="0"/>
          <w:sz w:val="32"/>
          <w:szCs w:val="32"/>
          <w:u w:val="none" w:color="000000"/>
        </w:rPr>
        <w:t>“一核两极、三大功能区、八个重点特色镇”的城镇发展空间格局</w:t>
      </w:r>
      <w:r>
        <w:rPr>
          <w:rFonts w:hint="eastAsia" w:ascii="仿宋_GB2312" w:hAnsi="黑体" w:eastAsia="仿宋_GB2312" w:cs="Arial"/>
          <w:kern w:val="0"/>
          <w:sz w:val="32"/>
          <w:szCs w:val="32"/>
          <w:u w:val="none" w:color="000000"/>
          <w:lang w:eastAsia="zh-CN"/>
        </w:rPr>
        <w:t>；</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楷体_GB2312" w:hAnsi="楷体_GB2312" w:eastAsia="楷体_GB2312" w:cs="楷体_GB2312"/>
          <w:kern w:val="0"/>
          <w:sz w:val="32"/>
          <w:szCs w:val="32"/>
          <w:u w:val="none" w:color="000000"/>
        </w:rPr>
        <w:t>（二）</w:t>
      </w:r>
      <w:r>
        <w:rPr>
          <w:rFonts w:hint="eastAsia" w:ascii="仿宋_GB2312" w:hAnsi="黑体" w:eastAsia="仿宋_GB2312"/>
          <w:kern w:val="0"/>
          <w:sz w:val="32"/>
          <w:szCs w:val="32"/>
          <w:u w:val="none" w:color="000000"/>
        </w:rPr>
        <w:t>“一芯双城，环</w:t>
      </w:r>
      <w:r>
        <w:rPr>
          <w:rFonts w:hint="eastAsia" w:ascii="仿宋_GB2312" w:hAnsi="黑体" w:eastAsia="仿宋_GB2312"/>
          <w:kern w:val="0"/>
          <w:sz w:val="32"/>
          <w:szCs w:val="32"/>
        </w:rPr>
        <w:t>状</w:t>
      </w:r>
      <w:r>
        <w:rPr>
          <w:rFonts w:hint="eastAsia" w:ascii="仿宋_GB2312" w:hAnsi="黑体" w:eastAsia="仿宋_GB2312"/>
          <w:kern w:val="0"/>
          <w:sz w:val="32"/>
          <w:szCs w:val="32"/>
          <w:u w:val="none" w:color="000000"/>
        </w:rPr>
        <w:t>组团发展”的</w:t>
      </w:r>
      <w:r>
        <w:rPr>
          <w:rFonts w:hint="eastAsia" w:ascii="仿宋_GB2312" w:hAnsi="黑体" w:eastAsia="仿宋_GB2312" w:cs="Arial"/>
          <w:kern w:val="0"/>
          <w:sz w:val="32"/>
          <w:szCs w:val="32"/>
          <w:u w:val="none" w:color="000000"/>
        </w:rPr>
        <w:t>生态山水城市格局</w:t>
      </w:r>
      <w:r>
        <w:rPr>
          <w:rFonts w:hint="eastAsia" w:ascii="仿宋_GB2312" w:hAnsi="黑体" w:eastAsia="仿宋_GB2312" w:cs="Arial"/>
          <w:kern w:val="0"/>
          <w:sz w:val="32"/>
          <w:szCs w:val="32"/>
          <w:u w:val="none" w:color="000000"/>
          <w:lang w:eastAsia="zh-CN"/>
        </w:rPr>
        <w:t>；</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楷体_GB2312" w:hAnsi="楷体_GB2312" w:eastAsia="楷体_GB2312" w:cs="楷体_GB2312"/>
          <w:kern w:val="0"/>
          <w:sz w:val="32"/>
          <w:szCs w:val="32"/>
          <w:u w:val="none" w:color="000000"/>
        </w:rPr>
        <w:t>（三）</w:t>
      </w:r>
      <w:r>
        <w:rPr>
          <w:rFonts w:hint="eastAsia" w:ascii="仿宋_GB2312" w:hAnsi="黑体" w:eastAsia="仿宋_GB2312" w:cs="Arial"/>
          <w:kern w:val="0"/>
          <w:sz w:val="32"/>
          <w:szCs w:val="32"/>
          <w:u w:val="none" w:color="000000"/>
        </w:rPr>
        <w:t>“一芯两屏三廊道”的城市生态屏障格局。</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32" w:firstLineChars="200"/>
        <w:jc w:val="both"/>
        <w:textAlignment w:val="auto"/>
        <w:outlineLvl w:val="9"/>
        <w:rPr>
          <w:rFonts w:ascii="仿宋_GB2312" w:hAnsi="黑体" w:eastAsia="仿宋_GB2312" w:cs="Calibri"/>
          <w:sz w:val="32"/>
          <w:szCs w:val="32"/>
        </w:rPr>
      </w:pPr>
      <w:r>
        <w:rPr>
          <w:rFonts w:hint="eastAsia" w:ascii="黑体" w:hAnsi="黑体" w:eastAsia="黑体" w:cs="黑体"/>
          <w:b w:val="0"/>
          <w:bCs w:val="0"/>
          <w:sz w:val="32"/>
          <w:szCs w:val="32"/>
        </w:rPr>
        <w:t>第十条</w:t>
      </w:r>
      <w:r>
        <w:rPr>
          <w:rFonts w:hint="eastAsia" w:ascii="仿宋_GB2312" w:hAnsi="Calibri" w:eastAsia="仿宋_GB2312" w:cs="Calibri"/>
          <w:sz w:val="32"/>
          <w:szCs w:val="32"/>
        </w:rPr>
        <w:t xml:space="preserve">  </w:t>
      </w:r>
      <w:r>
        <w:rPr>
          <w:rFonts w:hint="eastAsia" w:ascii="仿宋_GB2312" w:hAnsi="黑体" w:eastAsia="仿宋_GB2312" w:cs="Calibri"/>
          <w:sz w:val="32"/>
          <w:szCs w:val="32"/>
        </w:rPr>
        <w:t>市、县人民政府应当按照</w:t>
      </w:r>
      <w:r>
        <w:rPr>
          <w:rFonts w:hint="eastAsia" w:ascii="仿宋_GB2312" w:hAnsi="黑体" w:eastAsia="仿宋_GB2312" w:cs="Calibri"/>
          <w:sz w:val="32"/>
          <w:szCs w:val="32"/>
          <w:lang w:eastAsia="zh-CN"/>
        </w:rPr>
        <w:t>主体</w:t>
      </w:r>
      <w:r>
        <w:rPr>
          <w:rFonts w:hint="eastAsia" w:ascii="仿宋_GB2312" w:hAnsi="黑体" w:eastAsia="仿宋_GB2312" w:cs="Calibri"/>
          <w:sz w:val="32"/>
          <w:szCs w:val="32"/>
        </w:rPr>
        <w:t>功能区建设的有关规定，确定生态空间、农业空间、城镇空间范围，划定生态保护红线、永久基本农田红线和城市开发边界红线。</w:t>
      </w:r>
    </w:p>
    <w:p>
      <w:pPr>
        <w:keepNext w:val="0"/>
        <w:keepLines w:val="0"/>
        <w:pageBreakBefore w:val="0"/>
        <w:kinsoku/>
        <w:wordWrap/>
        <w:overflowPunct/>
        <w:topLinePunct w:val="0"/>
        <w:autoSpaceDE/>
        <w:autoSpaceDN/>
        <w:bidi w:val="0"/>
        <w:adjustRightInd/>
        <w:snapToGrid/>
        <w:spacing w:after="0" w:afterLines="0" w:line="620" w:lineRule="exact"/>
        <w:ind w:right="0" w:rightChars="0"/>
        <w:outlineLvl w:val="9"/>
        <w:rPr>
          <w:rFonts w:ascii="仿宋_GB2312" w:hAnsi="Calibri" w:eastAsia="仿宋_GB2312" w:cs="Calibri"/>
          <w:sz w:val="32"/>
          <w:szCs w:val="32"/>
        </w:rPr>
      </w:pPr>
      <w:r>
        <w:rPr>
          <w:rFonts w:hint="eastAsia" w:ascii="仿宋_GB2312" w:hAnsi="Calibri" w:eastAsia="仿宋_GB2312" w:cs="Calibri"/>
          <w:sz w:val="32"/>
          <w:szCs w:val="32"/>
        </w:rPr>
        <w:t xml:space="preserve">    </w:t>
      </w:r>
      <w:r>
        <w:rPr>
          <w:rFonts w:hint="eastAsia" w:ascii="黑体" w:hAnsi="黑体" w:eastAsia="黑体" w:cs="黑体"/>
          <w:b w:val="0"/>
          <w:bCs w:val="0"/>
          <w:sz w:val="32"/>
          <w:szCs w:val="32"/>
        </w:rPr>
        <w:t>第十一条</w:t>
      </w:r>
      <w:r>
        <w:rPr>
          <w:rFonts w:hint="eastAsia" w:ascii="仿宋_GB2312" w:hAnsi="Calibri" w:eastAsia="仿宋_GB2312" w:cs="Calibri"/>
          <w:b/>
          <w:sz w:val="32"/>
          <w:szCs w:val="32"/>
        </w:rPr>
        <w:t xml:space="preserve">  </w:t>
      </w:r>
      <w:r>
        <w:rPr>
          <w:rFonts w:hint="eastAsia" w:ascii="仿宋_GB2312" w:hAnsi="黑体" w:eastAsia="仿宋_GB2312" w:cs="Calibri"/>
          <w:sz w:val="32"/>
          <w:szCs w:val="32"/>
        </w:rPr>
        <w:t>市、县(区)人民政府应当</w:t>
      </w:r>
      <w:r>
        <w:rPr>
          <w:rFonts w:hint="eastAsia" w:ascii="仿宋_GB2312" w:hAnsi="Calibri" w:eastAsia="仿宋_GB2312" w:cs="Calibri"/>
          <w:sz w:val="32"/>
          <w:szCs w:val="32"/>
        </w:rPr>
        <w:t>根据环境资源承载力</w:t>
      </w:r>
      <w:r>
        <w:rPr>
          <w:rFonts w:hint="eastAsia" w:ascii="仿宋_GB2312" w:hAnsi="黑体" w:eastAsia="仿宋_GB2312" w:cs="Calibri"/>
          <w:sz w:val="32"/>
          <w:szCs w:val="32"/>
        </w:rPr>
        <w:t>调整优化经济结构，</w:t>
      </w:r>
      <w:r>
        <w:rPr>
          <w:rFonts w:hint="eastAsia" w:ascii="仿宋_GB2312" w:hAnsi="Calibri" w:eastAsia="仿宋_GB2312" w:cs="Calibri"/>
          <w:sz w:val="32"/>
          <w:szCs w:val="32"/>
        </w:rPr>
        <w:t>节约集约使用</w:t>
      </w:r>
      <w:r>
        <w:rPr>
          <w:rFonts w:hint="eastAsia" w:ascii="仿宋_GB2312" w:hAnsi="黑体" w:eastAsia="仿宋_GB2312" w:cs="Calibri"/>
          <w:sz w:val="32"/>
          <w:szCs w:val="32"/>
        </w:rPr>
        <w:t>土地、水和能源</w:t>
      </w:r>
      <w:r>
        <w:rPr>
          <w:rFonts w:hint="eastAsia" w:ascii="仿宋_GB2312" w:hAnsi="Calibri" w:eastAsia="仿宋_GB2312" w:cs="Calibri"/>
          <w:sz w:val="32"/>
          <w:szCs w:val="32"/>
        </w:rPr>
        <w:t>，改造升级传统产业，发展现代农业、</w:t>
      </w:r>
      <w:r>
        <w:rPr>
          <w:rFonts w:hint="eastAsia" w:ascii="仿宋_GB2312" w:hAnsi="黑体" w:eastAsia="仿宋_GB2312" w:cs="Calibri"/>
          <w:sz w:val="32"/>
          <w:szCs w:val="32"/>
        </w:rPr>
        <w:t>现代工业、</w:t>
      </w:r>
      <w:r>
        <w:rPr>
          <w:rFonts w:hint="eastAsia" w:ascii="仿宋_GB2312" w:hAnsi="Calibri" w:eastAsia="仿宋_GB2312" w:cs="Calibri"/>
          <w:sz w:val="32"/>
          <w:szCs w:val="32"/>
        </w:rPr>
        <w:t>现代服务业和节能环保产业，构建生态文明引领、资源高效利用、产业融合发展的</w:t>
      </w:r>
      <w:r>
        <w:rPr>
          <w:rFonts w:hint="eastAsia" w:ascii="仿宋_GB2312" w:hAnsi="黑体" w:eastAsia="仿宋_GB2312" w:cs="Calibri"/>
          <w:sz w:val="32"/>
          <w:szCs w:val="32"/>
        </w:rPr>
        <w:t>绿色</w:t>
      </w:r>
      <w:r>
        <w:rPr>
          <w:rFonts w:hint="eastAsia" w:ascii="仿宋_GB2312" w:hAnsi="Calibri" w:eastAsia="仿宋_GB2312" w:cs="Calibri"/>
          <w:sz w:val="32"/>
          <w:szCs w:val="32"/>
        </w:rPr>
        <w:t>产业体系。</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20" w:firstLineChars="196"/>
        <w:outlineLvl w:val="9"/>
        <w:rPr>
          <w:rFonts w:ascii="仿宋_GB2312" w:hAnsi="Calibri" w:eastAsia="仿宋_GB2312" w:cs="Calibri"/>
          <w:sz w:val="32"/>
          <w:szCs w:val="32"/>
        </w:rPr>
      </w:pPr>
      <w:r>
        <w:rPr>
          <w:rFonts w:hint="eastAsia" w:ascii="黑体" w:hAnsi="黑体" w:eastAsia="黑体" w:cs="黑体"/>
          <w:b w:val="0"/>
          <w:bCs w:val="0"/>
          <w:sz w:val="32"/>
          <w:szCs w:val="32"/>
        </w:rPr>
        <w:t>第十二条</w:t>
      </w:r>
      <w:r>
        <w:rPr>
          <w:rFonts w:hint="eastAsia" w:ascii="仿宋_GB2312" w:hAnsi="Calibri" w:eastAsia="仿宋_GB2312" w:cs="Calibri"/>
          <w:b/>
          <w:sz w:val="32"/>
          <w:szCs w:val="32"/>
        </w:rPr>
        <w:t xml:space="preserve">  </w:t>
      </w:r>
      <w:r>
        <w:rPr>
          <w:rFonts w:hint="eastAsia" w:ascii="仿宋_GB2312" w:hAnsi="黑体" w:eastAsia="仿宋_GB2312" w:cs="Calibri"/>
          <w:sz w:val="32"/>
          <w:szCs w:val="32"/>
        </w:rPr>
        <w:t>市、县</w:t>
      </w:r>
      <w:r>
        <w:rPr>
          <w:rFonts w:hint="eastAsia" w:ascii="仿宋_GB2312" w:hAnsi="Calibri" w:eastAsia="仿宋_GB2312" w:cs="Calibri"/>
          <w:sz w:val="32"/>
          <w:szCs w:val="32"/>
        </w:rPr>
        <w:t>（区）</w:t>
      </w:r>
      <w:r>
        <w:rPr>
          <w:rFonts w:hint="eastAsia" w:ascii="仿宋_GB2312" w:hAnsi="黑体" w:eastAsia="仿宋_GB2312" w:cs="Calibri"/>
          <w:sz w:val="32"/>
          <w:szCs w:val="32"/>
        </w:rPr>
        <w:t>人民政府</w:t>
      </w:r>
      <w:r>
        <w:rPr>
          <w:rFonts w:hint="eastAsia" w:ascii="仿宋_GB2312" w:hAnsi="黑体" w:eastAsia="仿宋_GB2312" w:cs="宋体"/>
          <w:sz w:val="32"/>
          <w:szCs w:val="32"/>
        </w:rPr>
        <w:t>应当</w:t>
      </w:r>
      <w:r>
        <w:rPr>
          <w:rFonts w:hint="eastAsia" w:ascii="仿宋_GB2312" w:hAnsi="Calibri" w:eastAsia="仿宋_GB2312" w:cs="Calibri"/>
          <w:sz w:val="32"/>
          <w:szCs w:val="32"/>
        </w:rPr>
        <w:t>支持新型农业经营主体发展，培育农村电商、农产品定制等新业态，推广绿色种植和生态养殖技术，发展优质特色循环型农业产业，建设现代农业产业园和农牧业产业联合体，培育高原绿色有机品牌。</w:t>
      </w:r>
    </w:p>
    <w:p>
      <w:pPr>
        <w:keepNext w:val="0"/>
        <w:keepLines w:val="0"/>
        <w:pageBreakBefore w:val="0"/>
        <w:widowControl/>
        <w:kinsoku/>
        <w:wordWrap/>
        <w:overflowPunct/>
        <w:topLinePunct w:val="0"/>
        <w:autoSpaceDE/>
        <w:autoSpaceDN/>
        <w:bidi w:val="0"/>
        <w:adjustRightInd/>
        <w:snapToGrid/>
        <w:spacing w:after="0" w:afterLines="0" w:line="620" w:lineRule="exact"/>
        <w:ind w:right="0" w:rightChars="0" w:firstLine="632" w:firstLineChars="200"/>
        <w:textAlignment w:val="baseline"/>
        <w:outlineLvl w:val="9"/>
        <w:rPr>
          <w:rFonts w:ascii="仿宋_GB2312" w:eastAsia="仿宋_GB2312"/>
          <w:kern w:val="0"/>
          <w:sz w:val="32"/>
          <w:szCs w:val="32"/>
          <w:u w:val="none" w:color="000000"/>
          <w:shd w:val="pct10" w:color="auto" w:fill="FFFFFF"/>
        </w:rPr>
      </w:pPr>
      <w:r>
        <w:rPr>
          <w:rFonts w:hint="eastAsia" w:ascii="黑体" w:hAnsi="黑体" w:eastAsia="黑体" w:cs="黑体"/>
          <w:b w:val="0"/>
          <w:bCs w:val="0"/>
          <w:sz w:val="32"/>
          <w:szCs w:val="32"/>
        </w:rPr>
        <w:t>第十三条</w:t>
      </w:r>
      <w:r>
        <w:rPr>
          <w:rFonts w:hint="eastAsia" w:ascii="仿宋_GB2312" w:eastAsia="仿宋_GB2312"/>
          <w:b/>
          <w:kern w:val="0"/>
          <w:sz w:val="32"/>
          <w:szCs w:val="32"/>
          <w:u w:val="none" w:color="000000"/>
        </w:rPr>
        <w:t xml:space="preserve">  </w:t>
      </w:r>
      <w:r>
        <w:rPr>
          <w:rFonts w:hint="eastAsia" w:ascii="仿宋_GB2312" w:hAnsi="黑体" w:eastAsia="仿宋_GB2312"/>
          <w:kern w:val="0"/>
          <w:sz w:val="32"/>
          <w:szCs w:val="32"/>
          <w:u w:val="none" w:color="000000"/>
        </w:rPr>
        <w:t>市、县（区）人民政府、园区管委会</w:t>
      </w:r>
      <w:r>
        <w:rPr>
          <w:rFonts w:hint="eastAsia" w:ascii="仿宋_GB2312" w:hAnsi="黑体" w:eastAsia="仿宋_GB2312" w:cs="宋体"/>
          <w:kern w:val="0"/>
          <w:sz w:val="32"/>
          <w:szCs w:val="32"/>
          <w:u w:val="none" w:color="000000"/>
        </w:rPr>
        <w:t>应当</w:t>
      </w:r>
      <w:r>
        <w:rPr>
          <w:rFonts w:hint="eastAsia" w:ascii="仿宋_GB2312" w:hAnsi="Calibri" w:eastAsia="仿宋_GB2312" w:cs="Calibri"/>
          <w:sz w:val="32"/>
          <w:szCs w:val="32"/>
          <w:lang w:eastAsia="zh-CN"/>
        </w:rPr>
        <w:t>开展</w:t>
      </w:r>
      <w:r>
        <w:rPr>
          <w:rFonts w:hint="eastAsia" w:ascii="仿宋_GB2312" w:hAnsi="Calibri" w:eastAsia="仿宋_GB2312" w:cs="Calibri"/>
          <w:sz w:val="32"/>
          <w:szCs w:val="32"/>
        </w:rPr>
        <w:t>循环经济和低碳园区试点</w:t>
      </w:r>
      <w:r>
        <w:rPr>
          <w:rFonts w:hint="eastAsia" w:ascii="仿宋_GB2312" w:hAnsi="Calibri" w:eastAsia="仿宋_GB2312" w:cs="Calibri"/>
          <w:sz w:val="32"/>
          <w:szCs w:val="32"/>
          <w:lang w:eastAsia="zh-CN"/>
        </w:rPr>
        <w:t>，加快传统工业园区</w:t>
      </w:r>
      <w:r>
        <w:rPr>
          <w:rFonts w:hint="eastAsia" w:ascii="仿宋_GB2312" w:hAnsi="Calibri" w:eastAsia="仿宋_GB2312" w:cs="Calibri"/>
          <w:sz w:val="32"/>
          <w:szCs w:val="32"/>
        </w:rPr>
        <w:t>改造，推</w:t>
      </w:r>
      <w:r>
        <w:rPr>
          <w:rFonts w:hint="eastAsia" w:ascii="仿宋_GB2312" w:eastAsia="仿宋_GB2312"/>
          <w:kern w:val="0"/>
          <w:sz w:val="32"/>
          <w:szCs w:val="32"/>
          <w:u w:val="none" w:color="000000"/>
        </w:rPr>
        <w:t>动企业运用新技术、新业态、新模式改造提升有色冶金、特色化工、藏毯绒纺和装备制造等传统产业。</w:t>
      </w:r>
      <w:r>
        <w:rPr>
          <w:rFonts w:hint="eastAsia" w:ascii="仿宋_GB2312" w:hAnsi="黑体" w:eastAsia="仿宋_GB2312"/>
          <w:kern w:val="0"/>
          <w:sz w:val="32"/>
          <w:szCs w:val="32"/>
          <w:u w:val="none" w:color="000000"/>
        </w:rPr>
        <w:t>引导企业强化关键产业技术研发与成果转化。扩大新能源、新材料、生物医药、节能环保等新兴产业规模。</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20" w:firstLineChars="196"/>
        <w:outlineLvl w:val="9"/>
        <w:rPr>
          <w:rFonts w:ascii="仿宋_GB2312" w:hAnsi="Calibri" w:eastAsia="仿宋_GB2312" w:cs="Calibri"/>
          <w:sz w:val="32"/>
          <w:szCs w:val="32"/>
        </w:rPr>
      </w:pPr>
      <w:r>
        <w:rPr>
          <w:rFonts w:hint="eastAsia" w:ascii="黑体" w:hAnsi="黑体" w:eastAsia="黑体" w:cs="黑体"/>
          <w:b w:val="0"/>
          <w:bCs w:val="0"/>
          <w:sz w:val="32"/>
          <w:szCs w:val="32"/>
        </w:rPr>
        <w:t>第十四条</w:t>
      </w:r>
      <w:r>
        <w:rPr>
          <w:rFonts w:hint="eastAsia" w:ascii="仿宋_GB2312" w:hAnsi="黑体" w:eastAsia="仿宋_GB2312" w:cs="Calibri"/>
          <w:b/>
          <w:sz w:val="32"/>
          <w:szCs w:val="32"/>
        </w:rPr>
        <w:t xml:space="preserve">  </w:t>
      </w:r>
      <w:r>
        <w:rPr>
          <w:rFonts w:hint="eastAsia" w:ascii="仿宋_GB2312" w:hAnsi="黑体" w:eastAsia="仿宋_GB2312" w:cs="Calibri"/>
          <w:sz w:val="32"/>
          <w:szCs w:val="32"/>
        </w:rPr>
        <w:t>市、县（区）人民政府、园区管委会</w:t>
      </w:r>
      <w:r>
        <w:rPr>
          <w:rFonts w:hint="eastAsia" w:ascii="仿宋_GB2312" w:hAnsi="黑体" w:eastAsia="仿宋_GB2312" w:cs="宋体"/>
          <w:sz w:val="32"/>
          <w:szCs w:val="32"/>
        </w:rPr>
        <w:t>应当</w:t>
      </w:r>
      <w:r>
        <w:rPr>
          <w:rFonts w:hint="eastAsia" w:ascii="仿宋_GB2312" w:hAnsi="Calibri" w:eastAsia="仿宋_GB2312" w:cs="Calibri"/>
          <w:sz w:val="32"/>
          <w:szCs w:val="32"/>
        </w:rPr>
        <w:t>推动</w:t>
      </w:r>
      <w:r>
        <w:rPr>
          <w:rFonts w:hint="eastAsia" w:ascii="仿宋_GB2312" w:hAnsi="Calibri" w:eastAsia="仿宋_GB2312" w:cs="Calibri"/>
          <w:sz w:val="32"/>
          <w:szCs w:val="32"/>
          <w:lang w:eastAsia="zh-CN"/>
        </w:rPr>
        <w:t>传统服务业向</w:t>
      </w:r>
      <w:r>
        <w:rPr>
          <w:rFonts w:hint="eastAsia" w:ascii="仿宋_GB2312" w:hAnsi="Calibri" w:eastAsia="仿宋_GB2312" w:cs="Calibri"/>
          <w:sz w:val="32"/>
          <w:szCs w:val="32"/>
        </w:rPr>
        <w:t>现代服务业转型，促进服务业优质高效发展。发展</w:t>
      </w:r>
      <w:r>
        <w:rPr>
          <w:rFonts w:hint="eastAsia" w:ascii="仿宋_GB2312" w:hAnsi="黑体" w:eastAsia="仿宋_GB2312" w:cs="Calibri"/>
          <w:sz w:val="32"/>
          <w:szCs w:val="32"/>
        </w:rPr>
        <w:t>高原特色</w:t>
      </w:r>
      <w:r>
        <w:rPr>
          <w:rFonts w:hint="eastAsia" w:ascii="仿宋_GB2312" w:hAnsi="Calibri" w:eastAsia="仿宋_GB2312" w:cs="Calibri"/>
          <w:sz w:val="32"/>
          <w:szCs w:val="32"/>
        </w:rPr>
        <w:t>旅游业，</w:t>
      </w:r>
      <w:r>
        <w:rPr>
          <w:rFonts w:hint="eastAsia" w:ascii="仿宋_GB2312" w:hAnsi="黑体" w:eastAsia="仿宋_GB2312" w:cs="Calibri"/>
          <w:sz w:val="32"/>
          <w:szCs w:val="32"/>
        </w:rPr>
        <w:t>提升旅游产业质量。</w:t>
      </w:r>
      <w:r>
        <w:rPr>
          <w:rFonts w:hint="eastAsia" w:ascii="仿宋_GB2312" w:hAnsi="Calibri" w:eastAsia="仿宋_GB2312" w:cs="Calibri"/>
          <w:sz w:val="32"/>
          <w:szCs w:val="32"/>
        </w:rPr>
        <w:t>发展绿色金融，</w:t>
      </w:r>
      <w:r>
        <w:rPr>
          <w:rFonts w:hint="eastAsia" w:ascii="仿宋_GB2312" w:hAnsi="黑体" w:eastAsia="仿宋_GB2312" w:cs="Calibri"/>
          <w:sz w:val="32"/>
          <w:szCs w:val="32"/>
        </w:rPr>
        <w:t>动员和激励社会资本投入绿色产业。</w:t>
      </w:r>
      <w:r>
        <w:rPr>
          <w:rFonts w:hint="eastAsia" w:ascii="仿宋_GB2312" w:hAnsi="Calibri" w:eastAsia="仿宋_GB2312" w:cs="Calibri"/>
          <w:sz w:val="32"/>
          <w:szCs w:val="32"/>
        </w:rPr>
        <w:t>发展电子商务，完善在线支付、物流配送、信用服务等体系，提升传统商贸流通企业电子商务应用水平。</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Calibri" w:eastAsia="仿宋_GB2312" w:cs="Calibri"/>
          <w:b/>
          <w:sz w:val="32"/>
          <w:szCs w:val="32"/>
        </w:rPr>
      </w:pPr>
      <w:r>
        <w:rPr>
          <w:rFonts w:hint="eastAsia" w:ascii="黑体" w:hAnsi="黑体" w:eastAsia="黑体" w:cs="黑体"/>
          <w:b w:val="0"/>
          <w:bCs w:val="0"/>
          <w:sz w:val="32"/>
          <w:szCs w:val="32"/>
        </w:rPr>
        <w:t>第十五条</w:t>
      </w:r>
      <w:r>
        <w:rPr>
          <w:rFonts w:hint="eastAsia" w:ascii="仿宋_GB2312" w:hAnsi="Calibri" w:eastAsia="仿宋_GB2312" w:cs="Calibri"/>
          <w:b/>
          <w:sz w:val="32"/>
          <w:szCs w:val="32"/>
        </w:rPr>
        <w:t xml:space="preserve">  </w:t>
      </w:r>
      <w:r>
        <w:rPr>
          <w:rFonts w:hint="eastAsia" w:ascii="仿宋_GB2312" w:hAnsi="黑体" w:eastAsia="仿宋_GB2312" w:cs="Calibri"/>
          <w:sz w:val="32"/>
          <w:szCs w:val="32"/>
        </w:rPr>
        <w:t>市、县（区）人民政府、园区管委会</w:t>
      </w:r>
      <w:r>
        <w:rPr>
          <w:rFonts w:hint="eastAsia" w:ascii="仿宋_GB2312" w:hAnsi="黑体" w:eastAsia="仿宋_GB2312" w:cs="宋体"/>
          <w:sz w:val="32"/>
          <w:szCs w:val="32"/>
        </w:rPr>
        <w:t>应当</w:t>
      </w:r>
      <w:r>
        <w:rPr>
          <w:rFonts w:hint="eastAsia" w:ascii="仿宋_GB2312" w:hAnsi="Calibri" w:eastAsia="仿宋_GB2312" w:cs="Calibri"/>
          <w:sz w:val="32"/>
          <w:szCs w:val="32"/>
        </w:rPr>
        <w:t>培育高原民族文化产业发展基地，实施多元文化品牌，建设绿色生活体验馆、文化创意孵化基地等文化设施，发展体现生态文化、地方特色、民族民俗的绿色文化事业和文化产业。</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Calibri"/>
          <w:sz w:val="32"/>
          <w:szCs w:val="32"/>
        </w:rPr>
      </w:pPr>
      <w:r>
        <w:rPr>
          <w:rFonts w:hint="eastAsia" w:ascii="黑体" w:hAnsi="黑体" w:eastAsia="黑体" w:cs="黑体"/>
          <w:b w:val="0"/>
          <w:bCs w:val="0"/>
          <w:sz w:val="32"/>
          <w:szCs w:val="32"/>
        </w:rPr>
        <w:t>第十六条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市、县人民政府应当发展绿色交通，建立以公共交通为导向的城市交通发展模式</w:t>
      </w:r>
      <w:r>
        <w:rPr>
          <w:rFonts w:hint="eastAsia" w:ascii="仿宋_GB2312" w:hAnsi="黑体" w:eastAsia="仿宋_GB2312" w:cs="Calibri"/>
          <w:sz w:val="32"/>
          <w:szCs w:val="32"/>
        </w:rPr>
        <w:t>。</w:t>
      </w:r>
      <w:r>
        <w:rPr>
          <w:rFonts w:hint="eastAsia" w:ascii="仿宋_GB2312" w:hAnsi="Calibri" w:eastAsia="仿宋_GB2312" w:cs="Calibri"/>
          <w:sz w:val="32"/>
          <w:szCs w:val="32"/>
        </w:rPr>
        <w:t>推进城乡交通</w:t>
      </w:r>
      <w:r>
        <w:rPr>
          <w:rFonts w:hint="eastAsia" w:ascii="仿宋_GB2312" w:hAnsi="黑体" w:eastAsia="仿宋_GB2312" w:cs="Calibri"/>
          <w:sz w:val="32"/>
          <w:szCs w:val="32"/>
        </w:rPr>
        <w:t>运输</w:t>
      </w:r>
      <w:r>
        <w:rPr>
          <w:rFonts w:hint="eastAsia" w:ascii="仿宋_GB2312" w:hAnsi="Calibri" w:eastAsia="仿宋_GB2312" w:cs="Calibri"/>
          <w:sz w:val="32"/>
          <w:szCs w:val="32"/>
        </w:rPr>
        <w:t>一体化，构建绿色交通</w:t>
      </w:r>
      <w:r>
        <w:rPr>
          <w:rFonts w:hint="eastAsia" w:ascii="仿宋_GB2312" w:hAnsi="黑体" w:eastAsia="仿宋_GB2312" w:cs="Calibri"/>
          <w:sz w:val="32"/>
          <w:szCs w:val="32"/>
        </w:rPr>
        <w:t>运输</w:t>
      </w:r>
      <w:r>
        <w:rPr>
          <w:rFonts w:hint="eastAsia" w:ascii="仿宋_GB2312" w:hAnsi="Calibri" w:eastAsia="仿宋_GB2312" w:cs="Calibri"/>
          <w:sz w:val="32"/>
          <w:szCs w:val="32"/>
        </w:rPr>
        <w:t>体系。</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20" w:firstLineChars="196"/>
        <w:outlineLvl w:val="9"/>
        <w:rPr>
          <w:rFonts w:ascii="仿宋_GB2312" w:hAnsi="黑体" w:eastAsia="仿宋_GB2312" w:cs="Calibri"/>
          <w:sz w:val="32"/>
          <w:szCs w:val="32"/>
        </w:rPr>
      </w:pPr>
      <w:r>
        <w:rPr>
          <w:rFonts w:hint="eastAsia" w:ascii="黑体" w:hAnsi="黑体" w:eastAsia="黑体" w:cs="黑体"/>
          <w:b w:val="0"/>
          <w:bCs w:val="0"/>
          <w:sz w:val="32"/>
          <w:szCs w:val="32"/>
        </w:rPr>
        <w:t xml:space="preserve">第十七条  </w:t>
      </w:r>
      <w:r>
        <w:rPr>
          <w:rFonts w:hint="eastAsia" w:ascii="仿宋_GB2312" w:hAnsi="黑体" w:eastAsia="仿宋_GB2312" w:cs="Calibri"/>
          <w:sz w:val="32"/>
          <w:szCs w:val="32"/>
          <w:shd w:val="clear" w:color="auto" w:fill="FFFFFF"/>
        </w:rPr>
        <w:t>市人民政府应当推进智慧城市建设，</w:t>
      </w:r>
      <w:r>
        <w:rPr>
          <w:rFonts w:hint="eastAsia" w:ascii="仿宋_GB2312" w:hAnsi="黑体" w:eastAsia="仿宋_GB2312" w:cs="Arial"/>
          <w:sz w:val="32"/>
          <w:szCs w:val="32"/>
          <w:shd w:val="clear" w:color="auto" w:fill="FFFFFF"/>
        </w:rPr>
        <w:t>综合运用现代科学技术、整合信息资源、统筹业务应用系统，加强城市规划、建设和管理方面的信息化支撑和大数据应用</w:t>
      </w:r>
      <w:r>
        <w:rPr>
          <w:rFonts w:hint="eastAsia" w:ascii="仿宋_GB2312" w:hAnsi="黑体" w:eastAsia="仿宋_GB2312" w:cs="Calibri"/>
          <w:sz w:val="32"/>
          <w:szCs w:val="32"/>
          <w:shd w:val="clear" w:color="auto" w:fill="FFFFFF"/>
        </w:rPr>
        <w:t>，促进城市和谐、可持续发展。</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jc w:val="both"/>
        <w:outlineLvl w:val="9"/>
        <w:rPr>
          <w:rFonts w:ascii="仿宋_GB2312" w:hAnsi="黑体" w:eastAsia="仿宋_GB2312" w:cs="Calibri"/>
          <w:bCs/>
          <w:sz w:val="32"/>
          <w:szCs w:val="32"/>
        </w:rPr>
      </w:pPr>
      <w:r>
        <w:rPr>
          <w:rFonts w:hint="eastAsia" w:ascii="黑体" w:hAnsi="黑体" w:eastAsia="黑体" w:cs="黑体"/>
          <w:b w:val="0"/>
          <w:bCs w:val="0"/>
          <w:sz w:val="32"/>
          <w:szCs w:val="32"/>
        </w:rPr>
        <w:t xml:space="preserve">第十八条 </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市、县（区）人民政府、园区管委会应当按照海绵城市建设的要求，加强城镇防洪排涝、雨水收集利用。</w:t>
      </w:r>
      <w:r>
        <w:rPr>
          <w:rFonts w:hint="eastAsia" w:ascii="仿宋_GB2312" w:hAnsi="Calibri" w:eastAsia="仿宋_GB2312" w:cs="Calibri"/>
          <w:bCs/>
          <w:sz w:val="32"/>
          <w:szCs w:val="32"/>
        </w:rPr>
        <w:t>加快地下综合管廊和绿道建设，推广绿色建筑和装配式建筑</w:t>
      </w:r>
      <w:r>
        <w:rPr>
          <w:rFonts w:hint="eastAsia" w:ascii="仿宋_GB2312" w:hAnsi="Calibri" w:eastAsia="仿宋_GB2312" w:cs="Calibri"/>
          <w:sz w:val="32"/>
          <w:szCs w:val="32"/>
        </w:rPr>
        <w:t>，推行绿色建筑评价体系，提高新型节能建材使用比例。</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Calibri"/>
          <w:b/>
          <w:sz w:val="32"/>
          <w:szCs w:val="32"/>
        </w:rPr>
      </w:pPr>
      <w:r>
        <w:rPr>
          <w:rFonts w:hint="eastAsia" w:ascii="黑体" w:hAnsi="黑体" w:eastAsia="黑体" w:cs="黑体"/>
          <w:b w:val="0"/>
          <w:bCs w:val="0"/>
          <w:sz w:val="32"/>
          <w:szCs w:val="32"/>
        </w:rPr>
        <w:t>第十九条</w:t>
      </w:r>
      <w:r>
        <w:rPr>
          <w:rFonts w:hint="eastAsia" w:ascii="仿宋_GB2312" w:hAnsi="黑体" w:eastAsia="仿宋_GB2312" w:cs="Calibri"/>
          <w:b/>
          <w:sz w:val="32"/>
          <w:szCs w:val="32"/>
        </w:rPr>
        <w:t xml:space="preserve">  </w:t>
      </w:r>
      <w:r>
        <w:rPr>
          <w:rFonts w:hint="eastAsia" w:ascii="仿宋_GB2312" w:hAnsi="黑体" w:eastAsia="仿宋_GB2312" w:cs="Calibri"/>
          <w:sz w:val="32"/>
          <w:szCs w:val="32"/>
        </w:rPr>
        <w:t>市、县（区）人民政府应当</w:t>
      </w:r>
      <w:r>
        <w:rPr>
          <w:rFonts w:hint="eastAsia" w:ascii="仿宋_GB2312" w:hAnsi="黑体" w:eastAsia="仿宋_GB2312" w:cs="宋体"/>
          <w:sz w:val="32"/>
          <w:szCs w:val="32"/>
        </w:rPr>
        <w:t>合理布局废物回收网点和交易市场，</w:t>
      </w:r>
      <w:r>
        <w:rPr>
          <w:rFonts w:hint="eastAsia" w:ascii="仿宋_GB2312" w:hAnsi="Calibri" w:eastAsia="仿宋_GB2312" w:cs="Calibri"/>
          <w:sz w:val="32"/>
          <w:szCs w:val="32"/>
        </w:rPr>
        <w:t>提升再生资源回收行业规范化水平和规模化程度。加强废弃资源源头控制，实行资源综合利用、回收、安全处置的全过程管理。</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32" w:firstLineChars="200"/>
        <w:textAlignment w:val="auto"/>
        <w:outlineLvl w:val="9"/>
        <w:rPr>
          <w:rFonts w:ascii="仿宋_GB2312" w:hAnsi="黑体" w:eastAsia="仿宋_GB2312" w:cs="Calibri"/>
          <w:sz w:val="32"/>
          <w:szCs w:val="32"/>
        </w:rPr>
      </w:pPr>
      <w:r>
        <w:rPr>
          <w:rFonts w:hint="eastAsia" w:ascii="黑体" w:hAnsi="黑体" w:eastAsia="黑体" w:cs="黑体"/>
          <w:b w:val="0"/>
          <w:bCs/>
          <w:sz w:val="32"/>
          <w:szCs w:val="32"/>
        </w:rPr>
        <w:t>第二十条</w:t>
      </w:r>
      <w:r>
        <w:rPr>
          <w:rFonts w:hint="eastAsia" w:ascii="仿宋_GB2312" w:hAnsi="黑体" w:eastAsia="仿宋_GB2312" w:cs="Calibri"/>
          <w:b/>
          <w:sz w:val="32"/>
          <w:szCs w:val="32"/>
        </w:rPr>
        <w:t xml:space="preserve">  </w:t>
      </w:r>
      <w:r>
        <w:rPr>
          <w:rFonts w:hint="eastAsia" w:ascii="仿宋_GB2312" w:hAnsi="黑体" w:eastAsia="仿宋_GB2312" w:cs="Calibri"/>
          <w:sz w:val="32"/>
          <w:szCs w:val="32"/>
        </w:rPr>
        <w:t>市、县（区）人民政府应当</w:t>
      </w:r>
      <w:r>
        <w:rPr>
          <w:rFonts w:hint="eastAsia" w:ascii="仿宋_GB2312" w:hAnsi="黑体" w:eastAsia="仿宋_GB2312" w:cs="Calibri"/>
          <w:sz w:val="32"/>
          <w:szCs w:val="32"/>
          <w:lang w:eastAsia="zh-CN"/>
        </w:rPr>
        <w:t>按照绿色发展理念，</w:t>
      </w:r>
      <w:r>
        <w:rPr>
          <w:rFonts w:hint="eastAsia" w:ascii="仿宋_GB2312" w:hAnsi="黑体" w:eastAsia="仿宋_GB2312" w:cs="Calibri"/>
          <w:sz w:val="32"/>
          <w:szCs w:val="32"/>
        </w:rPr>
        <w:t>科学编制乡村振兴战略实施规划，加强农村基础设施建设，改善农村人居环境，促进公共服务均等化，完善乡村治理体系，强化乡风文明建设，推动城乡融合</w:t>
      </w:r>
      <w:r>
        <w:rPr>
          <w:rFonts w:hint="eastAsia" w:ascii="仿宋_GB2312" w:hAnsi="黑体" w:eastAsia="仿宋_GB2312" w:cs="Calibri"/>
          <w:sz w:val="32"/>
          <w:szCs w:val="32"/>
          <w:lang w:eastAsia="zh-CN"/>
        </w:rPr>
        <w:t>绿色</w:t>
      </w:r>
      <w:r>
        <w:rPr>
          <w:rFonts w:hint="eastAsia" w:ascii="仿宋_GB2312" w:hAnsi="黑体" w:eastAsia="仿宋_GB2312" w:cs="Calibri"/>
          <w:sz w:val="32"/>
          <w:szCs w:val="32"/>
        </w:rPr>
        <w:t>发展。</w:t>
      </w:r>
    </w:p>
    <w:p>
      <w:pPr>
        <w:keepNext w:val="0"/>
        <w:keepLines w:val="0"/>
        <w:pageBreakBefore w:val="0"/>
        <w:widowControl w:val="0"/>
        <w:tabs>
          <w:tab w:val="center" w:pos="2022"/>
        </w:tabs>
        <w:kinsoku/>
        <w:wordWrap/>
        <w:overflowPunct/>
        <w:topLinePunct w:val="0"/>
        <w:autoSpaceDE/>
        <w:autoSpaceDN/>
        <w:bidi w:val="0"/>
        <w:adjustRightInd/>
        <w:snapToGrid/>
        <w:spacing w:after="0" w:afterLines="0" w:line="620" w:lineRule="exact"/>
        <w:ind w:left="0" w:leftChars="0"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tabs>
          <w:tab w:val="center" w:pos="2022"/>
        </w:tabs>
        <w:kinsoku/>
        <w:wordWrap/>
        <w:overflowPunct/>
        <w:topLinePunct w:val="0"/>
        <w:autoSpaceDE/>
        <w:autoSpaceDN/>
        <w:bidi w:val="0"/>
        <w:adjustRightInd/>
        <w:snapToGrid/>
        <w:spacing w:after="0" w:afterLines="0" w:line="620" w:lineRule="exact"/>
        <w:ind w:left="0" w:leftChars="0" w:right="0" w:rightChars="0"/>
        <w:jc w:val="center"/>
        <w:textAlignment w:val="auto"/>
        <w:outlineLvl w:val="9"/>
        <w:rPr>
          <w:rFonts w:ascii="黑体" w:hAnsi="黑体" w:eastAsia="黑体" w:cs="Calibri"/>
          <w:sz w:val="32"/>
          <w:szCs w:val="32"/>
        </w:rPr>
      </w:pPr>
      <w:r>
        <w:rPr>
          <w:rFonts w:hint="eastAsia" w:ascii="黑体" w:hAnsi="黑体" w:eastAsia="黑体" w:cs="Calibri"/>
          <w:sz w:val="32"/>
          <w:szCs w:val="32"/>
        </w:rPr>
        <w:t>第三章  保护与治理</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sz w:val="32"/>
          <w:szCs w:val="32"/>
        </w:rPr>
      </w:pPr>
      <w:r>
        <w:rPr>
          <w:rFonts w:hint="eastAsia" w:ascii="黑体" w:hAnsi="黑体" w:eastAsia="黑体" w:cs="黑体"/>
          <w:b w:val="0"/>
          <w:bCs/>
          <w:sz w:val="32"/>
          <w:szCs w:val="32"/>
        </w:rPr>
        <w:t>第二十一条</w:t>
      </w:r>
      <w:r>
        <w:rPr>
          <w:rFonts w:hint="eastAsia" w:ascii="仿宋_GB2312" w:hAnsi="Calibri" w:eastAsia="仿宋_GB2312" w:cs="Calibri"/>
          <w:b/>
          <w:sz w:val="32"/>
          <w:szCs w:val="32"/>
        </w:rPr>
        <w:t xml:space="preserve">  </w:t>
      </w:r>
      <w:r>
        <w:rPr>
          <w:rFonts w:hint="eastAsia" w:ascii="仿宋_GB2312" w:hAnsi="黑体" w:eastAsia="仿宋_GB2312" w:cs="Calibri"/>
          <w:sz w:val="32"/>
          <w:szCs w:val="32"/>
        </w:rPr>
        <w:t>市、县（区）人民政府、园区管委会应当</w:t>
      </w:r>
      <w:r>
        <w:rPr>
          <w:rFonts w:hint="eastAsia" w:ascii="仿宋_GB2312" w:hAnsi="Calibri" w:eastAsia="仿宋_GB2312" w:cs="Calibri"/>
          <w:sz w:val="32"/>
          <w:szCs w:val="32"/>
        </w:rPr>
        <w:t>加强大气、水、土壤环境污染防治工作，</w:t>
      </w:r>
      <w:r>
        <w:rPr>
          <w:rFonts w:hint="eastAsia" w:ascii="仿宋_GB2312" w:hAnsi="黑体" w:eastAsia="仿宋_GB2312" w:cs="Calibri"/>
          <w:sz w:val="32"/>
          <w:szCs w:val="32"/>
        </w:rPr>
        <w:t>开展污染</w:t>
      </w:r>
      <w:r>
        <w:rPr>
          <w:rFonts w:hint="eastAsia" w:ascii="仿宋_GB2312" w:hAnsi="Calibri" w:eastAsia="仿宋_GB2312" w:cs="Calibri"/>
          <w:sz w:val="32"/>
          <w:szCs w:val="32"/>
        </w:rPr>
        <w:t>调查、评估、保护、治理和</w:t>
      </w:r>
      <w:r>
        <w:rPr>
          <w:rFonts w:hint="eastAsia" w:ascii="仿宋_GB2312" w:hAnsi="Calibri" w:eastAsia="仿宋_GB2312" w:cs="Calibri"/>
          <w:sz w:val="32"/>
          <w:szCs w:val="32"/>
          <w:lang w:eastAsia="zh-CN"/>
        </w:rPr>
        <w:t>生态</w:t>
      </w:r>
      <w:r>
        <w:rPr>
          <w:rFonts w:hint="eastAsia" w:ascii="仿宋_GB2312" w:hAnsi="Calibri" w:eastAsia="仿宋_GB2312" w:cs="Calibri"/>
          <w:sz w:val="32"/>
          <w:szCs w:val="32"/>
        </w:rPr>
        <w:t>修复，实施自然恢复和人工修复</w:t>
      </w:r>
      <w:r>
        <w:rPr>
          <w:rFonts w:hint="eastAsia" w:ascii="仿宋_GB2312" w:hAnsi="黑体" w:eastAsia="仿宋_GB2312" w:cs="Calibri"/>
          <w:sz w:val="32"/>
          <w:szCs w:val="32"/>
        </w:rPr>
        <w:t>相结合的生态保护措施。</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20" w:firstLineChars="196"/>
        <w:textAlignment w:val="auto"/>
        <w:outlineLvl w:val="9"/>
        <w:rPr>
          <w:rFonts w:ascii="仿宋_GB2312" w:hAnsi="黑体" w:eastAsia="仿宋_GB2312" w:cs="Calibri"/>
          <w:sz w:val="32"/>
          <w:szCs w:val="32"/>
        </w:rPr>
      </w:pPr>
      <w:r>
        <w:rPr>
          <w:rFonts w:hint="eastAsia" w:ascii="黑体" w:hAnsi="黑体" w:eastAsia="黑体" w:cs="黑体"/>
          <w:b w:val="0"/>
          <w:bCs/>
          <w:sz w:val="32"/>
          <w:szCs w:val="32"/>
        </w:rPr>
        <w:t>第二十二条</w:t>
      </w:r>
      <w:r>
        <w:rPr>
          <w:rFonts w:hint="eastAsia" w:ascii="仿宋_GB2312" w:hAnsi="黑体" w:eastAsia="仿宋_GB2312" w:cs="Calibri"/>
          <w:b/>
          <w:sz w:val="32"/>
          <w:szCs w:val="32"/>
        </w:rPr>
        <w:t xml:space="preserve"> </w:t>
      </w:r>
      <w:r>
        <w:rPr>
          <w:rFonts w:hint="eastAsia" w:ascii="仿宋_GB2312" w:hAnsi="Calibri" w:eastAsia="仿宋_GB2312" w:cs="Calibri"/>
          <w:sz w:val="32"/>
          <w:szCs w:val="32"/>
        </w:rPr>
        <w:t xml:space="preserve"> 市、县（区）人民政府应当开展水流、森林、山岭、草地、湿地、荒地、滩涂以及探明储量的矿产资源等自然资源统一确权登记，编制自然资源资产负债表，科学评估自然资源资产变化状况。</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hint="eastAsia" w:ascii="仿宋_GB2312" w:hAnsi="Calibri" w:eastAsia="仿宋_GB2312" w:cs="Calibri"/>
          <w:sz w:val="32"/>
          <w:szCs w:val="32"/>
        </w:rPr>
      </w:pPr>
      <w:r>
        <w:rPr>
          <w:rFonts w:hint="eastAsia" w:ascii="黑体" w:hAnsi="黑体" w:eastAsia="黑体" w:cs="黑体"/>
          <w:b w:val="0"/>
          <w:bCs/>
          <w:sz w:val="32"/>
          <w:szCs w:val="32"/>
        </w:rPr>
        <w:t>第二十三条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 xml:space="preserve"> 市、县（区）人民政府、园区管委会及有关主管部门应当对水环境、大气环境、声环境、辐射环境、土壤环境及城市绿地系统、森林资源系统、草原生态系统、湿地生态系统等进行监测，监测结果向社会公布。</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rPr>
      </w:pPr>
      <w:r>
        <w:rPr>
          <w:rFonts w:hint="eastAsia" w:ascii="仿宋_GB2312" w:hAnsi="Calibri" w:eastAsia="仿宋_GB2312" w:cs="Calibri"/>
          <w:sz w:val="32"/>
          <w:szCs w:val="32"/>
        </w:rPr>
        <w:t>环境受到污染，影响公众健康和环境安全时，</w:t>
      </w:r>
      <w:r>
        <w:rPr>
          <w:rFonts w:hint="eastAsia" w:ascii="仿宋_GB2312" w:hAnsi="Calibri" w:eastAsia="仿宋_GB2312" w:cs="Calibri"/>
          <w:sz w:val="32"/>
          <w:szCs w:val="32"/>
          <w:lang w:eastAsia="zh-CN"/>
        </w:rPr>
        <w:t>应当</w:t>
      </w:r>
      <w:r>
        <w:rPr>
          <w:rFonts w:hint="eastAsia" w:ascii="仿宋_GB2312" w:hAnsi="Calibri" w:eastAsia="仿宋_GB2312" w:cs="Calibri"/>
          <w:sz w:val="32"/>
          <w:szCs w:val="32"/>
        </w:rPr>
        <w:t>依法公布预警信息，启动应急预案。</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b/>
          <w:bCs/>
          <w:sz w:val="32"/>
          <w:szCs w:val="32"/>
        </w:rPr>
      </w:pPr>
      <w:r>
        <w:rPr>
          <w:rFonts w:hint="eastAsia" w:ascii="黑体" w:hAnsi="黑体" w:eastAsia="黑体" w:cs="黑体"/>
          <w:b w:val="0"/>
          <w:bCs w:val="0"/>
          <w:sz w:val="32"/>
          <w:szCs w:val="32"/>
        </w:rPr>
        <w:t>第二十四条</w:t>
      </w:r>
      <w:r>
        <w:rPr>
          <w:rFonts w:hint="eastAsia" w:ascii="仿宋_GB2312" w:hAnsi="黑体" w:eastAsia="仿宋_GB2312" w:cs="仿宋_GB2312"/>
          <w:b/>
          <w:bCs/>
          <w:sz w:val="32"/>
          <w:szCs w:val="32"/>
        </w:rPr>
        <w:t xml:space="preserve">  </w:t>
      </w:r>
      <w:r>
        <w:rPr>
          <w:rFonts w:hint="eastAsia" w:ascii="仿宋_GB2312" w:hAnsi="仿宋_GB2312" w:eastAsia="仿宋_GB2312" w:cs="仿宋_GB2312"/>
          <w:bCs/>
          <w:sz w:val="32"/>
          <w:szCs w:val="32"/>
        </w:rPr>
        <w:t>市、</w:t>
      </w:r>
      <w:r>
        <w:rPr>
          <w:rFonts w:hint="eastAsia" w:ascii="仿宋_GB2312" w:hAnsi="微软雅黑" w:eastAsia="仿宋_GB2312" w:cs="宋体"/>
          <w:sz w:val="32"/>
          <w:szCs w:val="32"/>
        </w:rPr>
        <w:t>县（区）人民政府</w:t>
      </w:r>
      <w:r>
        <w:rPr>
          <w:rFonts w:hint="eastAsia" w:ascii="仿宋_GB2312" w:hAnsi="黑体" w:eastAsia="仿宋_GB2312" w:cs="宋体"/>
          <w:sz w:val="32"/>
          <w:szCs w:val="32"/>
        </w:rPr>
        <w:t>、园区管委会</w:t>
      </w:r>
      <w:r>
        <w:rPr>
          <w:rFonts w:hint="eastAsia" w:ascii="仿宋_GB2312" w:hAnsi="微软雅黑" w:eastAsia="仿宋_GB2312" w:cs="宋体"/>
          <w:sz w:val="32"/>
          <w:szCs w:val="32"/>
        </w:rPr>
        <w:t>应当依据本行政区域主要污染物排放、建设用地和用水总量控制指标，</w:t>
      </w:r>
      <w:r>
        <w:rPr>
          <w:rFonts w:hint="eastAsia" w:ascii="仿宋_GB2312" w:hAnsi="Calibri" w:eastAsia="仿宋_GB2312" w:cs="Calibri"/>
          <w:sz w:val="32"/>
          <w:szCs w:val="32"/>
        </w:rPr>
        <w:t>实施污染物排放、能源和水资源消耗、建设用地等总</w:t>
      </w:r>
      <w:r>
        <w:rPr>
          <w:rFonts w:hint="eastAsia" w:ascii="仿宋_GB2312" w:hAnsi="Calibri" w:eastAsia="仿宋_GB2312" w:cs="Calibri"/>
          <w:spacing w:val="-6"/>
          <w:sz w:val="32"/>
          <w:szCs w:val="32"/>
        </w:rPr>
        <w:t>量和强度双控制度，</w:t>
      </w:r>
      <w:r>
        <w:rPr>
          <w:rFonts w:hint="eastAsia" w:ascii="仿宋_GB2312" w:hAnsi="仿宋_GB2312" w:eastAsia="仿宋_GB2312" w:cs="仿宋_GB2312"/>
          <w:spacing w:val="-6"/>
          <w:sz w:val="32"/>
          <w:szCs w:val="32"/>
        </w:rPr>
        <w:t>建立</w:t>
      </w:r>
      <w:r>
        <w:rPr>
          <w:rFonts w:hint="eastAsia" w:ascii="仿宋_GB2312" w:hAnsi="Calibri" w:eastAsia="仿宋_GB2312" w:cs="Calibri"/>
          <w:spacing w:val="-6"/>
          <w:sz w:val="32"/>
          <w:szCs w:val="32"/>
        </w:rPr>
        <w:t>健全</w:t>
      </w:r>
      <w:r>
        <w:rPr>
          <w:rFonts w:hint="eastAsia" w:ascii="仿宋_GB2312" w:hAnsi="仿宋_GB2312" w:eastAsia="仿宋_GB2312" w:cs="仿宋_GB2312"/>
          <w:spacing w:val="-6"/>
          <w:sz w:val="32"/>
          <w:szCs w:val="32"/>
        </w:rPr>
        <w:t>控制指标体系和</w:t>
      </w:r>
      <w:r>
        <w:rPr>
          <w:rFonts w:hint="eastAsia" w:ascii="仿宋_GB2312" w:hAnsi="Calibri" w:eastAsia="仿宋_GB2312" w:cs="Calibri"/>
          <w:spacing w:val="-6"/>
          <w:sz w:val="32"/>
          <w:szCs w:val="32"/>
        </w:rPr>
        <w:t>在线监测系统</w:t>
      </w:r>
      <w:r>
        <w:rPr>
          <w:rFonts w:hint="eastAsia" w:ascii="仿宋_GB2312" w:hAnsi="微软雅黑" w:eastAsia="仿宋_GB2312" w:cs="宋体"/>
          <w:spacing w:val="-6"/>
          <w:sz w:val="32"/>
          <w:szCs w:val="32"/>
        </w:rPr>
        <w:t>。</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sz w:val="32"/>
          <w:szCs w:val="32"/>
        </w:rPr>
      </w:pPr>
      <w:r>
        <w:rPr>
          <w:rFonts w:hint="eastAsia" w:ascii="黑体" w:hAnsi="黑体" w:eastAsia="黑体" w:cs="黑体"/>
          <w:b w:val="0"/>
          <w:bCs w:val="0"/>
          <w:sz w:val="32"/>
          <w:szCs w:val="32"/>
        </w:rPr>
        <w:t>第二十五条</w:t>
      </w:r>
      <w:r>
        <w:rPr>
          <w:rFonts w:hint="eastAsia" w:ascii="仿宋_GB2312" w:hAnsi="Calibri" w:eastAsia="仿宋_GB2312" w:cs="Calibri"/>
          <w:b/>
          <w:bCs/>
          <w:sz w:val="32"/>
          <w:szCs w:val="32"/>
        </w:rPr>
        <w:t xml:space="preserve"> </w:t>
      </w:r>
      <w:r>
        <w:rPr>
          <w:rFonts w:hint="eastAsia" w:ascii="仿宋_GB2312" w:hAnsi="Calibri" w:eastAsia="仿宋_GB2312" w:cs="Calibri"/>
          <w:sz w:val="32"/>
          <w:szCs w:val="32"/>
        </w:rPr>
        <w:t xml:space="preserve"> 市、县（区）人民政府</w:t>
      </w:r>
      <w:r>
        <w:rPr>
          <w:rFonts w:hint="eastAsia" w:ascii="仿宋_GB2312" w:hAnsi="黑体" w:eastAsia="仿宋_GB2312" w:cs="Calibri"/>
          <w:sz w:val="32"/>
          <w:szCs w:val="32"/>
        </w:rPr>
        <w:t>、园区管委会</w:t>
      </w:r>
      <w:r>
        <w:rPr>
          <w:rFonts w:hint="eastAsia" w:ascii="仿宋_GB2312" w:hAnsi="Calibri" w:eastAsia="仿宋_GB2312" w:cs="Calibri"/>
          <w:sz w:val="32"/>
          <w:szCs w:val="32"/>
        </w:rPr>
        <w:t>应当推进企业在原（燃）料替代、工艺改进、设备更新和综合利用等方面进行技术改造，从源头输入、生产过程和末端处置等环节降低碳排放，推行清洁生产和企业合同能源管理。</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b/>
          <w:sz w:val="32"/>
          <w:szCs w:val="32"/>
        </w:rPr>
      </w:pPr>
      <w:r>
        <w:rPr>
          <w:rFonts w:hint="eastAsia" w:ascii="黑体" w:hAnsi="黑体" w:eastAsia="黑体" w:cs="黑体"/>
          <w:b w:val="0"/>
          <w:bCs/>
          <w:sz w:val="32"/>
          <w:szCs w:val="32"/>
        </w:rPr>
        <w:t>第二十六条</w:t>
      </w:r>
      <w:r>
        <w:rPr>
          <w:rFonts w:hint="eastAsia" w:ascii="仿宋_GB2312" w:hAnsi="Calibri" w:eastAsia="仿宋_GB2312" w:cs="Calibri"/>
          <w:sz w:val="32"/>
          <w:szCs w:val="32"/>
        </w:rPr>
        <w:t xml:space="preserve">  </w:t>
      </w:r>
      <w:r>
        <w:rPr>
          <w:rFonts w:hint="eastAsia" w:ascii="仿宋_GB2312" w:hAnsi="黑体" w:eastAsia="仿宋_GB2312" w:cs="Calibri"/>
          <w:sz w:val="32"/>
          <w:szCs w:val="32"/>
        </w:rPr>
        <w:t>生产过程中耗能高的产品的生产单位，应当执行单位产品能耗限额标准。对超过单位产品能耗限额标准用能的生产单位，由有关部门责令限期治理。</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sz w:val="32"/>
          <w:szCs w:val="32"/>
        </w:rPr>
      </w:pPr>
      <w:r>
        <w:rPr>
          <w:rFonts w:hint="eastAsia" w:ascii="黑体" w:hAnsi="黑体" w:eastAsia="黑体" w:cs="黑体"/>
          <w:b w:val="0"/>
          <w:bCs/>
          <w:sz w:val="32"/>
          <w:szCs w:val="32"/>
        </w:rPr>
        <w:t>第二十七条</w:t>
      </w:r>
      <w:r>
        <w:rPr>
          <w:rFonts w:hint="eastAsia" w:ascii="仿宋_GB2312" w:hAnsi="黑体" w:eastAsia="仿宋_GB2312" w:cs="Calibri"/>
          <w:sz w:val="32"/>
          <w:szCs w:val="32"/>
        </w:rPr>
        <w:t>　禁止生产、进口、销售国家明令淘汰或者不符合强制性能源效率标准的</w:t>
      </w:r>
      <w:r>
        <w:rPr>
          <w:rFonts w:hint="eastAsia" w:ascii="仿宋_GB2312" w:hAnsi="黑体" w:eastAsia="仿宋_GB2312" w:cs="宋体"/>
          <w:sz w:val="32"/>
          <w:szCs w:val="32"/>
        </w:rPr>
        <w:t>设备、材料和产品</w:t>
      </w:r>
      <w:r>
        <w:rPr>
          <w:rFonts w:hint="eastAsia" w:ascii="仿宋_GB2312" w:hAnsi="黑体" w:eastAsia="仿宋_GB2312" w:cs="Calibri"/>
          <w:sz w:val="32"/>
          <w:szCs w:val="32"/>
        </w:rPr>
        <w:t>。</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b/>
          <w:sz w:val="32"/>
          <w:szCs w:val="32"/>
        </w:rPr>
      </w:pPr>
      <w:r>
        <w:rPr>
          <w:rFonts w:hint="eastAsia" w:ascii="仿宋_GB2312" w:hAnsi="黑体" w:eastAsia="仿宋_GB2312" w:cs="Calibri"/>
          <w:sz w:val="32"/>
          <w:szCs w:val="32"/>
        </w:rPr>
        <w:t>禁止使用列入淘汰目录的技术、工艺、设备和材料。</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b/>
          <w:sz w:val="32"/>
          <w:szCs w:val="32"/>
        </w:rPr>
      </w:pPr>
      <w:r>
        <w:rPr>
          <w:rFonts w:hint="eastAsia" w:ascii="黑体" w:hAnsi="黑体" w:eastAsia="黑体" w:cs="黑体"/>
          <w:b w:val="0"/>
          <w:bCs/>
          <w:sz w:val="32"/>
          <w:szCs w:val="32"/>
        </w:rPr>
        <w:t>第二十八条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市、县（区）人民政府、园区管委会应当加强大气污染网格化管理和区域联防联控，监督管理企业和有关单位部门，对扬尘、工业废气、煤烟尘、机动车尾气等主要污染物进行治理，降低环境</w:t>
      </w:r>
      <w:r>
        <w:rPr>
          <w:rFonts w:hint="eastAsia" w:ascii="仿宋_GB2312" w:hAnsi="Calibri" w:eastAsia="仿宋_GB2312" w:cs="Calibri"/>
          <w:sz w:val="32"/>
          <w:szCs w:val="32"/>
          <w:lang w:eastAsia="zh-CN"/>
        </w:rPr>
        <w:t>空气质量</w:t>
      </w:r>
      <w:r>
        <w:rPr>
          <w:rFonts w:hint="eastAsia" w:ascii="仿宋_GB2312" w:hAnsi="Calibri" w:eastAsia="仿宋_GB2312" w:cs="Calibri"/>
          <w:sz w:val="32"/>
          <w:szCs w:val="32"/>
        </w:rPr>
        <w:t>综合指数，提高空气质量优良率。</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jc w:val="left"/>
        <w:textAlignment w:val="auto"/>
        <w:outlineLvl w:val="9"/>
        <w:rPr>
          <w:rFonts w:ascii="仿宋_GB2312" w:hAnsi="Calibri" w:eastAsia="仿宋_GB2312" w:cs="Calibri"/>
          <w:sz w:val="32"/>
          <w:szCs w:val="32"/>
          <w:shd w:val="pct10" w:color="auto" w:fill="FFFFFF"/>
        </w:rPr>
      </w:pPr>
      <w:r>
        <w:rPr>
          <w:rFonts w:hint="eastAsia" w:ascii="黑体" w:hAnsi="黑体" w:eastAsia="黑体" w:cs="黑体"/>
          <w:b w:val="0"/>
          <w:bCs/>
          <w:sz w:val="32"/>
          <w:szCs w:val="32"/>
        </w:rPr>
        <w:t>第二十九条</w:t>
      </w:r>
      <w:r>
        <w:rPr>
          <w:rFonts w:hint="eastAsia" w:ascii="仿宋_GB2312" w:hAnsi="Calibri" w:eastAsia="仿宋_GB2312" w:cs="Calibri"/>
          <w:sz w:val="32"/>
          <w:szCs w:val="32"/>
        </w:rPr>
        <w:t xml:space="preserve">  </w:t>
      </w:r>
      <w:r>
        <w:rPr>
          <w:rFonts w:hint="eastAsia" w:ascii="仿宋_GB2312" w:hAnsi="黑体" w:eastAsia="仿宋_GB2312" w:cs="Calibri"/>
          <w:sz w:val="32"/>
          <w:szCs w:val="32"/>
        </w:rPr>
        <w:t>市、县人民政府应当加强水土流失治理，</w:t>
      </w:r>
      <w:r>
        <w:rPr>
          <w:rFonts w:hint="eastAsia" w:ascii="仿宋_GB2312" w:hAnsi="Calibri" w:eastAsia="仿宋_GB2312" w:cs="Calibri"/>
          <w:sz w:val="32"/>
          <w:szCs w:val="32"/>
        </w:rPr>
        <w:t>采取封育保护、自然修复等措施，</w:t>
      </w:r>
      <w:r>
        <w:rPr>
          <w:rFonts w:hint="eastAsia" w:ascii="仿宋_GB2312" w:hAnsi="黑体" w:eastAsia="仿宋_GB2312" w:cs="Calibri"/>
          <w:sz w:val="32"/>
          <w:szCs w:val="32"/>
        </w:rPr>
        <w:t>组织单位和个人植树种草，扩大林草覆盖面积，涵养水源，预防和减轻水土流失。</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20" w:firstLineChars="196"/>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第三十条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实行最严格水资源管理制度，</w:t>
      </w:r>
      <w:r>
        <w:rPr>
          <w:rFonts w:hint="eastAsia" w:ascii="仿宋_GB2312" w:hAnsi="黑体" w:eastAsia="仿宋_GB2312" w:cs="Calibri"/>
          <w:sz w:val="32"/>
          <w:szCs w:val="32"/>
        </w:rPr>
        <w:t>市、县（区）人民政府、园区管委会应当</w:t>
      </w:r>
      <w:r>
        <w:rPr>
          <w:rFonts w:hint="eastAsia" w:ascii="仿宋_GB2312" w:hAnsi="Calibri" w:eastAsia="仿宋_GB2312" w:cs="Calibri"/>
          <w:sz w:val="32"/>
          <w:szCs w:val="32"/>
        </w:rPr>
        <w:t>确立水资源开发利用控制红线、用水效率控制红线和水功能区限制纳污红线，建立水资源管理的考核机制，</w:t>
      </w:r>
      <w:r>
        <w:rPr>
          <w:rFonts w:hint="eastAsia" w:ascii="仿宋_GB2312" w:hAnsi="黑体" w:eastAsia="仿宋_GB2312" w:cs="Calibri"/>
          <w:sz w:val="32"/>
          <w:szCs w:val="32"/>
          <w:lang w:val="en-US" w:eastAsia="zh-CN"/>
        </w:rPr>
        <w:t>提倡中水利用，逐步建设、完善中水利用设施，逐年提高中水利用率，</w:t>
      </w:r>
      <w:r>
        <w:rPr>
          <w:rFonts w:hint="eastAsia" w:ascii="仿宋_GB2312" w:hAnsi="Calibri" w:eastAsia="仿宋_GB2312" w:cs="Calibri"/>
          <w:sz w:val="32"/>
          <w:szCs w:val="32"/>
        </w:rPr>
        <w:t>推进节水型城市建设。</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b/>
          <w:sz w:val="32"/>
          <w:szCs w:val="32"/>
        </w:rPr>
      </w:pPr>
      <w:r>
        <w:rPr>
          <w:rFonts w:hint="eastAsia" w:ascii="黑体" w:hAnsi="黑体" w:eastAsia="黑体" w:cs="黑体"/>
          <w:b w:val="0"/>
          <w:bCs/>
          <w:sz w:val="32"/>
          <w:szCs w:val="32"/>
        </w:rPr>
        <w:t>第三十一条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 xml:space="preserve"> </w:t>
      </w:r>
      <w:r>
        <w:rPr>
          <w:rFonts w:hint="eastAsia" w:ascii="仿宋_GB2312" w:hAnsi="黑体" w:eastAsia="仿宋_GB2312" w:cs="Calibri"/>
          <w:sz w:val="32"/>
          <w:szCs w:val="32"/>
        </w:rPr>
        <w:t>市、县人民政府应当</w:t>
      </w:r>
      <w:r>
        <w:rPr>
          <w:rFonts w:hint="eastAsia" w:ascii="仿宋_GB2312" w:hAnsi="Calibri" w:eastAsia="仿宋_GB2312" w:cs="Calibri"/>
          <w:sz w:val="32"/>
          <w:szCs w:val="32"/>
        </w:rPr>
        <w:t>加强森林草原资源保护，</w:t>
      </w:r>
      <w:r>
        <w:rPr>
          <w:rFonts w:hint="eastAsia" w:ascii="仿宋_GB2312" w:hAnsi="黑体" w:eastAsia="仿宋_GB2312" w:cs="Calibri"/>
          <w:sz w:val="32"/>
          <w:szCs w:val="32"/>
        </w:rPr>
        <w:t>采取</w:t>
      </w:r>
      <w:r>
        <w:rPr>
          <w:rFonts w:hint="eastAsia" w:ascii="仿宋_GB2312" w:hAnsi="Calibri" w:eastAsia="仿宋_GB2312" w:cs="Calibri"/>
          <w:sz w:val="32"/>
          <w:szCs w:val="32"/>
        </w:rPr>
        <w:t>封山育林、森林抚育、草原保护</w:t>
      </w:r>
      <w:r>
        <w:rPr>
          <w:rFonts w:hint="eastAsia" w:ascii="仿宋_GB2312" w:hAnsi="黑体" w:eastAsia="仿宋_GB2312" w:cs="Calibri"/>
          <w:sz w:val="32"/>
          <w:szCs w:val="32"/>
        </w:rPr>
        <w:t>等措施</w:t>
      </w:r>
      <w:r>
        <w:rPr>
          <w:rFonts w:hint="eastAsia" w:ascii="仿宋_GB2312" w:hAnsi="Calibri" w:eastAsia="仿宋_GB2312" w:cs="Calibri"/>
          <w:sz w:val="32"/>
          <w:szCs w:val="32"/>
        </w:rPr>
        <w:t>，提升森林草原质量，科学发展森林生态产业，提升生态屏障功能。</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shd w:val="pct10" w:color="auto" w:fill="FFFFFF"/>
        </w:rPr>
      </w:pPr>
      <w:r>
        <w:rPr>
          <w:rFonts w:hint="eastAsia" w:ascii="黑体" w:hAnsi="黑体" w:eastAsia="黑体" w:cs="黑体"/>
          <w:b w:val="0"/>
          <w:bCs/>
          <w:sz w:val="32"/>
          <w:szCs w:val="32"/>
        </w:rPr>
        <w:t>第三十二条</w:t>
      </w:r>
      <w:r>
        <w:rPr>
          <w:rFonts w:hint="eastAsia" w:ascii="仿宋_GB2312" w:hAnsi="Calibri" w:eastAsia="仿宋_GB2312" w:cs="Calibri"/>
          <w:b/>
          <w:sz w:val="32"/>
          <w:szCs w:val="32"/>
        </w:rPr>
        <w:t xml:space="preserve">  </w:t>
      </w:r>
      <w:r>
        <w:rPr>
          <w:rFonts w:hint="eastAsia" w:ascii="仿宋_GB2312" w:hAnsi="黑体" w:eastAsia="仿宋_GB2312" w:cs="Calibri"/>
          <w:sz w:val="32"/>
          <w:szCs w:val="32"/>
        </w:rPr>
        <w:t>市、县（区）人民政府、园区管委会</w:t>
      </w:r>
      <w:r>
        <w:rPr>
          <w:rFonts w:hint="eastAsia" w:ascii="仿宋_GB2312" w:hAnsi="Calibri" w:eastAsia="仿宋_GB2312" w:cs="Calibri"/>
          <w:sz w:val="32"/>
          <w:szCs w:val="32"/>
        </w:rPr>
        <w:t>应当加强城市绿化规划的组织实施，监督检查绿化工作，鼓励和推广新型绿化方式。城市人均公园绿地面积</w:t>
      </w:r>
      <w:r>
        <w:rPr>
          <w:rFonts w:hint="eastAsia" w:ascii="仿宋_GB2312" w:hAnsi="黑体" w:eastAsia="仿宋_GB2312" w:cs="Calibri"/>
          <w:sz w:val="32"/>
          <w:szCs w:val="32"/>
        </w:rPr>
        <w:t>应当</w:t>
      </w:r>
      <w:r>
        <w:rPr>
          <w:rFonts w:hint="eastAsia" w:ascii="仿宋_GB2312" w:hAnsi="Calibri" w:eastAsia="仿宋_GB2312" w:cs="Calibri"/>
          <w:sz w:val="32"/>
          <w:szCs w:val="32"/>
        </w:rPr>
        <w:t>保持在</w:t>
      </w:r>
      <w:r>
        <w:rPr>
          <w:rFonts w:hint="eastAsia" w:ascii="仿宋_GB2312" w:hAnsi="黑体" w:eastAsia="仿宋_GB2312" w:cs="Calibri"/>
          <w:sz w:val="32"/>
          <w:szCs w:val="32"/>
        </w:rPr>
        <w:t>十二</w:t>
      </w:r>
      <w:r>
        <w:rPr>
          <w:rFonts w:hint="eastAsia" w:ascii="仿宋_GB2312" w:hAnsi="Calibri" w:eastAsia="仿宋_GB2312" w:cs="Calibri"/>
          <w:sz w:val="32"/>
          <w:szCs w:val="32"/>
        </w:rPr>
        <w:t>平方米以上。</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shd w:val="pct10" w:color="auto" w:fill="FFFFFF"/>
        </w:rPr>
      </w:pPr>
      <w:r>
        <w:rPr>
          <w:rFonts w:hint="eastAsia" w:ascii="黑体" w:hAnsi="黑体" w:eastAsia="黑体" w:cs="黑体"/>
          <w:b w:val="0"/>
          <w:bCs/>
          <w:sz w:val="32"/>
          <w:szCs w:val="32"/>
        </w:rPr>
        <w:t>第三十三条</w:t>
      </w:r>
      <w:r>
        <w:rPr>
          <w:rFonts w:hint="eastAsia" w:ascii="仿宋_GB2312" w:hAnsi="Calibri" w:eastAsia="仿宋_GB2312" w:cs="Calibri"/>
          <w:b/>
          <w:sz w:val="32"/>
          <w:szCs w:val="32"/>
        </w:rPr>
        <w:t xml:space="preserve">  </w:t>
      </w:r>
      <w:r>
        <w:rPr>
          <w:rFonts w:hint="eastAsia" w:ascii="仿宋_GB2312" w:hAnsi="黑体" w:eastAsia="仿宋_GB2312" w:cs="Calibri"/>
          <w:sz w:val="32"/>
          <w:szCs w:val="32"/>
        </w:rPr>
        <w:t>市人民政府组织开展土壤污染状况详查工作。市、县人民政府及其有关部门根据实际情况组织实施土壤污染风险管控和修复，</w:t>
      </w:r>
      <w:r>
        <w:rPr>
          <w:rFonts w:hint="eastAsia" w:ascii="仿宋_GB2312" w:hAnsi="Calibri" w:eastAsia="仿宋_GB2312" w:cs="Calibri"/>
          <w:sz w:val="32"/>
          <w:szCs w:val="32"/>
        </w:rPr>
        <w:t>促进土壤资源永续利用。</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第三十四条</w:t>
      </w:r>
      <w:r>
        <w:rPr>
          <w:rFonts w:hint="eastAsia" w:ascii="仿宋_GB2312" w:hAnsi="Calibri" w:eastAsia="仿宋_GB2312" w:cs="Calibri"/>
          <w:b/>
          <w:sz w:val="32"/>
          <w:szCs w:val="32"/>
        </w:rPr>
        <w:t xml:space="preserve"> </w:t>
      </w:r>
      <w:r>
        <w:rPr>
          <w:rFonts w:hint="eastAsia" w:ascii="仿宋_GB2312" w:hAnsi="黑体" w:eastAsia="仿宋_GB2312" w:cs="Calibri"/>
          <w:b/>
          <w:sz w:val="32"/>
          <w:szCs w:val="32"/>
        </w:rPr>
        <w:t xml:space="preserve"> </w:t>
      </w:r>
      <w:r>
        <w:rPr>
          <w:rFonts w:hint="eastAsia" w:ascii="仿宋_GB2312" w:hAnsi="黑体" w:eastAsia="仿宋_GB2312" w:cs="Calibri"/>
          <w:sz w:val="32"/>
          <w:szCs w:val="32"/>
        </w:rPr>
        <w:t>市、县（区）人民政府、园区管委会</w:t>
      </w:r>
      <w:r>
        <w:rPr>
          <w:rFonts w:hint="eastAsia" w:ascii="仿宋_GB2312" w:hAnsi="黑体" w:eastAsia="仿宋_GB2312" w:cs="宋体"/>
          <w:sz w:val="32"/>
          <w:szCs w:val="32"/>
        </w:rPr>
        <w:t>应当建设城乡生活垃圾分类投放、分类收集、分类运输、分类利用、分类处置的资源化利用设施，建立和完善资源化利用体系，改变传统的卫生填埋等垃圾处理方式，</w:t>
      </w:r>
      <w:r>
        <w:rPr>
          <w:rFonts w:hint="eastAsia" w:ascii="仿宋_GB2312" w:hAnsi="Calibri" w:eastAsia="仿宋_GB2312" w:cs="Calibri"/>
          <w:sz w:val="32"/>
          <w:szCs w:val="32"/>
        </w:rPr>
        <w:t>提高生活垃圾减量化、资源化、无害化水平。</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第三十五条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国家机关</w:t>
      </w:r>
      <w:r>
        <w:rPr>
          <w:rFonts w:hint="eastAsia" w:ascii="仿宋_GB2312" w:hAnsi="黑体" w:eastAsia="仿宋_GB2312" w:cs="Calibri"/>
          <w:sz w:val="32"/>
          <w:szCs w:val="32"/>
        </w:rPr>
        <w:t>和使用财政资金的</w:t>
      </w:r>
      <w:r>
        <w:rPr>
          <w:rFonts w:hint="eastAsia" w:ascii="仿宋_GB2312" w:hAnsi="Calibri" w:eastAsia="仿宋_GB2312" w:cs="Calibri"/>
          <w:sz w:val="32"/>
          <w:szCs w:val="32"/>
        </w:rPr>
        <w:t>其他组织应当优先采购</w:t>
      </w:r>
      <w:r>
        <w:rPr>
          <w:rFonts w:hint="eastAsia" w:ascii="仿宋_GB2312" w:hAnsi="黑体" w:eastAsia="仿宋_GB2312" w:cs="Calibri"/>
          <w:sz w:val="32"/>
          <w:szCs w:val="32"/>
        </w:rPr>
        <w:t>列入节能产品、设备政府采购名录中的产品、设备，</w:t>
      </w:r>
      <w:r>
        <w:rPr>
          <w:rFonts w:hint="eastAsia" w:ascii="仿宋_GB2312" w:hAnsi="Calibri" w:eastAsia="仿宋_GB2312" w:cs="Calibri"/>
          <w:sz w:val="32"/>
          <w:szCs w:val="32"/>
        </w:rPr>
        <w:t>使用低碳、节能、节水、节地、节材和有利于保护环境的产品以及再生产品，节约使用办公用品。</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rPr>
      </w:pPr>
      <w:r>
        <w:rPr>
          <w:rFonts w:hint="eastAsia" w:ascii="仿宋_GB2312" w:hAnsi="Calibri" w:eastAsia="仿宋_GB2312" w:cs="Calibri"/>
          <w:sz w:val="32"/>
          <w:szCs w:val="32"/>
        </w:rPr>
        <w:t>餐饮、娱乐和宾馆等服务性行业应当采用节能、节水、节地、节材和有利于保护环境的产品，减少使用浪费资源、污染环境的产品。</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rPr>
      </w:pPr>
      <w:r>
        <w:rPr>
          <w:rFonts w:hint="eastAsia" w:ascii="仿宋_GB2312" w:hAnsi="Calibri" w:eastAsia="仿宋_GB2312" w:cs="Calibri"/>
          <w:sz w:val="32"/>
          <w:szCs w:val="32"/>
        </w:rPr>
        <w:t>新建、改建、扩建项目应当采用节能、节水、节材和有利于保护环境的技术、设备、设施。</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b/>
          <w:sz w:val="32"/>
          <w:szCs w:val="32"/>
        </w:rPr>
      </w:pPr>
      <w:r>
        <w:rPr>
          <w:rFonts w:hint="eastAsia" w:ascii="仿宋_GB2312" w:hAnsi="黑体" w:eastAsia="仿宋_GB2312" w:cs="Calibri"/>
          <w:sz w:val="32"/>
          <w:szCs w:val="32"/>
        </w:rPr>
        <w:t>禁止采购国家明令淘汰的用能产品、设备。</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hint="eastAsia" w:asciiTheme="minorEastAsia" w:hAnsiTheme="minorEastAsia" w:eastAsiaTheme="minorEastAsia" w:cstheme="minorEastAsia"/>
          <w:sz w:val="32"/>
          <w:szCs w:val="32"/>
          <w:shd w:val="pct10" w:color="auto" w:fill="FFFFFF"/>
        </w:rPr>
      </w:pP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jc w:val="center"/>
        <w:textAlignment w:val="auto"/>
        <w:outlineLvl w:val="9"/>
        <w:rPr>
          <w:rFonts w:ascii="黑体" w:hAnsi="黑体" w:eastAsia="黑体" w:cs="Calibri"/>
          <w:sz w:val="32"/>
          <w:szCs w:val="32"/>
        </w:rPr>
      </w:pPr>
      <w:r>
        <w:rPr>
          <w:rFonts w:hint="eastAsia" w:ascii="黑体" w:hAnsi="黑体" w:eastAsia="黑体" w:cs="Calibri"/>
          <w:sz w:val="32"/>
          <w:szCs w:val="32"/>
        </w:rPr>
        <w:t xml:space="preserve">第四章 </w:t>
      </w:r>
      <w:r>
        <w:rPr>
          <w:rFonts w:hint="eastAsia" w:ascii="黑体" w:hAnsi="黑体" w:eastAsia="黑体" w:cs="Calibri"/>
          <w:sz w:val="32"/>
          <w:szCs w:val="32"/>
          <w:lang w:val="en-US" w:eastAsia="zh-CN"/>
        </w:rPr>
        <w:t xml:space="preserve"> </w:t>
      </w:r>
      <w:r>
        <w:rPr>
          <w:rFonts w:hint="eastAsia" w:ascii="黑体" w:hAnsi="黑体" w:eastAsia="黑体" w:cs="Calibri"/>
          <w:sz w:val="32"/>
          <w:szCs w:val="32"/>
        </w:rPr>
        <w:t>监督与保障</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20" w:firstLineChars="196"/>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20" w:firstLineChars="196"/>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第三十六条</w:t>
      </w:r>
      <w:r>
        <w:rPr>
          <w:rFonts w:hint="eastAsia" w:ascii="仿宋_GB2312" w:hAnsi="黑体" w:eastAsia="仿宋_GB2312" w:cs="Calibri"/>
          <w:b/>
          <w:sz w:val="32"/>
          <w:szCs w:val="32"/>
        </w:rPr>
        <w:t xml:space="preserve">  </w:t>
      </w:r>
      <w:r>
        <w:rPr>
          <w:rFonts w:hint="eastAsia" w:ascii="仿宋_GB2312" w:hAnsi="Calibri" w:eastAsia="仿宋_GB2312" w:cs="Calibri"/>
          <w:sz w:val="32"/>
          <w:szCs w:val="32"/>
        </w:rPr>
        <w:t>市、县（区）人民政府应当每年向本级人民代表大会或者常务委员会报告建设绿色发展样板城市</w:t>
      </w:r>
      <w:r>
        <w:rPr>
          <w:rFonts w:hint="eastAsia" w:ascii="仿宋_GB2312" w:hAnsi="黑体" w:eastAsia="仿宋_GB2312" w:cs="Calibri"/>
          <w:sz w:val="32"/>
          <w:szCs w:val="32"/>
        </w:rPr>
        <w:t>工作</w:t>
      </w:r>
      <w:r>
        <w:rPr>
          <w:rFonts w:hint="eastAsia" w:ascii="仿宋_GB2312" w:hAnsi="Calibri" w:eastAsia="仿宋_GB2312" w:cs="Calibri"/>
          <w:sz w:val="32"/>
          <w:szCs w:val="32"/>
        </w:rPr>
        <w:t>情况，涉及建设绿色发展样板城市的重大事项及时向本级人民代表大会常务委员会报告，依法接受监督。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20" w:firstLineChars="196"/>
        <w:textAlignment w:val="auto"/>
        <w:outlineLvl w:val="9"/>
        <w:rPr>
          <w:rFonts w:ascii="仿宋_GB2312" w:hAnsi="黑体" w:eastAsia="仿宋_GB2312" w:cs="Arial"/>
          <w:sz w:val="32"/>
          <w:szCs w:val="32"/>
        </w:rPr>
      </w:pPr>
      <w:r>
        <w:rPr>
          <w:rFonts w:hint="eastAsia" w:ascii="黑体" w:hAnsi="黑体" w:eastAsia="黑体" w:cs="黑体"/>
          <w:b w:val="0"/>
          <w:bCs/>
          <w:sz w:val="32"/>
          <w:szCs w:val="32"/>
        </w:rPr>
        <w:t>第三十七条</w:t>
      </w:r>
      <w:r>
        <w:rPr>
          <w:rFonts w:hint="eastAsia" w:ascii="仿宋_GB2312" w:hAnsi="黑体" w:eastAsia="仿宋_GB2312" w:cs="Calibri"/>
          <w:b/>
          <w:sz w:val="32"/>
          <w:szCs w:val="32"/>
        </w:rPr>
        <w:t xml:space="preserve"> </w:t>
      </w:r>
      <w:r>
        <w:rPr>
          <w:rFonts w:hint="eastAsia" w:ascii="仿宋_GB2312" w:hAnsi="Calibri" w:eastAsia="仿宋_GB2312" w:cs="Calibri"/>
          <w:sz w:val="32"/>
          <w:szCs w:val="32"/>
        </w:rPr>
        <w:t xml:space="preserve"> 市人民政府应当建立绿色发展指标体系。</w:t>
      </w:r>
      <w:r>
        <w:rPr>
          <w:rFonts w:hint="eastAsia" w:ascii="仿宋_GB2312" w:hAnsi="黑体" w:eastAsia="仿宋_GB2312" w:cs="Calibri"/>
          <w:sz w:val="32"/>
          <w:szCs w:val="32"/>
        </w:rPr>
        <w:t>指标体系包括资源</w:t>
      </w:r>
      <w:r>
        <w:rPr>
          <w:rFonts w:hint="eastAsia" w:ascii="仿宋_GB2312" w:hAnsi="黑体" w:eastAsia="仿宋_GB2312" w:cs="Arial"/>
          <w:sz w:val="32"/>
          <w:szCs w:val="32"/>
          <w:shd w:val="clear" w:color="auto" w:fill="FFFFFF"/>
        </w:rPr>
        <w:t>利用、环境质量、环境治理、生态保护、增长质量、绿色生活,将公众满意度纳入评价体系并</w:t>
      </w:r>
      <w:r>
        <w:rPr>
          <w:rFonts w:hint="eastAsia" w:ascii="仿宋_GB2312" w:hAnsi="Calibri" w:eastAsia="仿宋_GB2312" w:cs="Calibri"/>
          <w:sz w:val="32"/>
          <w:szCs w:val="32"/>
        </w:rPr>
        <w:t>确定具体的目标和完成时间。</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sz w:val="32"/>
          <w:szCs w:val="32"/>
        </w:rPr>
      </w:pPr>
      <w:r>
        <w:rPr>
          <w:rFonts w:hint="eastAsia" w:ascii="黑体" w:hAnsi="黑体" w:eastAsia="黑体" w:cs="黑体"/>
          <w:b w:val="0"/>
          <w:bCs/>
          <w:sz w:val="32"/>
          <w:szCs w:val="32"/>
        </w:rPr>
        <w:t>第三十八条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市绿色发展协调机构负责全市绿色发展目标任务考核，加强建设绿色发展样板城市工作的监督检查，督促有关部门和地区履行建设绿色发展样板城市工作职责。</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第三十九条</w:t>
      </w:r>
      <w:r>
        <w:rPr>
          <w:rFonts w:hint="eastAsia" w:ascii="仿宋_GB2312" w:hAnsi="黑体" w:eastAsia="仿宋_GB2312" w:cs="Calibri"/>
          <w:b/>
          <w:sz w:val="32"/>
          <w:szCs w:val="32"/>
        </w:rPr>
        <w:t xml:space="preserve">  </w:t>
      </w:r>
      <w:r>
        <w:rPr>
          <w:rFonts w:hint="eastAsia" w:ascii="仿宋_GB2312" w:hAnsi="Calibri" w:eastAsia="仿宋_GB2312" w:cs="Calibri"/>
          <w:sz w:val="32"/>
          <w:szCs w:val="32"/>
        </w:rPr>
        <w:t>市、县（区）人民政府、园区管委会</w:t>
      </w:r>
      <w:r>
        <w:rPr>
          <w:rFonts w:hint="eastAsia" w:ascii="仿宋_GB2312" w:hAnsi="黑体" w:eastAsia="仿宋_GB2312" w:cs="Calibri"/>
          <w:sz w:val="32"/>
          <w:szCs w:val="32"/>
        </w:rPr>
        <w:t>应当建立绿色发展监督员制度，</w:t>
      </w:r>
      <w:r>
        <w:rPr>
          <w:rFonts w:hint="eastAsia" w:ascii="仿宋_GB2312" w:hAnsi="Calibri" w:eastAsia="仿宋_GB2312" w:cs="Calibri"/>
          <w:sz w:val="32"/>
          <w:szCs w:val="32"/>
        </w:rPr>
        <w:t>绿色发展监督员对建设绿色发展样板城市工作提出意见建议，劝阻、报告违反建设绿色发展样板城市工作要求的行为。</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sz w:val="32"/>
          <w:szCs w:val="32"/>
        </w:rPr>
      </w:pPr>
      <w:r>
        <w:rPr>
          <w:rFonts w:hint="eastAsia" w:ascii="黑体" w:hAnsi="黑体" w:eastAsia="黑体" w:cs="黑体"/>
          <w:b w:val="0"/>
          <w:bCs/>
          <w:sz w:val="32"/>
          <w:szCs w:val="32"/>
        </w:rPr>
        <w:t>第四十条</w:t>
      </w:r>
      <w:r>
        <w:rPr>
          <w:rFonts w:hint="eastAsia" w:ascii="仿宋_GB2312" w:hAnsi="Calibri" w:eastAsia="仿宋_GB2312" w:cs="Calibri"/>
          <w:sz w:val="32"/>
          <w:szCs w:val="32"/>
        </w:rPr>
        <w:t xml:space="preserve">  </w:t>
      </w:r>
      <w:r>
        <w:rPr>
          <w:rFonts w:hint="eastAsia" w:ascii="仿宋_GB2312" w:hAnsi="黑体" w:eastAsia="仿宋_GB2312" w:cs="Calibri"/>
          <w:sz w:val="32"/>
          <w:szCs w:val="32"/>
        </w:rPr>
        <w:t>市、县（区）人民政府应当</w:t>
      </w:r>
      <w:r>
        <w:rPr>
          <w:rFonts w:hint="eastAsia" w:ascii="仿宋_GB2312" w:hAnsi="Calibri" w:eastAsia="仿宋_GB2312" w:cs="Calibri"/>
          <w:sz w:val="32"/>
          <w:szCs w:val="32"/>
        </w:rPr>
        <w:t>建立绿色评估机制，综合评估各项政策的生态效益</w:t>
      </w:r>
      <w:r>
        <w:rPr>
          <w:rFonts w:hint="eastAsia" w:ascii="仿宋_GB2312" w:hAnsi="黑体" w:eastAsia="仿宋_GB2312" w:cs="Calibri"/>
          <w:sz w:val="32"/>
          <w:szCs w:val="32"/>
        </w:rPr>
        <w:t>和环境影响。</w:t>
      </w:r>
      <w:r>
        <w:rPr>
          <w:rFonts w:hint="eastAsia" w:ascii="仿宋_GB2312" w:hAnsi="Calibri" w:eastAsia="仿宋_GB2312" w:cs="Calibri"/>
          <w:sz w:val="32"/>
          <w:szCs w:val="32"/>
        </w:rPr>
        <w:t>对涉及公众权益和公共利益的重大决策，或者可能对生态环境产生重大影响的建设项目，应当在作出决策前采取听证、论证、专家咨询等方式，广泛听取意见。</w:t>
      </w:r>
    </w:p>
    <w:p>
      <w:pPr>
        <w:keepNext w:val="0"/>
        <w:keepLines w:val="0"/>
        <w:pageBreakBefore w:val="0"/>
        <w:widowControl w:val="0"/>
        <w:tabs>
          <w:tab w:val="left" w:pos="687"/>
        </w:tabs>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黑体" w:eastAsia="仿宋_GB2312" w:cs="Calibri"/>
          <w:sz w:val="32"/>
          <w:szCs w:val="32"/>
        </w:rPr>
      </w:pPr>
      <w:r>
        <w:rPr>
          <w:rFonts w:hint="eastAsia" w:ascii="黑体" w:hAnsi="黑体" w:eastAsia="黑体" w:cs="黑体"/>
          <w:b w:val="0"/>
          <w:bCs/>
          <w:sz w:val="32"/>
          <w:szCs w:val="32"/>
        </w:rPr>
        <w:t>第四十一条</w:t>
      </w:r>
      <w:r>
        <w:rPr>
          <w:rFonts w:hint="eastAsia" w:ascii="仿宋_GB2312" w:hAnsi="Calibri" w:eastAsia="仿宋_GB2312" w:cs="Calibri"/>
          <w:b/>
          <w:sz w:val="32"/>
          <w:szCs w:val="32"/>
        </w:rPr>
        <w:t xml:space="preserve">  </w:t>
      </w:r>
      <w:r>
        <w:rPr>
          <w:rFonts w:hint="eastAsia" w:ascii="仿宋_GB2312" w:hAnsi="黑体" w:eastAsia="仿宋_GB2312" w:cs="Calibri"/>
          <w:sz w:val="32"/>
          <w:szCs w:val="32"/>
        </w:rPr>
        <w:t>市、县（区）人民政府、园区管委会应当</w:t>
      </w:r>
      <w:r>
        <w:rPr>
          <w:rFonts w:hint="eastAsia" w:ascii="仿宋_GB2312" w:hAnsi="Calibri" w:eastAsia="仿宋_GB2312" w:cs="Calibri"/>
          <w:sz w:val="32"/>
          <w:szCs w:val="32"/>
        </w:rPr>
        <w:t>建立政府投资项目</w:t>
      </w:r>
      <w:r>
        <w:rPr>
          <w:rFonts w:hint="eastAsia" w:ascii="仿宋_GB2312" w:hAnsi="黑体" w:eastAsia="仿宋_GB2312" w:cs="Calibri"/>
          <w:sz w:val="32"/>
          <w:szCs w:val="32"/>
        </w:rPr>
        <w:t>绿色发展</w:t>
      </w:r>
      <w:r>
        <w:rPr>
          <w:rFonts w:hint="eastAsia" w:ascii="仿宋_GB2312" w:hAnsi="Calibri" w:eastAsia="仿宋_GB2312" w:cs="Calibri"/>
          <w:sz w:val="32"/>
          <w:szCs w:val="32"/>
        </w:rPr>
        <w:t>符合性评价机制，对资源消耗大、能源消耗高、环境污染重、不符合绿色产业</w:t>
      </w:r>
      <w:r>
        <w:rPr>
          <w:rFonts w:hint="eastAsia" w:ascii="仿宋_GB2312" w:hAnsi="黑体" w:eastAsia="仿宋_GB2312" w:cs="Calibri"/>
          <w:sz w:val="32"/>
          <w:szCs w:val="32"/>
        </w:rPr>
        <w:t>要求</w:t>
      </w:r>
      <w:r>
        <w:rPr>
          <w:rFonts w:hint="eastAsia" w:ascii="仿宋_GB2312" w:hAnsi="Calibri" w:eastAsia="仿宋_GB2312" w:cs="Calibri"/>
          <w:sz w:val="32"/>
          <w:szCs w:val="32"/>
        </w:rPr>
        <w:t>的项目不</w:t>
      </w:r>
      <w:r>
        <w:rPr>
          <w:rFonts w:hint="eastAsia" w:ascii="仿宋_GB2312" w:hAnsi="黑体" w:eastAsia="仿宋_GB2312" w:cs="Calibri"/>
          <w:sz w:val="32"/>
          <w:szCs w:val="32"/>
        </w:rPr>
        <w:t>得立项</w:t>
      </w:r>
      <w:r>
        <w:rPr>
          <w:rFonts w:hint="eastAsia" w:ascii="仿宋_GB2312" w:hAnsi="Calibri" w:eastAsia="仿宋_GB2312" w:cs="Calibri"/>
          <w:sz w:val="32"/>
          <w:szCs w:val="32"/>
        </w:rPr>
        <w:t>。</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32" w:firstLineChars="200"/>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第四十二条</w:t>
      </w:r>
      <w:r>
        <w:rPr>
          <w:rFonts w:hint="eastAsia" w:ascii="仿宋_GB2312" w:hAnsi="Calibri" w:eastAsia="仿宋_GB2312" w:cs="Calibri"/>
          <w:b/>
          <w:sz w:val="32"/>
          <w:szCs w:val="32"/>
        </w:rPr>
        <w:t xml:space="preserve">  </w:t>
      </w:r>
      <w:r>
        <w:rPr>
          <w:rFonts w:hint="eastAsia" w:ascii="仿宋_GB2312" w:hAnsi="Calibri" w:eastAsia="仿宋_GB2312" w:cs="Calibri"/>
          <w:sz w:val="32"/>
          <w:szCs w:val="32"/>
        </w:rPr>
        <w:t>市、县（区）人民政府应当在下列生态功能区域，建立以资金补偿为主，以实物、技术、政策、智力补偿为辅的多元化生态补偿机制：</w:t>
      </w:r>
    </w:p>
    <w:p>
      <w:pPr>
        <w:keepNext w:val="0"/>
        <w:keepLines w:val="0"/>
        <w:pageBreakBefore w:val="0"/>
        <w:widowControl w:val="0"/>
        <w:kinsoku/>
        <w:wordWrap/>
        <w:overflowPunct/>
        <w:topLinePunct w:val="0"/>
        <w:autoSpaceDE/>
        <w:autoSpaceDN/>
        <w:bidi w:val="0"/>
        <w:adjustRightInd/>
        <w:snapToGrid/>
        <w:spacing w:after="0" w:afterLines="0" w:line="620" w:lineRule="exact"/>
        <w:ind w:right="0" w:rightChars="0" w:firstLine="620" w:firstLineChars="196"/>
        <w:textAlignment w:val="auto"/>
        <w:outlineLvl w:val="9"/>
        <w:rPr>
          <w:rFonts w:ascii="仿宋_GB2312" w:hAnsi="黑体" w:eastAsia="仿宋_GB2312" w:cs="Calibri"/>
          <w:sz w:val="32"/>
          <w:szCs w:val="32"/>
        </w:rPr>
      </w:pPr>
      <w:r>
        <w:rPr>
          <w:rFonts w:hint="eastAsia" w:ascii="楷体_GB2312" w:hAnsi="楷体_GB2312" w:eastAsia="楷体_GB2312" w:cs="楷体_GB2312"/>
          <w:kern w:val="0"/>
          <w:sz w:val="32"/>
          <w:szCs w:val="32"/>
          <w:u w:val="none" w:color="000000"/>
        </w:rPr>
        <w:t>（一）</w:t>
      </w:r>
      <w:r>
        <w:rPr>
          <w:rFonts w:hint="eastAsia" w:ascii="仿宋_GB2312" w:hAnsi="黑体" w:eastAsia="仿宋_GB2312" w:cs="Calibri"/>
          <w:sz w:val="32"/>
          <w:szCs w:val="32"/>
        </w:rPr>
        <w:t>自然保护区、风景名胜区；</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20" w:firstLineChars="196"/>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（二）</w:t>
      </w:r>
      <w:r>
        <w:rPr>
          <w:rFonts w:hint="eastAsia" w:ascii="仿宋_GB2312" w:hAnsi="Calibri" w:eastAsia="仿宋_GB2312" w:cs="Calibri"/>
          <w:sz w:val="32"/>
          <w:szCs w:val="32"/>
        </w:rPr>
        <w:t>饮用水水源保护区；</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20" w:firstLineChars="196"/>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（三）</w:t>
      </w:r>
      <w:r>
        <w:rPr>
          <w:rFonts w:hint="eastAsia" w:ascii="仿宋_GB2312" w:hAnsi="Calibri" w:eastAsia="仿宋_GB2312" w:cs="Calibri"/>
          <w:sz w:val="32"/>
          <w:szCs w:val="32"/>
        </w:rPr>
        <w:t>基本农田保护区；</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20" w:firstLineChars="196"/>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（四）</w:t>
      </w:r>
      <w:r>
        <w:rPr>
          <w:rFonts w:hint="eastAsia" w:ascii="仿宋_GB2312" w:hAnsi="Calibri" w:eastAsia="仿宋_GB2312" w:cs="Calibri"/>
          <w:sz w:val="32"/>
          <w:szCs w:val="32"/>
        </w:rPr>
        <w:t>河流流域；</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20" w:firstLineChars="196"/>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（五）</w:t>
      </w:r>
      <w:r>
        <w:rPr>
          <w:rFonts w:hint="eastAsia" w:ascii="仿宋_GB2312" w:hAnsi="Calibri" w:eastAsia="仿宋_GB2312" w:cs="Calibri"/>
          <w:sz w:val="32"/>
          <w:szCs w:val="32"/>
        </w:rPr>
        <w:t>生态公益林、森林公园、湿地公园；</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20" w:firstLineChars="196"/>
        <w:textAlignment w:val="auto"/>
        <w:outlineLvl w:val="9"/>
        <w:rPr>
          <w:rFonts w:ascii="仿宋_GB2312" w:hAnsi="黑体" w:eastAsia="仿宋_GB2312" w:cs="Calibri"/>
          <w:sz w:val="32"/>
          <w:szCs w:val="32"/>
        </w:rPr>
      </w:pPr>
      <w:r>
        <w:rPr>
          <w:rFonts w:hint="eastAsia" w:ascii="楷体_GB2312" w:hAnsi="楷体_GB2312" w:eastAsia="楷体_GB2312" w:cs="楷体_GB2312"/>
          <w:kern w:val="0"/>
          <w:sz w:val="32"/>
          <w:szCs w:val="32"/>
          <w:u w:val="none" w:color="000000"/>
        </w:rPr>
        <w:t>（六）</w:t>
      </w:r>
      <w:r>
        <w:rPr>
          <w:rFonts w:hint="eastAsia" w:ascii="仿宋_GB2312" w:hAnsi="Calibri" w:eastAsia="仿宋_GB2312" w:cs="Calibri"/>
          <w:sz w:val="32"/>
          <w:szCs w:val="32"/>
        </w:rPr>
        <w:t>市人民政府确定的其他进行生态保护补偿的区域。</w:t>
      </w: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firstLine="620" w:firstLineChars="196"/>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 xml:space="preserve">第四十三条  </w:t>
      </w:r>
      <w:r>
        <w:rPr>
          <w:rFonts w:hint="eastAsia" w:ascii="仿宋_GB2312" w:hAnsi="方正小标宋_GBK" w:eastAsia="仿宋_GB2312" w:cs="Calibri"/>
          <w:bCs/>
          <w:sz w:val="32"/>
          <w:szCs w:val="32"/>
        </w:rPr>
        <w:t>市、县（区）人民政府</w:t>
      </w:r>
      <w:r>
        <w:rPr>
          <w:rFonts w:hint="eastAsia" w:ascii="仿宋_GB2312" w:hAnsi="Calibri" w:eastAsia="仿宋_GB2312" w:cs="Calibri"/>
          <w:sz w:val="32"/>
          <w:szCs w:val="32"/>
        </w:rPr>
        <w:t>应当加大保护和改善环境、防治污染和其他公害的财政投入，</w:t>
      </w:r>
      <w:r>
        <w:rPr>
          <w:rFonts w:hint="eastAsia" w:ascii="仿宋_GB2312" w:hAnsi="Calibri" w:eastAsia="仿宋_GB2312" w:cs="Calibri"/>
          <w:sz w:val="32"/>
          <w:szCs w:val="32"/>
          <w:lang w:eastAsia="zh-CN"/>
        </w:rPr>
        <w:t>创造条件</w:t>
      </w:r>
      <w:r>
        <w:rPr>
          <w:rFonts w:hint="eastAsia" w:ascii="仿宋_GB2312" w:hAnsi="Calibri" w:eastAsia="仿宋_GB2312" w:cs="Calibri"/>
          <w:sz w:val="32"/>
          <w:szCs w:val="32"/>
        </w:rPr>
        <w:t>设立绿色发展专项基金。</w:t>
      </w:r>
    </w:p>
    <w:p>
      <w:pPr>
        <w:keepNext w:val="0"/>
        <w:keepLines w:val="0"/>
        <w:pageBreakBefore w:val="0"/>
        <w:widowControl w:val="0"/>
        <w:tabs>
          <w:tab w:val="left" w:pos="1428"/>
          <w:tab w:val="left" w:pos="1572"/>
          <w:tab w:val="left" w:pos="2028"/>
        </w:tabs>
        <w:kinsoku/>
        <w:wordWrap/>
        <w:overflowPunct/>
        <w:topLinePunct w:val="0"/>
        <w:autoSpaceDE/>
        <w:autoSpaceDN/>
        <w:bidi w:val="0"/>
        <w:adjustRightInd/>
        <w:snapToGrid/>
        <w:spacing w:after="0" w:afterLines="0" w:line="620" w:lineRule="exact"/>
        <w:ind w:right="0" w:right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after="0" w:afterLines="0" w:line="620" w:lineRule="exact"/>
        <w:ind w:left="0" w:leftChars="0" w:right="0" w:rightChars="0"/>
        <w:jc w:val="center"/>
        <w:textAlignment w:val="auto"/>
        <w:outlineLvl w:val="9"/>
        <w:rPr>
          <w:rFonts w:ascii="黑体" w:hAnsi="黑体" w:eastAsia="黑体" w:cs="Calibri"/>
          <w:sz w:val="32"/>
          <w:szCs w:val="32"/>
        </w:rPr>
      </w:pPr>
      <w:r>
        <w:rPr>
          <w:rFonts w:hint="eastAsia" w:ascii="黑体" w:hAnsi="黑体" w:eastAsia="黑体" w:cs="Calibri"/>
          <w:sz w:val="32"/>
          <w:szCs w:val="32"/>
        </w:rPr>
        <w:t>第五章  法律责任</w:t>
      </w:r>
    </w:p>
    <w:p>
      <w:pPr>
        <w:keepNext w:val="0"/>
        <w:keepLines w:val="0"/>
        <w:pageBreakBefore w:val="0"/>
        <w:widowControl/>
        <w:kinsoku/>
        <w:wordWrap/>
        <w:overflowPunct/>
        <w:topLinePunct w:val="0"/>
        <w:autoSpaceDE/>
        <w:autoSpaceDN/>
        <w:bidi w:val="0"/>
        <w:adjustRightInd/>
        <w:snapToGrid/>
        <w:spacing w:after="0" w:afterLines="0" w:line="620" w:lineRule="exact"/>
        <w:ind w:right="0" w:rightChars="0"/>
        <w:jc w:val="both"/>
        <w:textAlignment w:val="baseline"/>
        <w:outlineLvl w:val="9"/>
        <w:rPr>
          <w:rFonts w:hint="eastAsia" w:asciiTheme="minorEastAsia" w:hAnsiTheme="minorEastAsia" w:eastAsiaTheme="minorEastAsia" w:cstheme="minorEastAsia"/>
          <w:b w:val="0"/>
          <w:bCs/>
          <w:kern w:val="0"/>
          <w:sz w:val="32"/>
          <w:szCs w:val="32"/>
          <w:u w:val="none" w:color="000000"/>
        </w:rPr>
      </w:pP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黑体" w:hAnsi="黑体" w:eastAsia="黑体" w:cs="黑体"/>
          <w:b w:val="0"/>
          <w:bCs/>
          <w:kern w:val="0"/>
          <w:sz w:val="32"/>
          <w:szCs w:val="32"/>
          <w:u w:val="none" w:color="000000"/>
        </w:rPr>
        <w:t>第四十四条</w:t>
      </w:r>
      <w:r>
        <w:rPr>
          <w:rFonts w:hint="eastAsia" w:ascii="仿宋_GB2312" w:hAnsi="黑体" w:eastAsia="仿宋_GB2312"/>
          <w:b/>
          <w:kern w:val="0"/>
          <w:sz w:val="32"/>
          <w:szCs w:val="32"/>
          <w:u w:val="none" w:color="000000"/>
        </w:rPr>
        <w:t>　</w:t>
      </w:r>
      <w:r>
        <w:rPr>
          <w:rFonts w:hint="eastAsia" w:ascii="仿宋_GB2312" w:hAnsi="黑体" w:eastAsia="仿宋_GB2312"/>
          <w:kern w:val="0"/>
          <w:sz w:val="32"/>
          <w:szCs w:val="32"/>
          <w:u w:val="none" w:color="000000"/>
        </w:rPr>
        <w:t>违反本条例第二十六条规定，生产单位超过单位产品能耗限额标准用能，情节严重，逾期不治理或者没有达到治理要求的，可以由节能主管部门提出意见，报请本级人民政府</w:t>
      </w:r>
      <w:r>
        <w:rPr>
          <w:rFonts w:hint="eastAsia" w:ascii="仿宋_GB2312" w:hAnsi="黑体" w:eastAsia="仿宋_GB2312"/>
          <w:kern w:val="0"/>
          <w:sz w:val="32"/>
          <w:szCs w:val="32"/>
          <w:u w:val="none" w:color="000000"/>
          <w:lang w:eastAsia="zh-CN"/>
        </w:rPr>
        <w:t>依法</w:t>
      </w:r>
      <w:r>
        <w:rPr>
          <w:rFonts w:hint="eastAsia" w:ascii="仿宋_GB2312" w:hAnsi="黑体" w:eastAsia="仿宋_GB2312"/>
          <w:kern w:val="0"/>
          <w:sz w:val="32"/>
          <w:szCs w:val="32"/>
          <w:u w:val="none" w:color="000000"/>
        </w:rPr>
        <w:t>责令停业整顿或者关闭。</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Calibri"/>
          <w:b/>
          <w:sz w:val="32"/>
          <w:szCs w:val="32"/>
        </w:rPr>
      </w:pPr>
      <w:r>
        <w:rPr>
          <w:rFonts w:hint="eastAsia" w:ascii="黑体" w:hAnsi="黑体" w:eastAsia="黑体" w:cs="黑体"/>
          <w:b w:val="0"/>
          <w:bCs/>
          <w:sz w:val="32"/>
          <w:szCs w:val="32"/>
        </w:rPr>
        <w:t>第四十五条</w:t>
      </w:r>
      <w:r>
        <w:rPr>
          <w:rFonts w:hint="eastAsia" w:ascii="仿宋_GB2312" w:hAnsi="黑体" w:eastAsia="仿宋_GB2312" w:cs="Calibri"/>
          <w:b/>
          <w:sz w:val="32"/>
          <w:szCs w:val="32"/>
        </w:rPr>
        <w:t>　</w:t>
      </w:r>
      <w:r>
        <w:rPr>
          <w:rFonts w:hint="eastAsia" w:ascii="仿宋_GB2312" w:hAnsi="黑体" w:eastAsia="仿宋_GB2312" w:cs="Calibri"/>
          <w:sz w:val="32"/>
          <w:szCs w:val="32"/>
        </w:rPr>
        <w:t>违反本条例第二十七条规定，生产、进口、销售不符合强制性能源效率标准的用能产品、设备的，由市场监督管理部门责令停止生产、进口、销售，没收违法生产、进口、销售的用能产品、设备和违法所得，并处违法所得一倍以上五倍以下罚款</w:t>
      </w:r>
      <w:r>
        <w:rPr>
          <w:rFonts w:hint="eastAsia" w:ascii="隶书" w:hAnsi="隶书" w:eastAsia="隶书" w:cs="隶书"/>
          <w:sz w:val="32"/>
          <w:szCs w:val="32"/>
          <w:lang w:val="en-US" w:eastAsia="zh-CN"/>
        </w:rPr>
        <w:t>;</w:t>
      </w:r>
      <w:r>
        <w:rPr>
          <w:rFonts w:hint="eastAsia" w:ascii="仿宋_GB2312" w:hAnsi="黑体" w:eastAsia="仿宋_GB2312" w:cs="Calibri"/>
          <w:sz w:val="32"/>
          <w:szCs w:val="32"/>
        </w:rPr>
        <w:t>情节严重的，由市场监督</w:t>
      </w:r>
      <w:r>
        <w:rPr>
          <w:rFonts w:hint="eastAsia" w:ascii="仿宋_GB2312" w:hAnsi="黑体" w:eastAsia="仿宋_GB2312" w:cs="Calibri"/>
          <w:sz w:val="32"/>
          <w:szCs w:val="32"/>
          <w:lang w:eastAsia="zh-CN"/>
        </w:rPr>
        <w:t>管理</w:t>
      </w:r>
      <w:r>
        <w:rPr>
          <w:rFonts w:hint="eastAsia" w:ascii="仿宋_GB2312" w:hAnsi="黑体" w:eastAsia="仿宋_GB2312" w:cs="Calibri"/>
          <w:sz w:val="32"/>
          <w:szCs w:val="32"/>
        </w:rPr>
        <w:t>部门按照有关法律规定处罚。</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仿宋_GB2312" w:hAnsi="黑体" w:eastAsia="仿宋_GB2312"/>
          <w:kern w:val="0"/>
          <w:sz w:val="32"/>
          <w:szCs w:val="32"/>
          <w:u w:val="none" w:color="000000"/>
        </w:rPr>
        <w:t>使用明令淘汰的技术、工艺、设备、材料的，由循环经济综合管理部门责令停止使用，没收违法使用的设备、材料，并处十万元以上二十万元以下的罚款；情节严重的，由循环经济综合管理部门提出意见，报请本级人民政府</w:t>
      </w:r>
      <w:r>
        <w:rPr>
          <w:rFonts w:hint="eastAsia" w:ascii="仿宋_GB2312" w:hAnsi="黑体" w:eastAsia="仿宋_GB2312"/>
          <w:kern w:val="0"/>
          <w:sz w:val="32"/>
          <w:szCs w:val="32"/>
          <w:u w:val="none" w:color="000000"/>
          <w:lang w:eastAsia="zh-CN"/>
        </w:rPr>
        <w:t>依法</w:t>
      </w:r>
      <w:r>
        <w:rPr>
          <w:rFonts w:hint="eastAsia" w:ascii="仿宋_GB2312" w:hAnsi="黑体" w:eastAsia="仿宋_GB2312"/>
          <w:kern w:val="0"/>
          <w:sz w:val="32"/>
          <w:szCs w:val="32"/>
          <w:u w:val="none" w:color="000000"/>
        </w:rPr>
        <w:t>责令停业或者关闭。</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黑体" w:eastAsia="仿宋_GB2312" w:cs="Calibri"/>
          <w:b/>
          <w:sz w:val="32"/>
          <w:szCs w:val="32"/>
          <w:shd w:val="clear" w:color="auto" w:fill="F8FCFF"/>
        </w:rPr>
      </w:pPr>
      <w:r>
        <w:rPr>
          <w:rFonts w:hint="eastAsia" w:ascii="黑体" w:hAnsi="黑体" w:eastAsia="黑体" w:cs="黑体"/>
          <w:b w:val="0"/>
          <w:bCs w:val="0"/>
          <w:color w:val="auto"/>
          <w:sz w:val="32"/>
          <w:szCs w:val="32"/>
          <w:shd w:val="clear" w:color="auto" w:fill="F8FCFF"/>
        </w:rPr>
        <w:t>第四十六条</w:t>
      </w:r>
      <w:r>
        <w:rPr>
          <w:rFonts w:hint="eastAsia" w:ascii="仿宋_GB2312" w:hAnsi="黑体" w:eastAsia="仿宋_GB2312" w:cs="Calibri"/>
          <w:color w:val="auto"/>
          <w:sz w:val="32"/>
          <w:szCs w:val="32"/>
          <w:shd w:val="clear" w:color="auto" w:fill="F8FCFF"/>
        </w:rPr>
        <w:t xml:space="preserve">  违反本条例第三十五条规定，</w:t>
      </w:r>
      <w:r>
        <w:rPr>
          <w:rFonts w:hint="eastAsia" w:ascii="仿宋_GB2312" w:hAnsi="黑体" w:eastAsia="仿宋_GB2312" w:cs="Calibri"/>
          <w:sz w:val="32"/>
          <w:szCs w:val="32"/>
        </w:rPr>
        <w:t>国家机关和使用财政资金的其</w:t>
      </w:r>
      <w:r>
        <w:rPr>
          <w:rFonts w:hint="eastAsia" w:ascii="仿宋_GB2312" w:hAnsi="黑体" w:eastAsia="仿宋_GB2312"/>
          <w:kern w:val="0"/>
          <w:sz w:val="32"/>
          <w:szCs w:val="32"/>
          <w:u w:val="none" w:color="000000"/>
          <w:lang w:eastAsia="zh-CN"/>
        </w:rPr>
        <w:t>他</w:t>
      </w:r>
      <w:r>
        <w:rPr>
          <w:rFonts w:hint="eastAsia" w:ascii="仿宋_GB2312" w:hAnsi="黑体" w:eastAsia="仿宋_GB2312"/>
          <w:kern w:val="0"/>
          <w:sz w:val="32"/>
          <w:szCs w:val="32"/>
          <w:u w:val="none" w:color="000000"/>
        </w:rPr>
        <w:t>组</w:t>
      </w:r>
      <w:r>
        <w:rPr>
          <w:rFonts w:hint="eastAsia" w:ascii="仿宋_GB2312" w:hAnsi="黑体" w:eastAsia="仿宋_GB2312" w:cs="Calibri"/>
          <w:sz w:val="32"/>
          <w:szCs w:val="32"/>
        </w:rPr>
        <w:t>织采购用能产品、设备，未优先采购列入节能产品、设备政府采购名录中的产品、设备，或者采购国家明令淘汰的用能产品、设备的，由采购监督管理部门给予警告并没收国家明令淘汰的用能产品、设备，可以并处采购金额百分之十至百分之二十的罚款；对直接负责的主管人员和其他直接责任人员依法给予处分，并予通报。</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Cs w:val="21"/>
          <w:shd w:val="clear" w:color="auto" w:fill="F8FCFF"/>
        </w:rPr>
      </w:pPr>
      <w:r>
        <w:rPr>
          <w:rFonts w:hint="eastAsia" w:ascii="黑体" w:hAnsi="黑体" w:eastAsia="黑体" w:cs="黑体"/>
          <w:b w:val="0"/>
          <w:bCs/>
          <w:sz w:val="32"/>
          <w:szCs w:val="32"/>
        </w:rPr>
        <w:t>第四十七条</w:t>
      </w:r>
      <w:r>
        <w:rPr>
          <w:rFonts w:hint="eastAsia" w:ascii="黑体" w:hAnsi="黑体" w:eastAsia="黑体" w:cs="黑体"/>
          <w:b w:val="0"/>
          <w:bCs/>
          <w:sz w:val="32"/>
          <w:szCs w:val="32"/>
          <w:lang w:val="en-US" w:eastAsia="zh-CN"/>
        </w:rPr>
        <w:t xml:space="preserve">  </w:t>
      </w:r>
      <w:r>
        <w:rPr>
          <w:rFonts w:hint="eastAsia" w:ascii="仿宋_GB2312" w:hAnsi="Calibri" w:eastAsia="仿宋_GB2312" w:cs="Calibri"/>
          <w:sz w:val="32"/>
          <w:szCs w:val="32"/>
        </w:rPr>
        <w:t>对造成生态环境损害的责任者，按照生态环境损害责任追究制度追究赔偿责任。构成犯罪的，依法追究刑事责任。</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第四十八条</w:t>
      </w:r>
      <w:r>
        <w:rPr>
          <w:rFonts w:hint="eastAsia" w:ascii="仿宋_GB2312" w:hAnsi="Calibri" w:eastAsia="仿宋_GB2312" w:cs="Calibri"/>
          <w:b/>
          <w:sz w:val="32"/>
          <w:szCs w:val="32"/>
        </w:rPr>
        <w:t xml:space="preserve"> </w:t>
      </w:r>
      <w:r>
        <w:rPr>
          <w:rFonts w:hint="eastAsia" w:ascii="仿宋_GB2312" w:hAnsi="Calibri" w:eastAsia="仿宋_GB2312" w:cs="Calibri"/>
          <w:b/>
          <w:sz w:val="32"/>
          <w:szCs w:val="32"/>
          <w:lang w:val="en-US" w:eastAsia="zh-CN"/>
        </w:rPr>
        <w:t xml:space="preserve"> </w:t>
      </w:r>
      <w:r>
        <w:rPr>
          <w:rFonts w:hint="eastAsia" w:ascii="仿宋_GB2312" w:hAnsi="Calibri" w:eastAsia="仿宋_GB2312" w:cs="Calibri"/>
          <w:sz w:val="32"/>
          <w:szCs w:val="32"/>
        </w:rPr>
        <w:t>有关行政机关或者单位及其工作人员有下列行为之一的，由监察机关或者行政机关依法对直接负责的主管人员和其他责任人员给予处分</w:t>
      </w:r>
      <w:r>
        <w:rPr>
          <w:rFonts w:hint="eastAsia" w:ascii="隶书" w:hAnsi="隶书" w:eastAsia="隶书" w:cs="隶书"/>
          <w:sz w:val="32"/>
          <w:szCs w:val="32"/>
          <w:lang w:eastAsia="zh-CN"/>
        </w:rPr>
        <w:t>：</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（一）</w:t>
      </w:r>
      <w:r>
        <w:rPr>
          <w:rFonts w:hint="eastAsia" w:ascii="仿宋_GB2312" w:hAnsi="Calibri" w:eastAsia="仿宋_GB2312" w:cs="Calibri"/>
          <w:sz w:val="32"/>
          <w:szCs w:val="32"/>
        </w:rPr>
        <w:t>应当依法公开信息而未公开或者弄虚作假的；</w:t>
      </w:r>
    </w:p>
    <w:p>
      <w:pPr>
        <w:keepNext w:val="0"/>
        <w:keepLines w:val="0"/>
        <w:pageBreakBefore w:val="0"/>
        <w:widowControl w:val="0"/>
        <w:tabs>
          <w:tab w:val="left" w:pos="6144"/>
        </w:tabs>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（二）</w:t>
      </w:r>
      <w:r>
        <w:rPr>
          <w:rFonts w:hint="eastAsia" w:ascii="仿宋_GB2312" w:hAnsi="Calibri" w:eastAsia="仿宋_GB2312" w:cs="Calibri"/>
          <w:sz w:val="32"/>
          <w:szCs w:val="32"/>
        </w:rPr>
        <w:t>未依法实施监督管理的；</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（三）</w:t>
      </w:r>
      <w:r>
        <w:rPr>
          <w:rFonts w:hint="eastAsia" w:ascii="仿宋_GB2312" w:hAnsi="Calibri" w:eastAsia="仿宋_GB2312" w:cs="Calibri"/>
          <w:sz w:val="32"/>
          <w:szCs w:val="32"/>
        </w:rPr>
        <w:t>无正当理由不接受监督的；</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（四）</w:t>
      </w:r>
      <w:r>
        <w:rPr>
          <w:rFonts w:hint="eastAsia" w:ascii="仿宋_GB2312" w:hAnsi="Calibri" w:eastAsia="仿宋_GB2312" w:cs="Calibri"/>
          <w:sz w:val="32"/>
          <w:szCs w:val="32"/>
        </w:rPr>
        <w:t>未依法及时受理检举、投诉和控告或者不及时进行调查处理的；</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楷体_GB2312" w:hAnsi="楷体_GB2312" w:eastAsia="楷体_GB2312" w:cs="楷体_GB2312"/>
          <w:kern w:val="0"/>
          <w:sz w:val="32"/>
          <w:szCs w:val="32"/>
          <w:u w:val="none" w:color="000000"/>
        </w:rPr>
        <w:t>（五）</w:t>
      </w:r>
      <w:r>
        <w:rPr>
          <w:rFonts w:hint="eastAsia" w:ascii="仿宋_GB2312" w:hAnsi="Calibri" w:eastAsia="仿宋_GB2312" w:cs="Calibri"/>
          <w:sz w:val="32"/>
          <w:szCs w:val="32"/>
        </w:rPr>
        <w:t>其他玩忽职守、滥用职权、徇私舞弊的。</w:t>
      </w: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firstLine="632" w:firstLineChars="200"/>
        <w:textAlignment w:val="auto"/>
        <w:outlineLvl w:val="9"/>
        <w:rPr>
          <w:rFonts w:ascii="仿宋_GB2312" w:hAnsi="Calibri" w:eastAsia="仿宋_GB2312" w:cs="Calibri"/>
          <w:sz w:val="32"/>
          <w:szCs w:val="32"/>
        </w:rPr>
      </w:pPr>
      <w:r>
        <w:rPr>
          <w:rFonts w:hint="eastAsia" w:ascii="黑体" w:hAnsi="黑体" w:eastAsia="黑体" w:cs="黑体"/>
          <w:b w:val="0"/>
          <w:bCs/>
          <w:sz w:val="32"/>
          <w:szCs w:val="32"/>
        </w:rPr>
        <w:t>第四十九条</w:t>
      </w:r>
      <w:r>
        <w:rPr>
          <w:rFonts w:hint="eastAsia" w:ascii="仿宋_GB2312" w:hAnsi="Calibri" w:eastAsia="仿宋_GB2312" w:cs="Calibri"/>
          <w:b/>
          <w:sz w:val="32"/>
          <w:szCs w:val="32"/>
          <w:lang w:val="en-US" w:eastAsia="zh-CN"/>
        </w:rPr>
        <w:t xml:space="preserve">  </w:t>
      </w:r>
      <w:r>
        <w:rPr>
          <w:rFonts w:hint="eastAsia" w:ascii="仿宋_GB2312" w:hAnsi="Calibri" w:eastAsia="仿宋_GB2312" w:cs="Calibri"/>
          <w:sz w:val="32"/>
          <w:szCs w:val="32"/>
        </w:rPr>
        <w:t>违反本条例规定的其他行为，</w:t>
      </w:r>
      <w:r>
        <w:rPr>
          <w:rFonts w:hint="eastAsia" w:ascii="仿宋_GB2312" w:hAnsi="Calibri" w:eastAsia="仿宋_GB2312" w:cs="Calibri"/>
          <w:sz w:val="32"/>
          <w:szCs w:val="32"/>
          <w:lang w:eastAsia="zh-CN"/>
        </w:rPr>
        <w:t>法律法规已有处罚规定的，</w:t>
      </w:r>
      <w:r>
        <w:rPr>
          <w:rFonts w:hint="eastAsia" w:ascii="仿宋_GB2312" w:hAnsi="Calibri" w:eastAsia="仿宋_GB2312" w:cs="Calibri"/>
          <w:sz w:val="32"/>
          <w:szCs w:val="32"/>
        </w:rPr>
        <w:t>按照</w:t>
      </w:r>
      <w:r>
        <w:rPr>
          <w:rFonts w:hint="eastAsia" w:ascii="仿宋_GB2312" w:hAnsi="Calibri" w:eastAsia="仿宋_GB2312" w:cs="Calibri"/>
          <w:sz w:val="32"/>
          <w:szCs w:val="32"/>
          <w:lang w:eastAsia="zh-CN"/>
        </w:rPr>
        <w:t>其</w:t>
      </w:r>
      <w:r>
        <w:rPr>
          <w:rFonts w:hint="eastAsia" w:ascii="仿宋_GB2312" w:hAnsi="Calibri" w:eastAsia="仿宋_GB2312" w:cs="Calibri"/>
          <w:sz w:val="32"/>
          <w:szCs w:val="32"/>
        </w:rPr>
        <w:t>规定</w:t>
      </w:r>
      <w:r>
        <w:rPr>
          <w:rFonts w:hint="eastAsia" w:ascii="仿宋_GB2312" w:hAnsi="Calibri" w:eastAsia="仿宋_GB2312" w:cs="Calibri"/>
          <w:sz w:val="32"/>
          <w:szCs w:val="32"/>
          <w:lang w:eastAsia="zh-CN"/>
        </w:rPr>
        <w:t>予以</w:t>
      </w:r>
      <w:r>
        <w:rPr>
          <w:rFonts w:hint="eastAsia" w:ascii="仿宋_GB2312" w:hAnsi="Calibri" w:eastAsia="仿宋_GB2312" w:cs="Calibri"/>
          <w:sz w:val="32"/>
          <w:szCs w:val="32"/>
        </w:rPr>
        <w:t>处罚。</w:t>
      </w:r>
    </w:p>
    <w:p>
      <w:pPr>
        <w:keepNext w:val="0"/>
        <w:keepLines w:val="0"/>
        <w:pageBreakBefore w:val="0"/>
        <w:widowControl w:val="0"/>
        <w:kinsoku/>
        <w:wordWrap/>
        <w:overflowPunct/>
        <w:topLinePunct w:val="0"/>
        <w:autoSpaceDE/>
        <w:autoSpaceDN/>
        <w:bidi w:val="0"/>
        <w:adjustRightInd/>
        <w:snapToGrid/>
        <w:spacing w:after="0" w:afterLines="0" w:line="600" w:lineRule="exact"/>
        <w:ind w:right="0" w:right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after="0" w:afterLines="0" w:line="600" w:lineRule="exact"/>
        <w:ind w:left="0" w:leftChars="0" w:right="0" w:rightChars="0"/>
        <w:jc w:val="center"/>
        <w:textAlignment w:val="auto"/>
        <w:outlineLvl w:val="9"/>
        <w:rPr>
          <w:rFonts w:ascii="黑体" w:hAnsi="黑体" w:eastAsia="黑体" w:cs="Calibri"/>
          <w:sz w:val="32"/>
          <w:szCs w:val="32"/>
        </w:rPr>
      </w:pPr>
      <w:r>
        <w:rPr>
          <w:rFonts w:hint="eastAsia" w:ascii="黑体" w:hAnsi="黑体" w:eastAsia="黑体" w:cs="Calibri"/>
          <w:sz w:val="32"/>
          <w:szCs w:val="32"/>
        </w:rPr>
        <w:t>第六章  附则</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outlineLvl w:val="9"/>
        <w:rPr>
          <w:rFonts w:hint="eastAsia" w:asciiTheme="minorEastAsia" w:hAnsiTheme="minorEastAsia" w:eastAsiaTheme="minorEastAsia" w:cstheme="minorEastAsia"/>
          <w:sz w:val="32"/>
          <w:szCs w:val="32"/>
        </w:rPr>
      </w:pP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黑体" w:hAnsi="黑体" w:eastAsia="黑体" w:cs="黑体"/>
          <w:b w:val="0"/>
          <w:bCs/>
          <w:kern w:val="0"/>
          <w:sz w:val="32"/>
          <w:szCs w:val="32"/>
          <w:u w:val="none" w:color="000000"/>
        </w:rPr>
        <w:t>第五十条</w:t>
      </w:r>
      <w:r>
        <w:rPr>
          <w:rFonts w:hint="eastAsia" w:ascii="仿宋_GB2312" w:hAnsi="黑体" w:eastAsia="仿宋_GB2312" w:cs="Arial"/>
          <w:b/>
          <w:kern w:val="0"/>
          <w:sz w:val="32"/>
          <w:szCs w:val="32"/>
          <w:u w:val="none" w:color="000000"/>
        </w:rPr>
        <w:t xml:space="preserve"> </w:t>
      </w:r>
      <w:r>
        <w:rPr>
          <w:rFonts w:hint="eastAsia" w:ascii="仿宋_GB2312" w:hAnsi="Helvetica" w:eastAsia="仿宋_GB2312" w:cs="Arial"/>
          <w:b/>
          <w:kern w:val="0"/>
          <w:sz w:val="32"/>
          <w:szCs w:val="32"/>
          <w:u w:val="none" w:color="000000"/>
        </w:rPr>
        <w:t xml:space="preserve"> </w:t>
      </w:r>
      <w:r>
        <w:rPr>
          <w:rFonts w:hint="eastAsia" w:ascii="仿宋_GB2312" w:hAnsi="黑体" w:eastAsia="仿宋_GB2312" w:cs="Arial"/>
          <w:kern w:val="0"/>
          <w:sz w:val="32"/>
          <w:szCs w:val="32"/>
          <w:u w:val="none" w:color="000000"/>
        </w:rPr>
        <w:t>本条例所称“一核两极、三大功能区、八个重点特色镇”</w:t>
      </w:r>
      <w:r>
        <w:rPr>
          <w:rFonts w:hint="eastAsia" w:ascii="仿宋_GB2312" w:hAnsi="黑体" w:eastAsia="仿宋_GB2312" w:cs="Arial"/>
          <w:kern w:val="0"/>
          <w:sz w:val="32"/>
          <w:szCs w:val="32"/>
          <w:u w:val="none" w:color="000000"/>
          <w:lang w:eastAsia="zh-CN"/>
        </w:rPr>
        <w:t>，</w:t>
      </w:r>
      <w:r>
        <w:rPr>
          <w:rFonts w:hint="eastAsia" w:ascii="仿宋_GB2312" w:hAnsi="黑体" w:eastAsia="仿宋_GB2312" w:cs="Arial"/>
          <w:kern w:val="0"/>
          <w:sz w:val="32"/>
          <w:szCs w:val="32"/>
          <w:u w:val="none" w:color="000000"/>
        </w:rPr>
        <w:t>是指以西宁主城、鲁沙尔、甘河、多巴新城为环状发展核心，大通县桥头镇、湟源县城关镇为两个发展极，外围生态涵养保障圈、中部特色农牧业发展带、核心都市功能聚集区为三大功能区，大通城关、塔尔、东峡和湟中上新庄、拦隆口及湟源和平、巴燕、日月八个重点特色镇为节点。</w:t>
      </w:r>
    </w:p>
    <w:p>
      <w:pPr>
        <w:keepNext w:val="0"/>
        <w:keepLines w:val="0"/>
        <w:pageBreakBefore w:val="0"/>
        <w:widowControl/>
        <w:kinsoku/>
        <w:wordWrap/>
        <w:overflowPunct/>
        <w:topLinePunct w:val="0"/>
        <w:autoSpaceDE/>
        <w:autoSpaceDN/>
        <w:bidi w:val="0"/>
        <w:adjustRightInd/>
        <w:snapToGrid/>
        <w:spacing w:after="0" w:afterLines="0" w:line="620" w:lineRule="exact"/>
        <w:ind w:left="0" w:leftChars="0" w:right="0" w:rightChars="0" w:firstLine="632" w:firstLineChars="200"/>
        <w:textAlignment w:val="baseline"/>
        <w:outlineLvl w:val="9"/>
        <w:rPr>
          <w:rFonts w:ascii="仿宋_GB2312" w:hAnsi="黑体" w:eastAsia="仿宋_GB2312"/>
          <w:kern w:val="0"/>
          <w:sz w:val="32"/>
          <w:szCs w:val="32"/>
          <w:u w:val="none" w:color="000000"/>
        </w:rPr>
      </w:pPr>
      <w:r>
        <w:rPr>
          <w:rFonts w:hint="eastAsia" w:ascii="仿宋_GB2312" w:hAnsi="黑体" w:eastAsia="仿宋_GB2312" w:cs="Arial"/>
          <w:kern w:val="0"/>
          <w:sz w:val="32"/>
          <w:szCs w:val="32"/>
          <w:u w:val="none" w:color="000000"/>
        </w:rPr>
        <w:t>本条例所称</w:t>
      </w:r>
      <w:r>
        <w:rPr>
          <w:rFonts w:hint="eastAsia" w:ascii="仿宋_GB2312" w:hAnsi="黑体" w:eastAsia="仿宋_GB2312"/>
          <w:kern w:val="0"/>
          <w:sz w:val="32"/>
          <w:szCs w:val="32"/>
          <w:u w:val="none" w:color="000000"/>
        </w:rPr>
        <w:t>“一芯双城，环状组团</w:t>
      </w:r>
      <w:r>
        <w:rPr>
          <w:rFonts w:hint="eastAsia" w:ascii="仿宋_GB2312" w:hAnsi="黑体" w:eastAsia="仿宋_GB2312" w:cs="Arial"/>
          <w:kern w:val="0"/>
          <w:sz w:val="32"/>
          <w:szCs w:val="32"/>
          <w:u w:val="none" w:color="000000"/>
        </w:rPr>
        <w:t>发展”</w:t>
      </w:r>
      <w:r>
        <w:rPr>
          <w:rFonts w:hint="eastAsia" w:ascii="仿宋_GB2312" w:hAnsi="黑体" w:eastAsia="仿宋_GB2312" w:cs="Arial"/>
          <w:kern w:val="0"/>
          <w:sz w:val="32"/>
          <w:szCs w:val="32"/>
          <w:u w:val="none" w:color="000000"/>
          <w:lang w:eastAsia="zh-CN"/>
        </w:rPr>
        <w:t>，</w:t>
      </w:r>
      <w:r>
        <w:rPr>
          <w:rFonts w:hint="eastAsia" w:ascii="仿宋_GB2312" w:hAnsi="黑体" w:eastAsia="仿宋_GB2312" w:cs="Arial"/>
          <w:kern w:val="0"/>
          <w:sz w:val="32"/>
          <w:szCs w:val="32"/>
          <w:u w:val="none" w:color="000000"/>
        </w:rPr>
        <w:t>是指以城市绿芯森林公园为一芯，西宁主城和多巴新城为双城，东川、西川、南川、北川、甘河、鲁沙尔、长宁为环状片区。</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rPr>
          <w:rFonts w:ascii="仿宋_GB2312" w:hAnsi="黑体" w:eastAsia="仿宋_GB2312" w:cs="Arial"/>
          <w:sz w:val="32"/>
          <w:szCs w:val="32"/>
        </w:rPr>
      </w:pPr>
      <w:r>
        <w:rPr>
          <w:rFonts w:hint="eastAsia" w:ascii="仿宋_GB2312" w:hAnsi="黑体" w:eastAsia="仿宋_GB2312" w:cs="Calibri"/>
          <w:sz w:val="32"/>
          <w:szCs w:val="32"/>
        </w:rPr>
        <w:t>本条例所称</w:t>
      </w:r>
      <w:r>
        <w:rPr>
          <w:rFonts w:hint="eastAsia" w:ascii="仿宋_GB2312" w:hAnsi="黑体" w:eastAsia="仿宋_GB2312" w:cs="Arial"/>
          <w:sz w:val="32"/>
          <w:szCs w:val="32"/>
        </w:rPr>
        <w:t>“一芯两屏三廊</w:t>
      </w:r>
      <w:r>
        <w:rPr>
          <w:rFonts w:hint="eastAsia" w:ascii="仿宋_GB2312" w:hAnsi="黑体" w:eastAsia="仿宋_GB2312" w:cs="Arial"/>
          <w:kern w:val="0"/>
          <w:sz w:val="32"/>
          <w:szCs w:val="32"/>
          <w:u w:val="none" w:color="000000"/>
        </w:rPr>
        <w:t>道”，</w:t>
      </w:r>
      <w:r>
        <w:rPr>
          <w:rFonts w:hint="eastAsia" w:ascii="仿宋_GB2312" w:hAnsi="黑体" w:eastAsia="仿宋_GB2312" w:cs="Arial"/>
          <w:sz w:val="32"/>
          <w:szCs w:val="32"/>
        </w:rPr>
        <w:t>是指以西堡生态森林公园为一芯，西宁近郊南北两山生态屏障为内屏，远郊日月山、达坂山、拉脊山生态屏障为外屏，湟水河、南川河、北川河为廊道。</w:t>
      </w:r>
    </w:p>
    <w:p>
      <w:pPr>
        <w:keepNext w:val="0"/>
        <w:keepLines w:val="0"/>
        <w:pageBreakBefore w:val="0"/>
        <w:kinsoku/>
        <w:wordWrap/>
        <w:overflowPunct/>
        <w:topLinePunct w:val="0"/>
        <w:autoSpaceDE/>
        <w:autoSpaceDN/>
        <w:bidi w:val="0"/>
        <w:adjustRightInd/>
        <w:snapToGrid/>
        <w:spacing w:after="0" w:afterLines="0" w:line="620" w:lineRule="exact"/>
        <w:ind w:left="0" w:leftChars="0" w:right="0" w:rightChars="0" w:firstLine="632" w:firstLineChars="200"/>
        <w:outlineLvl w:val="9"/>
      </w:pPr>
      <w:r>
        <w:rPr>
          <w:rFonts w:hint="eastAsia" w:ascii="黑体" w:hAnsi="黑体" w:eastAsia="黑体" w:cs="黑体"/>
          <w:b w:val="0"/>
          <w:bCs/>
          <w:sz w:val="32"/>
          <w:szCs w:val="32"/>
        </w:rPr>
        <w:t>第五十一条</w:t>
      </w:r>
      <w:r>
        <w:rPr>
          <w:rFonts w:hint="eastAsia" w:ascii="仿宋_GB2312" w:hAnsi="黑体" w:eastAsia="仿宋_GB2312" w:cs="Calibri"/>
          <w:b/>
          <w:sz w:val="32"/>
          <w:szCs w:val="32"/>
        </w:rPr>
        <w:t xml:space="preserve">  </w:t>
      </w:r>
      <w:r>
        <w:rPr>
          <w:rFonts w:hint="eastAsia" w:ascii="仿宋_GB2312" w:hAnsi="Calibri" w:eastAsia="仿宋_GB2312" w:cs="Calibri"/>
          <w:sz w:val="32"/>
          <w:szCs w:val="32"/>
        </w:rPr>
        <w:t>本条例自</w:t>
      </w:r>
      <w:r>
        <w:rPr>
          <w:rFonts w:hint="eastAsia" w:ascii="仿宋_GB2312" w:hAnsi="仿宋_GB2312" w:eastAsia="仿宋_GB2312" w:cs="仿宋_GB2312"/>
          <w:sz w:val="32"/>
          <w:szCs w:val="32"/>
          <w:lang w:val="en-US" w:eastAsia="zh-CN"/>
        </w:rPr>
        <w:t>2019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w:t>
      </w:r>
      <w:r>
        <w:rPr>
          <w:rFonts w:hint="eastAsia" w:ascii="仿宋_GB2312" w:hAnsi="Calibri" w:eastAsia="仿宋_GB2312" w:cs="Calibri"/>
          <w:sz w:val="32"/>
          <w:szCs w:val="32"/>
        </w:rPr>
        <w:t>起施行。</w:t>
      </w: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方正小标宋_GBK">
    <w:altName w:val="微软雅黑"/>
    <w:panose1 w:val="00000000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auto"/>
    <w:pitch w:val="default"/>
    <w:sig w:usb0="A00002EF" w:usb1="4000207B" w:usb2="00000000" w:usb3="00000000" w:csb0="2000019F" w:csb1="00000000"/>
  </w:font>
  <w:font w:name="迷你简启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after="0" w:afterLines="0"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after="0" w:afterLines="0"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after="0" w:afterLines="0"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after="0" w:afterLines="0"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A21BE"/>
    <w:rsid w:val="19744BC8"/>
    <w:rsid w:val="39B55CB3"/>
    <w:rsid w:val="42F04C86"/>
    <w:rsid w:val="7D6F0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afterLines="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2018-12-24T02:01:32Z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