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700" w:lineRule="exact"/>
        <w:ind w:left="0" w:leftChars="0" w:right="0" w:rightChars="0" w:firstLine="0" w:firstLineChars="0"/>
        <w:jc w:val="center"/>
        <w:textAlignment w:val="auto"/>
        <w:rPr>
          <w:rFonts w:hint="eastAsia" w:ascii="宋体" w:hAnsi="宋体" w:eastAsia="宋体" w:cs="宋体"/>
          <w:color w:val="auto"/>
          <w:sz w:val="44"/>
          <w:szCs w:val="44"/>
        </w:rPr>
      </w:pPr>
      <w:r>
        <w:rPr>
          <w:rFonts w:hint="eastAsia" w:ascii="宋体" w:hAnsi="宋体" w:eastAsia="宋体" w:cs="宋体"/>
          <w:color w:val="auto"/>
          <w:sz w:val="44"/>
          <w:szCs w:val="44"/>
        </w:rPr>
        <w:t>门源回族自治县饮用水水源保护管理条例</w:t>
      </w: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jc w:val="both"/>
        <w:textAlignment w:val="auto"/>
        <w:rPr>
          <w:rFonts w:hint="eastAsia" w:ascii="宋体" w:hAnsi="宋体" w:eastAsia="宋体" w:cs="宋体"/>
          <w:color w:val="auto"/>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24" w:leftChars="200" w:right="624" w:rightChars="200" w:firstLine="0" w:firstLineChars="0"/>
        <w:jc w:val="both"/>
        <w:textAlignment w:val="auto"/>
        <w:outlineLvl w:val="9"/>
        <w:rPr>
          <w:rFonts w:hint="eastAsia" w:ascii="楷体_GB2312" w:hAnsi="楷体" w:eastAsia="楷体_GB2312" w:cs="楷体"/>
          <w:b w:val="0"/>
          <w:bCs w:val="0"/>
          <w:color w:val="auto"/>
          <w:sz w:val="32"/>
          <w:szCs w:val="32"/>
        </w:rPr>
      </w:pPr>
      <w:r>
        <w:rPr>
          <w:rFonts w:hint="eastAsia" w:ascii="楷体_GB2312" w:hAnsi="楷体" w:eastAsia="楷体_GB2312" w:cs="楷体"/>
          <w:b w:val="0"/>
          <w:bCs w:val="0"/>
          <w:color w:val="auto"/>
          <w:sz w:val="32"/>
          <w:szCs w:val="32"/>
        </w:rPr>
        <w:t>（2019年3月28日门源回族自治县第十七届人民代表大会第五次会议通过</w:t>
      </w:r>
      <w:r>
        <w:rPr>
          <w:rFonts w:hint="eastAsia" w:ascii="楷体_GB2312" w:hAnsi="楷体" w:eastAsia="楷体_GB2312" w:cs="楷体"/>
          <w:b w:val="0"/>
          <w:bCs w:val="0"/>
          <w:color w:val="auto"/>
          <w:sz w:val="32"/>
          <w:szCs w:val="32"/>
          <w:lang w:val="en-US" w:eastAsia="zh-CN"/>
        </w:rPr>
        <w:t xml:space="preserve">  2019年7月31日青海省第十三届人民代表大会常务委员会第十一次会议批准</w:t>
      </w:r>
      <w:r>
        <w:rPr>
          <w:rFonts w:hint="eastAsia" w:ascii="楷体_GB2312" w:hAnsi="楷体" w:eastAsia="楷体_GB2312" w:cs="楷体"/>
          <w:b w:val="0"/>
          <w:bCs w:val="0"/>
          <w:color w:val="auto"/>
          <w:sz w:val="32"/>
          <w:szCs w:val="32"/>
        </w:rPr>
        <w:t>）</w:t>
      </w:r>
    </w:p>
    <w:p>
      <w:pPr>
        <w:pStyle w:val="2"/>
        <w:ind w:left="0" w:leftChars="0" w:firstLine="0" w:firstLineChars="0"/>
        <w:rPr>
          <w:rFonts w:hint="eastAsia" w:ascii="宋体" w:hAnsi="宋体" w:eastAsia="宋体" w:cs="宋体"/>
          <w:color w:val="auto"/>
          <w:sz w:val="32"/>
          <w:szCs w:val="32"/>
        </w:rPr>
      </w:pP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第一条</w:t>
      </w:r>
      <w:r>
        <w:rPr>
          <w:rFonts w:hint="eastAsia" w:ascii="仿宋_GB2312" w:eastAsia="仿宋_GB2312"/>
          <w:color w:val="auto"/>
          <w:sz w:val="32"/>
          <w:szCs w:val="32"/>
        </w:rPr>
        <w:t xml:space="preserve">  为了加强饮用水水源保护管理，保障饮用水安全，维护人民群众生命安全和健康，根据《中华人民共和国水法》《中华人民共和国水污染防治法》《青海省饮用水水源保护条例》等法律、法规的规定，结合本县实际，制定本条例。</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第二条</w:t>
      </w:r>
      <w:r>
        <w:rPr>
          <w:rFonts w:hint="eastAsia" w:ascii="仿宋_GB2312" w:eastAsia="仿宋_GB2312"/>
          <w:color w:val="auto"/>
          <w:sz w:val="32"/>
          <w:szCs w:val="32"/>
        </w:rPr>
        <w:t xml:space="preserve">  本条例适用于本县行政区域内饮用水水源的保护以及相关管理活动。</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本条例所称饮用水水源，是</w:t>
      </w:r>
      <w:r>
        <w:rPr>
          <w:rFonts w:hint="eastAsia" w:ascii="仿宋_GB2312" w:eastAsia="仿宋_GB2312"/>
          <w:color w:val="auto"/>
          <w:sz w:val="32"/>
          <w:szCs w:val="32"/>
          <w:lang w:eastAsia="zh-CN"/>
        </w:rPr>
        <w:t>指</w:t>
      </w:r>
      <w:r>
        <w:rPr>
          <w:rFonts w:hint="eastAsia" w:ascii="仿宋_GB2312" w:eastAsia="仿宋_GB2312"/>
          <w:color w:val="auto"/>
          <w:sz w:val="32"/>
          <w:szCs w:val="32"/>
        </w:rPr>
        <w:t>提供居民生活用水和公共服务用水、取水、储水工程的河流、水库、山泉等地表水、地下水水源以及备用水源。</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第三条</w:t>
      </w:r>
      <w:r>
        <w:rPr>
          <w:rFonts w:hint="eastAsia" w:ascii="仿宋_GB2312" w:eastAsia="仿宋_GB2312"/>
          <w:color w:val="auto"/>
          <w:sz w:val="32"/>
          <w:szCs w:val="32"/>
        </w:rPr>
        <w:t xml:space="preserve">  饮用水水源保护管理应当遵循科学规划、分区保护、规范建设、综合治理、强化监管、确保安全的原则。</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第四条</w:t>
      </w:r>
      <w:r>
        <w:rPr>
          <w:rFonts w:hint="eastAsia" w:ascii="仿宋_GB2312" w:eastAsia="仿宋_GB2312"/>
          <w:b/>
          <w:color w:val="auto"/>
          <w:sz w:val="32"/>
          <w:szCs w:val="32"/>
        </w:rPr>
        <w:t xml:space="preserve">  </w:t>
      </w:r>
      <w:r>
        <w:rPr>
          <w:rFonts w:ascii="仿宋_GB2312" w:eastAsia="仿宋_GB2312"/>
          <w:color w:val="auto"/>
          <w:sz w:val="32"/>
          <w:szCs w:val="32"/>
        </w:rPr>
        <w:t>县人民政府对饮用水</w:t>
      </w:r>
      <w:r>
        <w:rPr>
          <w:rFonts w:hint="eastAsia" w:ascii="仿宋_GB2312" w:eastAsia="仿宋_GB2312"/>
          <w:color w:val="auto"/>
          <w:sz w:val="32"/>
          <w:szCs w:val="32"/>
        </w:rPr>
        <w:t>水源</w:t>
      </w:r>
      <w:r>
        <w:rPr>
          <w:rFonts w:ascii="仿宋_GB2312" w:eastAsia="仿宋_GB2312"/>
          <w:color w:val="auto"/>
          <w:sz w:val="32"/>
          <w:szCs w:val="32"/>
        </w:rPr>
        <w:t>的水环境质量和饮用水安全负责</w:t>
      </w:r>
      <w:r>
        <w:rPr>
          <w:rFonts w:hint="eastAsia" w:ascii="仿宋_GB2312" w:eastAsia="仿宋_GB2312"/>
          <w:color w:val="auto"/>
          <w:sz w:val="32"/>
          <w:szCs w:val="32"/>
        </w:rPr>
        <w:t>。</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饮用水水源保护管理纳入河湖（库）长制管理。</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宋体" w:hAnsi="宋体" w:cs="宋体"/>
          <w:color w:val="auto"/>
          <w:sz w:val="28"/>
          <w:szCs w:val="28"/>
        </w:rPr>
      </w:pPr>
      <w:r>
        <w:rPr>
          <w:rFonts w:hint="eastAsia" w:ascii="黑体" w:hAnsi="黑体" w:eastAsia="黑体"/>
          <w:color w:val="auto"/>
          <w:sz w:val="32"/>
          <w:szCs w:val="32"/>
        </w:rPr>
        <w:t>第五条</w:t>
      </w:r>
      <w:r>
        <w:rPr>
          <w:rFonts w:hint="eastAsia" w:ascii="仿宋_GB2312" w:eastAsia="仿宋_GB2312"/>
          <w:b/>
          <w:color w:val="auto"/>
          <w:sz w:val="32"/>
          <w:szCs w:val="32"/>
        </w:rPr>
        <w:t xml:space="preserve">  </w:t>
      </w:r>
      <w:r>
        <w:rPr>
          <w:rFonts w:hint="eastAsia" w:ascii="仿宋_GB2312" w:eastAsia="仿宋_GB2312"/>
          <w:color w:val="auto"/>
          <w:sz w:val="32"/>
          <w:szCs w:val="32"/>
        </w:rPr>
        <w:t>县人民政府应当将饮用水水源保护经费纳入本级财政预算。</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第六条</w:t>
      </w:r>
      <w:r>
        <w:rPr>
          <w:rFonts w:hint="eastAsia" w:ascii="仿宋_GB2312" w:eastAsia="仿宋_GB2312"/>
          <w:color w:val="auto"/>
          <w:sz w:val="32"/>
          <w:szCs w:val="32"/>
        </w:rPr>
        <w:t xml:space="preserve">  县水行政主管部门履行下列职责：</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（一）编制县饮用水水源保护管理规划和饮用水水源保护区建设规划，监督实施各类水源工程建设项目；</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（二）明确饮用水水源保护管理责任主体及其工作职责，报经县人民政府批准后向社会公开；</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（三）调解饮用水水源水事纠纷，依法查处造成水土流失和侵占水域、滩地等涉水违法行为；</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（四）指导、督促供水单位加强供水管网等供水设施的建设、维护等工作；</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（五）组织开展饮用水水源保护管理的宣传教育；</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（六）法律、法规规定的饮用水水源保护管理的其他职责。</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第七条</w:t>
      </w:r>
      <w:r>
        <w:rPr>
          <w:rFonts w:hint="eastAsia" w:ascii="仿宋_GB2312" w:eastAsia="仿宋_GB2312"/>
          <w:color w:val="auto"/>
          <w:sz w:val="32"/>
          <w:szCs w:val="32"/>
        </w:rPr>
        <w:t xml:space="preserve">  县生态环境主管部门对饮用水水源污染防治实施统一监督管理，履行下列职责：</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（一）会同有关部门提出饮用水水源保护区范围划定的初步意见；</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（二）编制饮用水水源污染防治规划，报经县人民政府批准后实施；</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（三）指导、监督供水单位、有关部门和乡镇人民政府开展饮用水水源污染防治工作；</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（四）会同水行政、卫生健康等主管部门建立饮用水水资源、水环境监测体系，健全监测制度，统筹规划监测点建设；</w:t>
      </w:r>
    </w:p>
    <w:p>
      <w:pPr>
        <w:keepNext w:val="0"/>
        <w:keepLines w:val="0"/>
        <w:pageBreakBefore w:val="0"/>
        <w:kinsoku/>
        <w:wordWrap/>
        <w:overflowPunct/>
        <w:topLinePunct w:val="0"/>
        <w:autoSpaceDE/>
        <w:autoSpaceDN/>
        <w:bidi w:val="0"/>
        <w:adjustRightInd/>
        <w:snapToGrid/>
        <w:spacing w:line="58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（五）统一受理公民、法人和其他组织对污染饮用水水源行为的举报，依法查处污染饮用水水源的违法行为；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仿宋_GB2312" w:eastAsia="仿宋_GB2312"/>
          <w:color w:val="auto"/>
          <w:sz w:val="32"/>
          <w:szCs w:val="32"/>
        </w:rPr>
        <w:t>（六）法律、法规规定的饮用水水源保护的其他管理职责。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第八条</w:t>
      </w:r>
      <w:r>
        <w:rPr>
          <w:rFonts w:hint="eastAsia" w:ascii="仿宋_GB2312" w:eastAsia="仿宋_GB2312"/>
          <w:color w:val="auto"/>
          <w:sz w:val="32"/>
          <w:szCs w:val="32"/>
        </w:rPr>
        <w:t xml:space="preserve">  县发展和改革、自然资源、住房和城乡建设、交通运输、农牧、卫生健康、公安等有关部门，应当按照各自职责负责饮用水水源保护管理工作。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第九条</w:t>
      </w:r>
      <w:r>
        <w:rPr>
          <w:rFonts w:hint="eastAsia" w:ascii="仿宋_GB2312" w:eastAsia="仿宋_GB2312"/>
          <w:color w:val="auto"/>
          <w:sz w:val="32"/>
          <w:szCs w:val="32"/>
        </w:rPr>
        <w:t xml:space="preserve">  乡镇人民政府负责本</w:t>
      </w:r>
      <w:r>
        <w:rPr>
          <w:rFonts w:hint="eastAsia" w:ascii="仿宋_GB2312" w:eastAsia="仿宋_GB2312"/>
          <w:color w:val="auto"/>
          <w:sz w:val="32"/>
          <w:szCs w:val="32"/>
          <w:lang w:eastAsia="zh-CN"/>
        </w:rPr>
        <w:t>行政区域</w:t>
      </w:r>
      <w:r>
        <w:rPr>
          <w:rFonts w:hint="eastAsia" w:ascii="仿宋_GB2312" w:eastAsia="仿宋_GB2312"/>
          <w:color w:val="auto"/>
          <w:sz w:val="32"/>
          <w:szCs w:val="32"/>
        </w:rPr>
        <w:t>饮用水水源保护管理工作，可以聘用水源保护管护员，协助开展</w:t>
      </w:r>
      <w:r>
        <w:rPr>
          <w:rFonts w:hint="eastAsia" w:ascii="仿宋_GB2312" w:eastAsia="仿宋_GB2312"/>
          <w:color w:val="auto"/>
          <w:sz w:val="32"/>
          <w:szCs w:val="32"/>
          <w:lang w:eastAsia="zh-CN"/>
        </w:rPr>
        <w:t>饮用水</w:t>
      </w:r>
      <w:r>
        <w:rPr>
          <w:rFonts w:hint="eastAsia" w:ascii="仿宋_GB2312" w:eastAsia="仿宋_GB2312"/>
          <w:color w:val="auto"/>
          <w:sz w:val="32"/>
          <w:szCs w:val="32"/>
        </w:rPr>
        <w:t>水源保护</w:t>
      </w:r>
      <w:r>
        <w:rPr>
          <w:rFonts w:hint="eastAsia" w:ascii="仿宋_GB2312" w:eastAsia="仿宋_GB2312"/>
          <w:color w:val="auto"/>
          <w:sz w:val="32"/>
          <w:szCs w:val="32"/>
          <w:lang w:eastAsia="zh-CN"/>
        </w:rPr>
        <w:t>管理</w:t>
      </w:r>
      <w:r>
        <w:rPr>
          <w:rFonts w:hint="eastAsia" w:ascii="仿宋_GB2312" w:eastAsia="仿宋_GB2312"/>
          <w:color w:val="auto"/>
          <w:sz w:val="32"/>
          <w:szCs w:val="32"/>
        </w:rPr>
        <w:t>工作。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仿宋_GB2312" w:eastAsia="仿宋_GB2312"/>
          <w:color w:val="auto"/>
          <w:sz w:val="32"/>
          <w:szCs w:val="32"/>
        </w:rPr>
        <w:t>村民委员会应当依法协助做好本</w:t>
      </w:r>
      <w:r>
        <w:rPr>
          <w:rFonts w:hint="eastAsia" w:ascii="仿宋_GB2312" w:eastAsia="仿宋_GB2312"/>
          <w:color w:val="auto"/>
          <w:sz w:val="32"/>
          <w:szCs w:val="32"/>
          <w:lang w:eastAsia="zh-CN"/>
        </w:rPr>
        <w:t>行政区域</w:t>
      </w:r>
      <w:r>
        <w:rPr>
          <w:rFonts w:hint="eastAsia" w:ascii="仿宋_GB2312" w:eastAsia="仿宋_GB2312"/>
          <w:color w:val="auto"/>
          <w:sz w:val="32"/>
          <w:szCs w:val="32"/>
        </w:rPr>
        <w:t>饮用水水源保护管理工作，并结合本地实际，在村规民约中规定具体保护管理内容，教育引导群众自觉保护饮用水水源。</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第十条</w:t>
      </w:r>
      <w:r>
        <w:rPr>
          <w:rFonts w:hint="eastAsia" w:ascii="仿宋_GB2312" w:eastAsia="仿宋_GB2312"/>
          <w:color w:val="auto"/>
          <w:sz w:val="32"/>
          <w:szCs w:val="32"/>
        </w:rPr>
        <w:t xml:space="preserve">  县人民政府应当根据经济社会发展需要、水资源开发利用现状以及水污染防治规划，确定饮用水水源，依法划定饮用水水源保护区。饮用水水源保护区应与区域内生态保护红线划定、主体功能区规划、土地利用总体规划等相协调。</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仿宋_GB2312" w:eastAsia="仿宋_GB2312"/>
          <w:color w:val="auto"/>
          <w:sz w:val="32"/>
          <w:szCs w:val="32"/>
        </w:rPr>
        <w:t>县人民政府应当在饮用水水源保护区周边划定规模养殖禁止和限制区域，加强规模化、标准化畜禽养殖污染治理，责令养殖场建设环保设施并保证正常运行。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第十一条</w:t>
      </w:r>
      <w:r>
        <w:rPr>
          <w:rFonts w:hint="eastAsia" w:ascii="仿宋_GB2312" w:eastAsia="仿宋_GB2312"/>
          <w:b/>
          <w:color w:val="auto"/>
          <w:sz w:val="32"/>
          <w:szCs w:val="32"/>
        </w:rPr>
        <w:t xml:space="preserve">  </w:t>
      </w:r>
      <w:r>
        <w:rPr>
          <w:rFonts w:hint="eastAsia" w:ascii="仿宋_GB2312" w:eastAsia="仿宋_GB2312"/>
          <w:color w:val="auto"/>
          <w:sz w:val="32"/>
          <w:szCs w:val="32"/>
        </w:rPr>
        <w:t>饮用水水源保护区依法划分为一级保护区、二级保护区；必要时，可以划定准保护区。经批准的饮用水水源保护区由县人民政府向社会公告。</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第十二条</w:t>
      </w:r>
      <w:r>
        <w:rPr>
          <w:rFonts w:hint="eastAsia" w:ascii="仿宋_GB2312" w:eastAsia="仿宋_GB2312"/>
          <w:b/>
          <w:color w:val="auto"/>
          <w:sz w:val="32"/>
          <w:szCs w:val="32"/>
        </w:rPr>
        <w:t xml:space="preserve"> </w:t>
      </w:r>
      <w:r>
        <w:rPr>
          <w:rFonts w:hint="eastAsia" w:ascii="仿宋_GB2312" w:eastAsia="仿宋_GB2312"/>
          <w:color w:val="auto"/>
          <w:sz w:val="32"/>
          <w:szCs w:val="32"/>
        </w:rPr>
        <w:t xml:space="preserve"> </w:t>
      </w:r>
      <w:r>
        <w:rPr>
          <w:rFonts w:ascii="仿宋_GB2312" w:eastAsia="仿宋_GB2312"/>
          <w:color w:val="auto"/>
          <w:sz w:val="32"/>
          <w:szCs w:val="32"/>
        </w:rPr>
        <w:t>饮用水水源保护区的确定、划分和调整，由县</w:t>
      </w:r>
      <w:r>
        <w:rPr>
          <w:rFonts w:hint="eastAsia" w:ascii="仿宋_GB2312" w:eastAsia="仿宋_GB2312"/>
          <w:color w:val="auto"/>
          <w:sz w:val="32"/>
          <w:szCs w:val="32"/>
        </w:rPr>
        <w:t>生态环境</w:t>
      </w:r>
      <w:r>
        <w:rPr>
          <w:rFonts w:ascii="仿宋_GB2312" w:eastAsia="仿宋_GB2312"/>
          <w:color w:val="auto"/>
          <w:sz w:val="32"/>
          <w:szCs w:val="32"/>
        </w:rPr>
        <w:t>主管部门会同有关部门提出初步意见，由县人民政府</w:t>
      </w:r>
      <w:r>
        <w:rPr>
          <w:rFonts w:hint="eastAsia" w:ascii="仿宋_GB2312" w:eastAsia="仿宋_GB2312"/>
          <w:color w:val="auto"/>
          <w:sz w:val="32"/>
          <w:szCs w:val="32"/>
        </w:rPr>
        <w:t>提出</w:t>
      </w:r>
      <w:r>
        <w:rPr>
          <w:rFonts w:ascii="仿宋_GB2312" w:eastAsia="仿宋_GB2312"/>
          <w:color w:val="auto"/>
          <w:sz w:val="32"/>
          <w:szCs w:val="32"/>
        </w:rPr>
        <w:t>方案</w:t>
      </w:r>
      <w:r>
        <w:rPr>
          <w:rFonts w:hint="eastAsia" w:ascii="仿宋_GB2312" w:eastAsia="仿宋_GB2312"/>
          <w:color w:val="auto"/>
          <w:sz w:val="32"/>
          <w:szCs w:val="32"/>
        </w:rPr>
        <w:t>，报州人民政府审查后按程序报批。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第十三条</w:t>
      </w:r>
      <w:r>
        <w:rPr>
          <w:rFonts w:hint="eastAsia" w:ascii="仿宋_GB2312" w:eastAsia="仿宋_GB2312"/>
          <w:color w:val="auto"/>
          <w:sz w:val="32"/>
          <w:szCs w:val="32"/>
        </w:rPr>
        <w:t xml:space="preserve">  县生态环境主管部门根据饮用水水源出水流量、水质状况或者公共利益、发展规划等情况，可以提出调整饮用水水源保护区的方案，该调整方案应当按保护区划定程序报批。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第十四条</w:t>
      </w:r>
      <w:r>
        <w:rPr>
          <w:rFonts w:hint="eastAsia" w:ascii="仿宋_GB2312" w:eastAsia="仿宋_GB2312"/>
          <w:color w:val="auto"/>
          <w:sz w:val="32"/>
          <w:szCs w:val="32"/>
        </w:rPr>
        <w:t xml:space="preserve">  因划定或者调整饮用水水源保护区，对公民、法人或者其他组织的合法权益造成损害的，应当依法予以补偿或者合理安置。</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第十五条</w:t>
      </w:r>
      <w:r>
        <w:rPr>
          <w:rFonts w:hint="eastAsia" w:ascii="仿宋_GB2312" w:eastAsia="仿宋_GB2312"/>
          <w:color w:val="auto"/>
          <w:sz w:val="32"/>
          <w:szCs w:val="32"/>
        </w:rPr>
        <w:t xml:space="preserve">  县人民政府应当在饮用水水源保护区设立明确的地理界标，在显著位置设立警示标志、道路警示牌和防护设施，任何单位和个人不得改变、破坏饮用水水源保护区地理界标、警示标志和防护设施。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仿宋_GB2312" w:eastAsia="仿宋_GB2312"/>
          <w:color w:val="auto"/>
          <w:sz w:val="32"/>
          <w:szCs w:val="32"/>
        </w:rPr>
        <w:t>县人民政府根据需要，可以设立宣传牌、公告牌、视频监控设施，任何单位和个人不得破坏。</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hint="eastAsia" w:ascii="仿宋_GB2312" w:hAnsi="宋体" w:eastAsia="仿宋_GB2312" w:cs="宋体"/>
          <w:color w:val="auto"/>
          <w:kern w:val="0"/>
          <w:sz w:val="32"/>
          <w:szCs w:val="32"/>
          <w:lang w:eastAsia="zh-CN"/>
        </w:rPr>
      </w:pPr>
      <w:r>
        <w:rPr>
          <w:rFonts w:hint="eastAsia" w:ascii="黑体" w:hAnsi="黑体" w:eastAsia="黑体"/>
          <w:color w:val="auto"/>
          <w:sz w:val="32"/>
          <w:szCs w:val="32"/>
          <w:lang w:eastAsia="zh-CN"/>
        </w:rPr>
        <w:t>第十六条</w:t>
      </w:r>
      <w:r>
        <w:rPr>
          <w:rFonts w:hint="eastAsia" w:ascii="仿宋_GB2312" w:hAnsi="宋体" w:eastAsia="仿宋_GB2312" w:cs="宋体"/>
          <w:color w:val="auto"/>
          <w:kern w:val="0"/>
          <w:sz w:val="32"/>
          <w:szCs w:val="32"/>
          <w:lang w:val="en-US" w:eastAsia="zh-CN"/>
        </w:rPr>
        <w:t xml:space="preserve">  </w:t>
      </w:r>
      <w:r>
        <w:rPr>
          <w:rFonts w:hint="eastAsia" w:ascii="仿宋_GB2312" w:hAnsi="宋体" w:eastAsia="仿宋_GB2312" w:cs="宋体"/>
          <w:color w:val="auto"/>
          <w:kern w:val="0"/>
          <w:sz w:val="32"/>
          <w:szCs w:val="32"/>
          <w:lang w:eastAsia="zh-CN"/>
        </w:rPr>
        <w:t>县、乡镇人民政府应当采取封闭措施加强取水口的管理，防止鼠类、鸟类等野生动物进入。</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仿宋_GB2312" w:hAnsi="宋体" w:eastAsia="仿宋_GB2312" w:cs="宋体"/>
          <w:color w:val="auto"/>
          <w:kern w:val="0"/>
          <w:sz w:val="32"/>
          <w:szCs w:val="32"/>
          <w:lang w:eastAsia="zh-CN"/>
        </w:rPr>
        <w:t>县、乡镇人民政府应当建设必要的截水沟、沟头防护、生物隔离带、裸露地植被恢复、生态护岸护坡等工程，加强水土保持，涵养水源，保证水质安全。</w:t>
      </w:r>
    </w:p>
    <w:p>
      <w:pPr>
        <w:keepNext w:val="0"/>
        <w:keepLines w:val="0"/>
        <w:pageBreakBefore w:val="0"/>
        <w:widowControl w:val="0"/>
        <w:numPr>
          <w:ilvl w:val="0"/>
          <w:numId w:val="0"/>
        </w:numPr>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黑体" w:hAnsi="黑体" w:eastAsia="黑体"/>
          <w:color w:val="auto"/>
          <w:sz w:val="32"/>
          <w:szCs w:val="32"/>
        </w:rPr>
        <w:t>第十七条</w:t>
      </w:r>
      <w:r>
        <w:rPr>
          <w:rFonts w:hint="eastAsia" w:ascii="仿宋_GB2312" w:eastAsia="仿宋_GB2312"/>
          <w:color w:val="auto"/>
          <w:sz w:val="32"/>
          <w:szCs w:val="32"/>
        </w:rPr>
        <w:t xml:space="preserve">  在饮用水水源准保护区、二级保护区、一级保护区内除法律法规禁止的行为外，本条例还禁止下列行为：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auto"/>
        <w:outlineLvl w:val="9"/>
        <w:rPr>
          <w:rFonts w:ascii="仿宋_GB2312" w:eastAsia="仿宋_GB2312"/>
          <w:color w:val="auto"/>
          <w:sz w:val="32"/>
          <w:szCs w:val="32"/>
        </w:rPr>
      </w:pPr>
      <w:r>
        <w:rPr>
          <w:rFonts w:hint="eastAsia" w:ascii="仿宋_GB2312" w:eastAsia="仿宋_GB2312"/>
          <w:color w:val="auto"/>
          <w:sz w:val="32"/>
          <w:szCs w:val="32"/>
        </w:rPr>
        <w:t>（一）在水源准保护区内，禁止</w:t>
      </w:r>
      <w:r>
        <w:rPr>
          <w:rFonts w:ascii="仿宋_GB2312" w:eastAsia="仿宋_GB2312"/>
          <w:color w:val="auto"/>
          <w:sz w:val="32"/>
          <w:szCs w:val="32"/>
        </w:rPr>
        <w:t>向水域排放、倾倒工业废渣、城乡垃圾或者其他废弃物</w:t>
      </w:r>
      <w:r>
        <w:rPr>
          <w:rFonts w:hint="eastAsia" w:ascii="仿宋_GB2312" w:eastAsia="仿宋_GB2312"/>
          <w:color w:val="auto"/>
          <w:sz w:val="32"/>
          <w:szCs w:val="32"/>
        </w:rPr>
        <w:t>，禁止开展</w:t>
      </w:r>
      <w:r>
        <w:rPr>
          <w:rFonts w:ascii="仿宋_GB2312" w:eastAsia="仿宋_GB2312"/>
          <w:color w:val="auto"/>
          <w:sz w:val="32"/>
          <w:szCs w:val="32"/>
        </w:rPr>
        <w:t>影响饮用水水源水质的矿产加工活动</w:t>
      </w:r>
      <w:r>
        <w:rPr>
          <w:rFonts w:hint="eastAsia" w:ascii="仿宋_GB2312" w:eastAsia="仿宋_GB2312"/>
          <w:color w:val="auto"/>
          <w:sz w:val="32"/>
          <w:szCs w:val="32"/>
        </w:rPr>
        <w:t>，禁止</w:t>
      </w:r>
      <w:r>
        <w:rPr>
          <w:rFonts w:ascii="仿宋_GB2312" w:eastAsia="仿宋_GB2312"/>
          <w:color w:val="auto"/>
          <w:sz w:val="32"/>
          <w:szCs w:val="32"/>
        </w:rPr>
        <w:t>破坏湿地、毁林开荒、损坏植被</w:t>
      </w:r>
      <w:r>
        <w:rPr>
          <w:rFonts w:hint="eastAsia" w:ascii="仿宋_GB2312" w:eastAsia="仿宋_GB2312"/>
          <w:color w:val="auto"/>
          <w:sz w:val="32"/>
          <w:szCs w:val="32"/>
        </w:rPr>
        <w:t>、</w:t>
      </w:r>
      <w:r>
        <w:rPr>
          <w:rFonts w:ascii="仿宋_GB2312" w:eastAsia="仿宋_GB2312"/>
          <w:color w:val="auto"/>
          <w:sz w:val="32"/>
          <w:szCs w:val="32"/>
        </w:rPr>
        <w:t>非更新性砍伐水源涵养林</w:t>
      </w:r>
      <w:r>
        <w:rPr>
          <w:rFonts w:hint="eastAsia" w:ascii="仿宋_GB2312" w:eastAsia="仿宋_GB2312"/>
          <w:color w:val="auto"/>
          <w:sz w:val="32"/>
          <w:szCs w:val="32"/>
        </w:rPr>
        <w:t>、</w:t>
      </w:r>
      <w:r>
        <w:rPr>
          <w:rFonts w:ascii="仿宋_GB2312" w:eastAsia="仿宋_GB2312"/>
          <w:color w:val="auto"/>
          <w:sz w:val="32"/>
          <w:szCs w:val="32"/>
        </w:rPr>
        <w:t>护岸林等破坏水环境的行为</w:t>
      </w:r>
      <w:r>
        <w:rPr>
          <w:rFonts w:hint="eastAsia" w:ascii="仿宋_GB2312" w:eastAsia="仿宋_GB2312"/>
          <w:color w:val="auto"/>
          <w:sz w:val="32"/>
          <w:szCs w:val="32"/>
          <w:lang w:eastAsia="zh-CN"/>
        </w:rPr>
        <w:t>，限制</w:t>
      </w:r>
      <w:r>
        <w:rPr>
          <w:rFonts w:ascii="仿宋_GB2312" w:eastAsia="仿宋_GB2312"/>
          <w:color w:val="auto"/>
          <w:sz w:val="32"/>
          <w:szCs w:val="32"/>
        </w:rPr>
        <w:t>使用农药</w:t>
      </w:r>
      <w:r>
        <w:rPr>
          <w:rFonts w:hint="eastAsia" w:ascii="仿宋_GB2312" w:eastAsia="仿宋_GB2312"/>
          <w:color w:val="auto"/>
          <w:sz w:val="32"/>
          <w:szCs w:val="32"/>
          <w:lang w:eastAsia="zh-CN"/>
        </w:rPr>
        <w:t>和</w:t>
      </w:r>
      <w:r>
        <w:rPr>
          <w:rFonts w:ascii="仿宋_GB2312" w:eastAsia="仿宋_GB2312"/>
          <w:color w:val="auto"/>
          <w:sz w:val="32"/>
          <w:szCs w:val="32"/>
        </w:rPr>
        <w:t>化肥</w:t>
      </w:r>
      <w:r>
        <w:rPr>
          <w:rFonts w:hint="eastAsia" w:ascii="仿宋_GB2312" w:eastAsia="仿宋_GB2312"/>
          <w:color w:val="auto"/>
          <w:sz w:val="32"/>
          <w:szCs w:val="32"/>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olor w:val="auto"/>
          <w:sz w:val="32"/>
          <w:szCs w:val="32"/>
          <w:lang w:eastAsia="zh-CN"/>
        </w:rPr>
      </w:pPr>
      <w:r>
        <w:rPr>
          <w:rFonts w:hint="eastAsia" w:ascii="仿宋_GB2312" w:eastAsia="仿宋_GB2312"/>
          <w:color w:val="auto"/>
          <w:sz w:val="32"/>
          <w:szCs w:val="32"/>
        </w:rPr>
        <w:t>（二）在水源二级保护区内，除禁止前项规定的行为外，还禁止建设规模化畜禽养殖场、养殖小区，屠宰场，禁止修建墓地、丢弃或者掩埋动物尸体，禁止进行对水源造成污染的宗教祭祀活动</w:t>
      </w:r>
      <w:r>
        <w:rPr>
          <w:rFonts w:hint="eastAsia" w:ascii="仿宋_GB2312" w:eastAsia="仿宋_GB2312"/>
          <w:color w:val="auto"/>
          <w:sz w:val="32"/>
          <w:szCs w:val="32"/>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line="560" w:lineRule="exact"/>
        <w:ind w:left="0" w:leftChars="0" w:right="0" w:rightChars="0" w:firstLine="624" w:firstLineChars="200"/>
        <w:jc w:val="left"/>
        <w:textAlignment w:val="auto"/>
        <w:outlineLvl w:val="9"/>
        <w:rPr>
          <w:rFonts w:ascii="仿宋_GB2312" w:eastAsia="仿宋_GB2312"/>
          <w:color w:val="auto"/>
          <w:sz w:val="32"/>
          <w:szCs w:val="32"/>
        </w:rPr>
      </w:pPr>
      <w:r>
        <w:rPr>
          <w:rFonts w:hint="eastAsia" w:ascii="仿宋_GB2312" w:eastAsia="仿宋_GB2312"/>
          <w:color w:val="auto"/>
          <w:sz w:val="32"/>
          <w:szCs w:val="32"/>
        </w:rPr>
        <w:t>在水源一级保护区内，除禁止前两项规定的行为外，还禁止野炊</w:t>
      </w:r>
      <w:r>
        <w:rPr>
          <w:rFonts w:hint="eastAsia" w:ascii="仿宋_GB2312" w:eastAsia="仿宋_GB2312"/>
          <w:color w:val="auto"/>
          <w:sz w:val="32"/>
          <w:szCs w:val="32"/>
          <w:lang w:eastAsia="zh-CN"/>
        </w:rPr>
        <w:t>和</w:t>
      </w:r>
      <w:r>
        <w:rPr>
          <w:rFonts w:hint="eastAsia" w:ascii="仿宋_GB2312" w:eastAsia="仿宋_GB2312"/>
          <w:color w:val="auto"/>
          <w:sz w:val="32"/>
          <w:szCs w:val="32"/>
        </w:rPr>
        <w:t>烧烤行为。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第十八条</w:t>
      </w:r>
      <w:r>
        <w:rPr>
          <w:rFonts w:hint="eastAsia" w:ascii="仿宋_GB2312" w:eastAsia="仿宋_GB2312"/>
          <w:color w:val="auto"/>
          <w:sz w:val="32"/>
          <w:szCs w:val="32"/>
        </w:rPr>
        <w:t xml:space="preserve">  在饮用水水源</w:t>
      </w:r>
      <w:r>
        <w:rPr>
          <w:rFonts w:hint="eastAsia" w:ascii="仿宋_GB2312" w:eastAsia="仿宋_GB2312"/>
          <w:color w:val="auto"/>
          <w:sz w:val="32"/>
          <w:szCs w:val="32"/>
          <w:lang w:eastAsia="zh-CN"/>
        </w:rPr>
        <w:t>准</w:t>
      </w:r>
      <w:r>
        <w:rPr>
          <w:rFonts w:hint="eastAsia" w:ascii="仿宋_GB2312" w:eastAsia="仿宋_GB2312"/>
          <w:color w:val="auto"/>
          <w:sz w:val="32"/>
          <w:szCs w:val="32"/>
        </w:rPr>
        <w:t>保护区</w:t>
      </w:r>
      <w:r>
        <w:rPr>
          <w:rFonts w:hint="eastAsia" w:ascii="仿宋_GB2312" w:eastAsia="仿宋_GB2312"/>
          <w:color w:val="auto"/>
          <w:sz w:val="32"/>
          <w:szCs w:val="32"/>
          <w:lang w:eastAsia="zh-CN"/>
        </w:rPr>
        <w:t>和二级保护区</w:t>
      </w:r>
      <w:r>
        <w:rPr>
          <w:rFonts w:hint="eastAsia" w:ascii="仿宋_GB2312" w:eastAsia="仿宋_GB2312"/>
          <w:color w:val="auto"/>
          <w:sz w:val="32"/>
          <w:szCs w:val="32"/>
        </w:rPr>
        <w:t>内已建或者新建、改扩建道路、桥梁及其他设施，可能威胁饮用水水源安全的，建设单位应当设置独立的污染物收集、排放、处理系统或者隔离设施。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第十九条</w:t>
      </w:r>
      <w:r>
        <w:rPr>
          <w:rFonts w:hint="eastAsia" w:ascii="仿宋_GB2312" w:eastAsia="仿宋_GB2312"/>
          <w:color w:val="auto"/>
          <w:sz w:val="32"/>
          <w:szCs w:val="32"/>
        </w:rPr>
        <w:t xml:space="preserve">  县人民政府应当加强饮用水水源保护区的环境综合整治，完善水源保护区内居民生活污水、生活垃圾处理设施，配置必要的生活垃圾收集设备，由所在乡镇负责转运处理</w:t>
      </w:r>
      <w:r>
        <w:rPr>
          <w:rFonts w:hint="eastAsia" w:ascii="仿宋_GB2312" w:eastAsia="仿宋_GB2312"/>
          <w:color w:val="auto"/>
          <w:sz w:val="32"/>
          <w:szCs w:val="32"/>
          <w:lang w:eastAsia="zh-CN"/>
        </w:rPr>
        <w:t>，</w:t>
      </w:r>
      <w:r>
        <w:rPr>
          <w:rFonts w:hint="eastAsia" w:ascii="仿宋_GB2312" w:eastAsia="仿宋_GB2312"/>
          <w:color w:val="auto"/>
          <w:sz w:val="32"/>
          <w:szCs w:val="32"/>
        </w:rPr>
        <w:t>保障饮用水水源安全。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第二十条</w:t>
      </w:r>
      <w:r>
        <w:rPr>
          <w:rFonts w:hint="eastAsia" w:ascii="仿宋_GB2312" w:eastAsia="仿宋_GB2312"/>
          <w:color w:val="auto"/>
          <w:sz w:val="32"/>
          <w:szCs w:val="32"/>
        </w:rPr>
        <w:t xml:space="preserve">  县人民政府应当建立部门联动和区域联防联控协作机制，建立饮用水水源水质监测预警系统和饮用水水源水量、水质信息管理数据库，实现数据共享。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pacing w:val="-11"/>
          <w:sz w:val="32"/>
          <w:szCs w:val="32"/>
        </w:rPr>
      </w:pPr>
      <w:r>
        <w:rPr>
          <w:rFonts w:hint="eastAsia" w:ascii="黑体" w:hAnsi="黑体" w:eastAsia="黑体"/>
          <w:color w:val="auto"/>
          <w:sz w:val="32"/>
          <w:szCs w:val="32"/>
        </w:rPr>
        <w:t>第二十一条</w:t>
      </w:r>
      <w:r>
        <w:rPr>
          <w:rFonts w:hint="eastAsia" w:ascii="仿宋_GB2312" w:eastAsia="仿宋_GB2312"/>
          <w:color w:val="auto"/>
          <w:sz w:val="32"/>
          <w:szCs w:val="32"/>
        </w:rPr>
        <w:t xml:space="preserve">  县卫生健康主管部门应当依法对饮用水</w:t>
      </w:r>
      <w:r>
        <w:rPr>
          <w:rFonts w:hint="eastAsia" w:ascii="仿宋_GB2312" w:eastAsia="仿宋_GB2312"/>
          <w:color w:val="auto"/>
          <w:spacing w:val="-6"/>
          <w:sz w:val="32"/>
          <w:szCs w:val="32"/>
        </w:rPr>
        <w:t>水质进行监测，指导乡镇、村对储水、输水设施进行消毒防疫。</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饮用水供水单位应当加强对饮用水水质的实时监测，饮用水水质有异常情况时，应当采取有效措施，并按照规定向县生态环境等主管部门报告。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第二十二条</w:t>
      </w:r>
      <w:r>
        <w:rPr>
          <w:rFonts w:hint="eastAsia" w:ascii="仿宋_GB2312" w:eastAsia="仿宋_GB2312"/>
          <w:color w:val="auto"/>
          <w:sz w:val="32"/>
          <w:szCs w:val="32"/>
        </w:rPr>
        <w:t xml:space="preserve">  县</w:t>
      </w:r>
      <w:r>
        <w:rPr>
          <w:rFonts w:ascii="仿宋_GB2312" w:eastAsia="仿宋_GB2312"/>
          <w:color w:val="auto"/>
          <w:sz w:val="32"/>
          <w:szCs w:val="32"/>
        </w:rPr>
        <w:t>水</w:t>
      </w:r>
      <w:r>
        <w:rPr>
          <w:rFonts w:hint="eastAsia" w:ascii="仿宋_GB2312" w:eastAsia="仿宋_GB2312"/>
          <w:color w:val="auto"/>
          <w:sz w:val="32"/>
          <w:szCs w:val="32"/>
        </w:rPr>
        <w:t>行政、生态环境、卫生健康等主管部门和</w:t>
      </w:r>
      <w:r>
        <w:rPr>
          <w:rFonts w:ascii="仿宋_GB2312" w:eastAsia="仿宋_GB2312"/>
          <w:color w:val="auto"/>
          <w:sz w:val="32"/>
          <w:szCs w:val="32"/>
        </w:rPr>
        <w:t>乡镇人民政府</w:t>
      </w:r>
      <w:r>
        <w:rPr>
          <w:rFonts w:hint="eastAsia" w:ascii="仿宋_GB2312" w:eastAsia="仿宋_GB2312"/>
          <w:color w:val="auto"/>
          <w:sz w:val="32"/>
          <w:szCs w:val="32"/>
        </w:rPr>
        <w:t>应</w:t>
      </w:r>
      <w:r>
        <w:rPr>
          <w:rFonts w:ascii="仿宋_GB2312" w:eastAsia="仿宋_GB2312"/>
          <w:color w:val="auto"/>
          <w:sz w:val="32"/>
          <w:szCs w:val="32"/>
        </w:rPr>
        <w:t>当按照各自职责建立巡查制度，定期对饮用水水源保护区以及相关设施进行巡查</w:t>
      </w:r>
      <w:r>
        <w:rPr>
          <w:rFonts w:hint="eastAsia" w:ascii="仿宋_GB2312" w:eastAsia="仿宋_GB2312"/>
          <w:color w:val="auto"/>
          <w:sz w:val="32"/>
          <w:szCs w:val="32"/>
        </w:rPr>
        <w:t>，发现问题及时协调解决。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对巡查中发现本条例规定的禁止行为或者可能造成饮用水水源污染的其他行为，应当进行劝阻和制止，并及时向</w:t>
      </w:r>
      <w:r>
        <w:rPr>
          <w:rFonts w:hint="eastAsia" w:ascii="仿宋_GB2312" w:eastAsia="仿宋_GB2312"/>
          <w:color w:val="auto"/>
          <w:sz w:val="32"/>
          <w:szCs w:val="32"/>
          <w:lang w:eastAsia="zh-CN"/>
        </w:rPr>
        <w:t>有关</w:t>
      </w:r>
      <w:r>
        <w:rPr>
          <w:rFonts w:hint="eastAsia" w:ascii="仿宋_GB2312" w:eastAsia="仿宋_GB2312"/>
          <w:color w:val="auto"/>
          <w:sz w:val="32"/>
          <w:szCs w:val="32"/>
        </w:rPr>
        <w:t>主管部门报告。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第二十三条</w:t>
      </w:r>
      <w:r>
        <w:rPr>
          <w:rFonts w:hint="eastAsia" w:ascii="仿宋_GB2312" w:eastAsia="仿宋_GB2312"/>
          <w:b/>
          <w:color w:val="auto"/>
          <w:sz w:val="32"/>
          <w:szCs w:val="32"/>
        </w:rPr>
        <w:t xml:space="preserve">  </w:t>
      </w:r>
      <w:r>
        <w:rPr>
          <w:rFonts w:hint="eastAsia" w:ascii="仿宋_GB2312" w:eastAsia="仿宋_GB2312"/>
          <w:color w:val="auto"/>
          <w:sz w:val="32"/>
          <w:szCs w:val="32"/>
        </w:rPr>
        <w:t>违反本条例规定的行为，法律、法规已规定法律责任的，从其规定。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黑体" w:hAnsi="黑体" w:eastAsia="黑体"/>
          <w:color w:val="auto"/>
          <w:sz w:val="32"/>
          <w:szCs w:val="32"/>
        </w:rPr>
        <w:t>第二十四条</w:t>
      </w:r>
      <w:r>
        <w:rPr>
          <w:rFonts w:hint="eastAsia" w:ascii="仿宋_GB2312" w:eastAsia="仿宋_GB2312"/>
          <w:b/>
          <w:color w:val="auto"/>
          <w:sz w:val="32"/>
          <w:szCs w:val="32"/>
        </w:rPr>
        <w:t xml:space="preserve"> </w:t>
      </w:r>
      <w:r>
        <w:rPr>
          <w:rFonts w:hint="eastAsia" w:ascii="仿宋_GB2312" w:eastAsia="仿宋_GB2312"/>
          <w:color w:val="auto"/>
          <w:sz w:val="32"/>
          <w:szCs w:val="32"/>
        </w:rPr>
        <w:t xml:space="preserve"> 破坏宣传牌、公告牌、视频监控设施的，由水行政主管部门责令停止违法行为，赔偿损失；情节严重的，</w:t>
      </w:r>
      <w:r>
        <w:rPr>
          <w:rFonts w:hint="eastAsia" w:ascii="仿宋_GB2312" w:eastAsia="仿宋_GB2312"/>
          <w:color w:val="auto"/>
          <w:sz w:val="32"/>
          <w:szCs w:val="32"/>
          <w:lang w:eastAsia="zh-CN"/>
        </w:rPr>
        <w:t>并</w:t>
      </w:r>
      <w:r>
        <w:rPr>
          <w:rFonts w:hint="eastAsia" w:ascii="仿宋_GB2312" w:eastAsia="仿宋_GB2312"/>
          <w:color w:val="auto"/>
          <w:sz w:val="32"/>
          <w:szCs w:val="32"/>
        </w:rPr>
        <w:t>处一千元以上五千元以下罚款。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olor w:val="auto"/>
          <w:sz w:val="32"/>
          <w:szCs w:val="32"/>
          <w:lang w:eastAsia="zh-CN"/>
        </w:rPr>
      </w:pPr>
      <w:r>
        <w:rPr>
          <w:rFonts w:hint="eastAsia" w:ascii="仿宋_GB2312" w:eastAsia="仿宋_GB2312"/>
          <w:color w:val="auto"/>
          <w:sz w:val="32"/>
          <w:szCs w:val="32"/>
        </w:rPr>
        <w:t>在水源</w:t>
      </w:r>
      <w:r>
        <w:rPr>
          <w:rFonts w:hint="eastAsia" w:ascii="仿宋_GB2312" w:eastAsia="仿宋_GB2312"/>
          <w:color w:val="auto"/>
          <w:sz w:val="32"/>
          <w:szCs w:val="32"/>
          <w:lang w:eastAsia="zh-CN"/>
        </w:rPr>
        <w:t>准</w:t>
      </w:r>
      <w:r>
        <w:rPr>
          <w:rFonts w:hint="eastAsia" w:ascii="仿宋_GB2312" w:eastAsia="仿宋_GB2312"/>
          <w:color w:val="auto"/>
          <w:sz w:val="32"/>
          <w:szCs w:val="32"/>
        </w:rPr>
        <w:t>保护区</w:t>
      </w:r>
      <w:r>
        <w:rPr>
          <w:rFonts w:hint="eastAsia" w:ascii="仿宋_GB2312" w:eastAsia="仿宋_GB2312"/>
          <w:color w:val="auto"/>
          <w:sz w:val="32"/>
          <w:szCs w:val="32"/>
          <w:lang w:eastAsia="zh-CN"/>
        </w:rPr>
        <w:t>内开展影响</w:t>
      </w:r>
      <w:r>
        <w:rPr>
          <w:rFonts w:hint="eastAsia" w:ascii="仿宋_GB2312" w:hAnsi="宋体" w:eastAsia="仿宋_GB2312" w:cs="宋体"/>
          <w:color w:val="auto"/>
          <w:kern w:val="0"/>
          <w:sz w:val="32"/>
          <w:szCs w:val="32"/>
          <w:lang w:val="en-US" w:eastAsia="zh-CN"/>
        </w:rPr>
        <w:t>饮用水水源水质的矿产加工活动的，由</w:t>
      </w:r>
      <w:r>
        <w:rPr>
          <w:rFonts w:hint="eastAsia" w:ascii="仿宋_GB2312" w:eastAsia="仿宋_GB2312"/>
          <w:color w:val="auto"/>
          <w:sz w:val="32"/>
          <w:szCs w:val="32"/>
        </w:rPr>
        <w:t>县生态环境主管部门责令停止违法行为，</w:t>
      </w:r>
      <w:r>
        <w:rPr>
          <w:rFonts w:hint="eastAsia" w:ascii="仿宋_GB2312" w:eastAsia="仿宋_GB2312"/>
          <w:color w:val="auto"/>
          <w:sz w:val="32"/>
          <w:szCs w:val="32"/>
          <w:lang w:eastAsia="zh-CN"/>
        </w:rPr>
        <w:t>并</w:t>
      </w:r>
      <w:r>
        <w:rPr>
          <w:rFonts w:hint="eastAsia" w:ascii="仿宋_GB2312" w:hAnsi="宋体" w:eastAsia="仿宋_GB2312" w:cs="宋体"/>
          <w:color w:val="auto"/>
          <w:kern w:val="0"/>
          <w:sz w:val="32"/>
          <w:szCs w:val="32"/>
          <w:lang w:val="en-US" w:eastAsia="zh-CN"/>
        </w:rPr>
        <w:t>处以</w:t>
      </w:r>
      <w:r>
        <w:rPr>
          <w:rFonts w:hint="eastAsia" w:ascii="仿宋_GB2312" w:hAnsi="仿宋_GB2312" w:eastAsia="仿宋_GB2312" w:cs="仿宋_GB2312"/>
          <w:color w:val="auto"/>
          <w:sz w:val="32"/>
          <w:szCs w:val="32"/>
        </w:rPr>
        <w:t>一万元以上十万元以下</w:t>
      </w:r>
      <w:bookmarkStart w:id="0" w:name="_GoBack"/>
      <w:bookmarkEnd w:id="0"/>
      <w:r>
        <w:rPr>
          <w:rFonts w:hint="eastAsia" w:ascii="仿宋_GB2312" w:hAnsi="仿宋_GB2312" w:eastAsia="仿宋_GB2312" w:cs="仿宋_GB2312"/>
          <w:color w:val="auto"/>
          <w:sz w:val="32"/>
          <w:szCs w:val="32"/>
        </w:rPr>
        <w:t>的罚款</w:t>
      </w:r>
      <w:r>
        <w:rPr>
          <w:rFonts w:hint="eastAsia" w:ascii="仿宋_GB2312" w:hAnsi="仿宋_GB2312" w:eastAsia="仿宋_GB2312" w:cs="仿宋_GB2312"/>
          <w:color w:val="auto"/>
          <w:sz w:val="32"/>
          <w:szCs w:val="32"/>
          <w:lang w:eastAsia="zh-CN"/>
        </w:rPr>
        <w:t>。</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在</w:t>
      </w:r>
      <w:r>
        <w:rPr>
          <w:rFonts w:hint="eastAsia" w:ascii="仿宋_GB2312" w:eastAsia="仿宋_GB2312"/>
          <w:color w:val="auto"/>
          <w:sz w:val="32"/>
          <w:szCs w:val="32"/>
          <w:lang w:eastAsia="zh-CN"/>
        </w:rPr>
        <w:t>水源二级保护区内</w:t>
      </w:r>
      <w:r>
        <w:rPr>
          <w:rFonts w:hint="eastAsia" w:ascii="仿宋_GB2312" w:eastAsia="仿宋_GB2312"/>
          <w:color w:val="auto"/>
          <w:sz w:val="32"/>
          <w:szCs w:val="32"/>
        </w:rPr>
        <w:t>建立墓地，</w:t>
      </w:r>
      <w:r>
        <w:rPr>
          <w:rFonts w:hint="eastAsia" w:ascii="仿宋_GB2312" w:eastAsia="仿宋_GB2312"/>
          <w:color w:val="auto"/>
          <w:sz w:val="32"/>
          <w:szCs w:val="32"/>
          <w:lang w:eastAsia="zh-CN"/>
        </w:rPr>
        <w:t>进行</w:t>
      </w:r>
      <w:r>
        <w:rPr>
          <w:rFonts w:hint="eastAsia" w:ascii="仿宋_GB2312" w:eastAsia="仿宋_GB2312"/>
          <w:color w:val="auto"/>
          <w:sz w:val="32"/>
          <w:szCs w:val="32"/>
        </w:rPr>
        <w:t>污染水源的宗教祭祀活动，丢弃、掩埋动物尸体</w:t>
      </w:r>
      <w:r>
        <w:rPr>
          <w:rFonts w:hint="eastAsia" w:ascii="仿宋_GB2312" w:eastAsia="仿宋_GB2312"/>
          <w:color w:val="auto"/>
          <w:sz w:val="32"/>
          <w:szCs w:val="32"/>
          <w:lang w:eastAsia="zh-CN"/>
        </w:rPr>
        <w:t>的</w:t>
      </w:r>
      <w:r>
        <w:rPr>
          <w:rFonts w:hint="eastAsia" w:ascii="仿宋_GB2312" w:eastAsia="仿宋_GB2312"/>
          <w:color w:val="auto"/>
          <w:sz w:val="32"/>
          <w:szCs w:val="32"/>
        </w:rPr>
        <w:t>，由县生态环境主管部门责令停止违法行为，限期清理恢复，并处以一千元以下的罚款。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ascii="仿宋_GB2312" w:eastAsia="仿宋_GB2312"/>
          <w:color w:val="auto"/>
          <w:sz w:val="32"/>
          <w:szCs w:val="32"/>
        </w:rPr>
      </w:pPr>
      <w:r>
        <w:rPr>
          <w:rFonts w:hint="eastAsia" w:ascii="仿宋_GB2312" w:eastAsia="仿宋_GB2312"/>
          <w:color w:val="auto"/>
          <w:sz w:val="32"/>
          <w:szCs w:val="32"/>
        </w:rPr>
        <w:t>在饮用水水源一级保护区从事野炊</w:t>
      </w:r>
      <w:r>
        <w:rPr>
          <w:rFonts w:hint="eastAsia" w:ascii="仿宋_GB2312" w:eastAsia="仿宋_GB2312"/>
          <w:color w:val="auto"/>
          <w:sz w:val="32"/>
          <w:szCs w:val="32"/>
          <w:lang w:eastAsia="zh-CN"/>
        </w:rPr>
        <w:t>和</w:t>
      </w:r>
      <w:r>
        <w:rPr>
          <w:rFonts w:hint="eastAsia" w:ascii="仿宋_GB2312" w:eastAsia="仿宋_GB2312"/>
          <w:color w:val="auto"/>
          <w:sz w:val="32"/>
          <w:szCs w:val="32"/>
        </w:rPr>
        <w:t>烧烤活动的，由县生态环境主管部门责令停止违法行为，并处以五百元以上一千元以下罚款。</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24" w:firstLineChars="200"/>
        <w:textAlignment w:val="auto"/>
        <w:outlineLvl w:val="9"/>
        <w:rPr>
          <w:rFonts w:hint="eastAsia" w:ascii="仿宋_GB2312" w:eastAsia="仿宋_GB2312"/>
          <w:color w:val="auto"/>
          <w:sz w:val="32"/>
          <w:szCs w:val="32"/>
        </w:rPr>
      </w:pPr>
      <w:r>
        <w:rPr>
          <w:rFonts w:hint="eastAsia" w:ascii="黑体" w:hAnsi="黑体" w:eastAsia="黑体"/>
          <w:color w:val="auto"/>
          <w:sz w:val="32"/>
          <w:szCs w:val="32"/>
        </w:rPr>
        <w:t>第二十五条</w:t>
      </w:r>
      <w:r>
        <w:rPr>
          <w:rFonts w:hint="eastAsia" w:ascii="仿宋_GB2312"/>
          <w:color w:val="auto"/>
          <w:sz w:val="32"/>
          <w:szCs w:val="32"/>
          <w:lang w:val="en-US" w:eastAsia="zh-CN"/>
        </w:rPr>
        <w:t xml:space="preserve">  </w:t>
      </w:r>
      <w:r>
        <w:rPr>
          <w:rFonts w:hint="eastAsia" w:ascii="仿宋_GB2312" w:eastAsia="仿宋_GB2312"/>
          <w:color w:val="auto"/>
          <w:sz w:val="32"/>
          <w:szCs w:val="32"/>
        </w:rPr>
        <w:t>本条例自</w:t>
      </w:r>
      <w:r>
        <w:rPr>
          <w:rFonts w:hint="eastAsia" w:ascii="仿宋_GB2312" w:eastAsia="仿宋_GB2312"/>
          <w:color w:val="auto"/>
          <w:sz w:val="32"/>
          <w:szCs w:val="32"/>
          <w:lang w:val="en-US" w:eastAsia="zh-CN"/>
        </w:rPr>
        <w:t>2019</w:t>
      </w:r>
      <w:r>
        <w:rPr>
          <w:rFonts w:ascii="仿宋_GB2312" w:eastAsia="仿宋_GB2312"/>
          <w:color w:val="auto"/>
          <w:sz w:val="32"/>
          <w:szCs w:val="32"/>
        </w:rPr>
        <w:t>年</w:t>
      </w:r>
      <w:r>
        <w:rPr>
          <w:rFonts w:hint="eastAsia" w:ascii="仿宋_GB2312" w:eastAsia="仿宋_GB2312"/>
          <w:color w:val="auto"/>
          <w:sz w:val="32"/>
          <w:szCs w:val="32"/>
          <w:lang w:val="en-US" w:eastAsia="zh-CN"/>
        </w:rPr>
        <w:t>9</w:t>
      </w:r>
      <w:r>
        <w:rPr>
          <w:rFonts w:ascii="仿宋_GB2312" w:eastAsia="仿宋_GB2312"/>
          <w:color w:val="auto"/>
          <w:sz w:val="32"/>
          <w:szCs w:val="32"/>
        </w:rPr>
        <w:t>月</w:t>
      </w:r>
      <w:r>
        <w:rPr>
          <w:rFonts w:hint="eastAsia" w:ascii="仿宋_GB2312" w:eastAsia="仿宋_GB2312"/>
          <w:color w:val="auto"/>
          <w:sz w:val="32"/>
          <w:szCs w:val="32"/>
          <w:lang w:val="en-US" w:eastAsia="zh-CN"/>
        </w:rPr>
        <w:t>1</w:t>
      </w:r>
      <w:r>
        <w:rPr>
          <w:rFonts w:ascii="仿宋_GB2312" w:eastAsia="仿宋_GB2312"/>
          <w:color w:val="auto"/>
          <w:sz w:val="32"/>
          <w:szCs w:val="32"/>
        </w:rPr>
        <w:t>日起施行</w:t>
      </w:r>
      <w:r>
        <w:rPr>
          <w:rFonts w:hint="eastAsia" w:ascii="仿宋_GB2312" w:eastAsia="仿宋_GB2312"/>
          <w:color w:val="auto"/>
          <w:sz w:val="32"/>
          <w:szCs w:val="32"/>
        </w:rPr>
        <w:t>。</w:t>
      </w:r>
    </w:p>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1"/>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PingFang SC">
    <w:altName w:val="微软雅黑"/>
    <w:panose1 w:val="00000000000000000000"/>
    <w:charset w:val="86"/>
    <w:family w:val="swiss"/>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寰蒋闆呴粦">
    <w:altName w:val="微软雅黑"/>
    <w:panose1 w:val="00000000000000000000"/>
    <w:charset w:val="01"/>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微软雅黑"/>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_GBK">
    <w:altName w:val="微软雅黑"/>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微软雅黑"/>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2043" w:usb1="00000000" w:usb2="0000008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A10006FF" w:usb1="4000205B" w:usb2="0000001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altName w:val="Segoe Print"/>
    <w:panose1 w:val="0202090407030B020401"/>
    <w:charset w:val="01"/>
    <w:family w:val="auto"/>
    <w:pitch w:val="default"/>
    <w:sig w:usb0="00000000"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altName w:val="Mongolian Baiti"/>
    <w:panose1 w:val="03060402040406080204"/>
    <w:charset w:val="01"/>
    <w:family w:val="auto"/>
    <w:pitch w:val="default"/>
    <w:sig w:usb0="00000000"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altName w:val="Juice ITC"/>
    <w:panose1 w:val="04040404050702020202"/>
    <w:charset w:val="01"/>
    <w:family w:val="auto"/>
    <w:pitch w:val="default"/>
    <w:sig w:usb0="00000000"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altName w:val="Segoe Print"/>
    <w:panose1 w:val="020B0606020104020203"/>
    <w:charset w:val="01"/>
    <w:family w:val="auto"/>
    <w:pitch w:val="default"/>
    <w:sig w:usb0="00000000"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altName w:val="MT Extra"/>
    <w:panose1 w:val="02030808020601010101"/>
    <w:charset w:val="01"/>
    <w:family w:val="auto"/>
    <w:pitch w:val="default"/>
    <w:sig w:usb0="00000000"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Dark Courier"/>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altName w:val="Segoe Print"/>
    <w:panose1 w:val="02090707080505020304"/>
    <w:charset w:val="01"/>
    <w:family w:val="auto"/>
    <w:pitch w:val="default"/>
    <w:sig w:usb0="00000000"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2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B0502040204020203"/>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altName w:val="PMingLiU-ExtB"/>
    <w:panose1 w:val="02020502050305020303"/>
    <w:charset w:val="01"/>
    <w:family w:val="auto"/>
    <w:pitch w:val="default"/>
    <w:sig w:usb0="00000000"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altName w:val="Mongolian Baiti"/>
    <w:panose1 w:val="03040602040607080904"/>
    <w:charset w:val="01"/>
    <w:family w:val="auto"/>
    <w:pitch w:val="default"/>
    <w:sig w:usb0="00000000"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altName w:val="Segoe Print"/>
    <w:panose1 w:val="020B0506020104020203"/>
    <w:charset w:val="01"/>
    <w:family w:val="auto"/>
    <w:pitch w:val="default"/>
    <w:sig w:usb0="00000000"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altName w:val="Segoe Print"/>
    <w:panose1 w:val="020B0402030504020804"/>
    <w:charset w:val="01"/>
    <w:family w:val="auto"/>
    <w:pitch w:val="default"/>
    <w:sig w:usb0="00000000"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altName w:val="Segoe Print"/>
    <w:panose1 w:val="020E0502030308020204"/>
    <w:charset w:val="01"/>
    <w:family w:val="auto"/>
    <w:pitch w:val="default"/>
    <w:sig w:usb0="00000000"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altName w:val="Segoe Print"/>
    <w:panose1 w:val="020B0706040902060204"/>
    <w:charset w:val="01"/>
    <w:family w:val="auto"/>
    <w:pitch w:val="default"/>
    <w:sig w:usb0="00000000"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altName w:val="Segoe Print"/>
    <w:panose1 w:val="02040604050505020304"/>
    <w:charset w:val="01"/>
    <w:family w:val="auto"/>
    <w:pitch w:val="default"/>
    <w:sig w:usb0="00000000"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altName w:val="Segoe Print"/>
    <w:panose1 w:val="020B0602030504020804"/>
    <w:charset w:val="01"/>
    <w:family w:val="auto"/>
    <w:pitch w:val="default"/>
    <w:sig w:usb0="00000000"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Gigi">
    <w:altName w:val="Gabriola"/>
    <w:panose1 w:val="04040504061007020D02"/>
    <w:charset w:val="01"/>
    <w:family w:val="auto"/>
    <w:pitch w:val="default"/>
    <w:sig w:usb0="00000000"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altName w:val="Segoe Print"/>
    <w:panose1 w:val="02040603050505030304"/>
    <w:charset w:val="01"/>
    <w:family w:val="auto"/>
    <w:pitch w:val="default"/>
    <w:sig w:usb0="00000000"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2040503050203030202"/>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altName w:val="Colonna MT"/>
    <w:panose1 w:val="04060505060202020A04"/>
    <w:charset w:val="01"/>
    <w:family w:val="auto"/>
    <w:pitch w:val="default"/>
    <w:sig w:usb0="00000000"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altName w:val="Segoe Print"/>
    <w:panose1 w:val="020B0805030504020804"/>
    <w:charset w:val="01"/>
    <w:family w:val="auto"/>
    <w:pitch w:val="default"/>
    <w:sig w:usb0="00000000"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altName w:val="Mongolian Baiti"/>
    <w:panose1 w:val="03070402050302030203"/>
    <w:charset w:val="01"/>
    <w:family w:val="auto"/>
    <w:pitch w:val="default"/>
    <w:sig w:usb0="00000000"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E00002FF" w:usb1="6AC7FDFB" w:usb2="00000012"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00"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altName w:val="Segoe Print"/>
    <w:panose1 w:val="020B0502020104020203"/>
    <w:charset w:val="01"/>
    <w:family w:val="auto"/>
    <w:pitch w:val="default"/>
    <w:sig w:usb0="00000000"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B0502040204020203"/>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altName w:val="Lucida Sans"/>
    <w:panose1 w:val="020B0509030504030204"/>
    <w:charset w:val="01"/>
    <w:family w:val="auto"/>
    <w:pitch w:val="default"/>
    <w:sig w:usb0="00000000"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altName w:val="Segoe Print"/>
    <w:panose1 w:val="02020904090505020303"/>
    <w:charset w:val="01"/>
    <w:family w:val="auto"/>
    <w:pitch w:val="default"/>
    <w:sig w:usb0="00000000"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3" w:usb1="00000000" w:usb2="00000100" w:usb3="00000000" w:csb0="00000001"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8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宋体"/>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altName w:val="Bodoni MT Poster Compressed"/>
    <w:panose1 w:val="02070603080606020203"/>
    <w:charset w:val="01"/>
    <w:family w:val="auto"/>
    <w:pitch w:val="default"/>
    <w:sig w:usb0="00000000"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altName w:val="Chiller"/>
    <w:panose1 w:val="04020505051007020D02"/>
    <w:charset w:val="01"/>
    <w:family w:val="auto"/>
    <w:pitch w:val="default"/>
    <w:sig w:usb0="00000000"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20B0502040204020203"/>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altName w:val="PMingLiU-ExtB"/>
    <w:panose1 w:val="02020502060505020804"/>
    <w:charset w:val="01"/>
    <w:family w:val="auto"/>
    <w:pitch w:val="default"/>
    <w:sig w:usb0="00000000"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B0604020202020204"/>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altName w:val="Vrinda"/>
    <w:panose1 w:val="020B0902020104020203"/>
    <w:charset w:val="EE"/>
    <w:family w:val="auto"/>
    <w:pitch w:val="default"/>
    <w:sig w:usb0="00000000"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altName w:val="Segoe Print"/>
    <w:panose1 w:val="02060603020205020403"/>
    <w:charset w:val="01"/>
    <w:family w:val="auto"/>
    <w:pitch w:val="default"/>
    <w:sig w:usb0="00000000"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E00002FF" w:usb1="6AC7FDFB" w:usb2="00000012"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altName w:val="Mongolian Baiti"/>
    <w:panose1 w:val="03020402040607040605"/>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altName w:val="Arial"/>
    <w:panose1 w:val="020F0704030504030204"/>
    <w:charset w:val="01"/>
    <w:family w:val="auto"/>
    <w:pitch w:val="default"/>
    <w:sig w:usb0="00000000"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E00002FF" w:usb1="6AC7FDFB" w:usb2="00000012"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altName w:val="Segoe Print"/>
    <w:panose1 w:val="020E0507020206020404"/>
    <w:charset w:val="01"/>
    <w:family w:val="auto"/>
    <w:pitch w:val="default"/>
    <w:sig w:usb0="00000000"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altName w:val="Segoe Print"/>
    <w:panose1 w:val="02060603050405020104"/>
    <w:charset w:val="01"/>
    <w:family w:val="auto"/>
    <w:pitch w:val="default"/>
    <w:sig w:usb0="00000000"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E1002AFF" w:usb1="C0000002"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宋体"/>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altName w:val="Segoe Print"/>
    <w:panose1 w:val="020B0706030402020204"/>
    <w:charset w:val="01"/>
    <w:family w:val="auto"/>
    <w:pitch w:val="default"/>
    <w:sig w:usb0="00000000"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altName w:val="Trebuchet MS"/>
    <w:panose1 w:val="020B0703020102020204"/>
    <w:charset w:val="01"/>
    <w:family w:val="auto"/>
    <w:pitch w:val="default"/>
    <w:sig w:usb0="00000000"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altName w:val="Segoe Print"/>
    <w:panose1 w:val="020A0402060406010301"/>
    <w:charset w:val="01"/>
    <w:family w:val="auto"/>
    <w:pitch w:val="default"/>
    <w:sig w:usb0="00000000"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altName w:val="Segoe Print"/>
    <w:panose1 w:val="02070606080606020203"/>
    <w:charset w:val="01"/>
    <w:family w:val="auto"/>
    <w:pitch w:val="default"/>
    <w:sig w:usb0="00000000"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200000B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宋体"/>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altName w:val="Britannic Bold"/>
    <w:panose1 w:val="020B0903020102020204"/>
    <w:charset w:val="01"/>
    <w:family w:val="auto"/>
    <w:pitch w:val="default"/>
    <w:sig w:usb0="00000000"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altName w:val="Mongolian Baiti"/>
    <w:panose1 w:val="03060902040502070203"/>
    <w:charset w:val="01"/>
    <w:family w:val="auto"/>
    <w:pitch w:val="default"/>
    <w:sig w:usb0="00000000"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altName w:val="Mongolian Baiti"/>
    <w:panose1 w:val="03070502040507070304"/>
    <w:charset w:val="01"/>
    <w:family w:val="auto"/>
    <w:pitch w:val="default"/>
    <w:sig w:usb0="00000000"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altName w:val="Colonna MT"/>
    <w:panose1 w:val="04020605060303030202"/>
    <w:charset w:val="01"/>
    <w:family w:val="auto"/>
    <w:pitch w:val="default"/>
    <w:sig w:usb0="00000000"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altName w:val="Bookman Old Style"/>
    <w:panose1 w:val="02040604050505020304"/>
    <w:charset w:val="01"/>
    <w:family w:val="auto"/>
    <w:pitch w:val="default"/>
    <w:sig w:usb0="00000000"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altName w:val="Malgun Gothic"/>
    <w:panose1 w:val="020B0503020102020204"/>
    <w:charset w:val="01"/>
    <w:family w:val="auto"/>
    <w:pitch w:val="default"/>
    <w:sig w:usb0="00000000"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altName w:val="Segoe Print"/>
    <w:panose1 w:val="02060903040505020403"/>
    <w:charset w:val="01"/>
    <w:family w:val="auto"/>
    <w:pitch w:val="default"/>
    <w:sig w:usb0="00000000"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altName w:val="Segoe Print"/>
    <w:panose1 w:val="020B0907030504020204"/>
    <w:charset w:val="01"/>
    <w:family w:val="auto"/>
    <w:pitch w:val="default"/>
    <w:sig w:usb0="00000000"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altName w:val="Vrinda"/>
    <w:panose1 w:val="020B0A02020104020203"/>
    <w:charset w:val="01"/>
    <w:family w:val="auto"/>
    <w:pitch w:val="default"/>
    <w:sig w:usb0="00000000"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E00002FF" w:usb1="6AC7FDFB" w:usb2="00000012"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200000B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微软雅黑 Light">
    <w:altName w:val="黑体"/>
    <w:panose1 w:val="020B0502040204020203"/>
    <w:charset w:val="86"/>
    <w:family w:val="auto"/>
    <w:pitch w:val="default"/>
    <w:sig w:usb0="00000000" w:usb1="00000000" w:usb2="00000016" w:usb3="00000000" w:csb0="0004001F"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汉仪颜楷繁">
    <w:panose1 w:val="02010609000101010101"/>
    <w:charset w:val="86"/>
    <w:family w:val="auto"/>
    <w:pitch w:val="default"/>
    <w:sig w:usb0="00000001" w:usb1="080E0800" w:usb2="00000002"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方正祥隶繁体">
    <w:panose1 w:val="03000509000000000000"/>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Menlo">
    <w:altName w:val="MingLiU"/>
    <w:panose1 w:val="00000000000000000000"/>
    <w:charset w:val="00"/>
    <w:family w:val="auto"/>
    <w:pitch w:val="default"/>
    <w:sig w:usb0="00000000" w:usb1="00000000" w:usb2="00000000" w:usb3="00000000" w:csb0="0004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Mesquite Std">
    <w:altName w:val="Jokerman"/>
    <w:panose1 w:val="04090703060E02020A04"/>
    <w:charset w:val="00"/>
    <w:family w:val="auto"/>
    <w:pitch w:val="default"/>
    <w:sig w:usb0="00000000"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Adobe 宋体 Std L">
    <w:altName w:val="宋体"/>
    <w:panose1 w:val="02020300000000000000"/>
    <w:charset w:val="01"/>
    <w:family w:val="auto"/>
    <w:pitch w:val="default"/>
    <w:sig w:usb0="00000000" w:usb1="00000000" w:usb2="46E4DE86" w:usb3="0314BCC8" w:csb0="03308BE0" w:csb1="0013EE24"/>
  </w:font>
  <w:font w:name="Adobe 黑体 Std R">
    <w:altName w:val="黑体"/>
    <w:panose1 w:val="020B0400000000000000"/>
    <w:charset w:val="01"/>
    <w:family w:val="auto"/>
    <w:pitch w:val="default"/>
    <w:sig w:usb0="00000000" w:usb1="00000000" w:usb2="00000000" w:usb3="00000000" w:csb0="00040001" w:csb1="00000000"/>
  </w:font>
  <w:font w:name="quc-icon">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汉鼎简行楷">
    <w:panose1 w:val="02010609000101010101"/>
    <w:charset w:val="00"/>
    <w:family w:val="auto"/>
    <w:pitch w:val="default"/>
    <w:sig w:usb0="00000000" w:usb1="00000000" w:usb2="00000000" w:usb3="00000000" w:csb0="00000000" w:csb1="00000000"/>
  </w:font>
  <w:font w:name="-apple-system-font">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Microsoft Sans Serif">
    <w:panose1 w:val="020B0604020202020204"/>
    <w:charset w:val="00"/>
    <w:family w:val="auto"/>
    <w:pitch w:val="default"/>
    <w:sig w:usb0="E1002AFF" w:usb1="C0000002"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Matura MT Script Capitals">
    <w:panose1 w:val="030208020606020702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layui-icon">
    <w:altName w:val="MingLiU"/>
    <w:panose1 w:val="00000000000000000000"/>
    <w:charset w:val="00"/>
    <w:family w:val="auto"/>
    <w:pitch w:val="default"/>
    <w:sig w:usb0="00000000" w:usb1="00000000" w:usb2="00000000" w:usb3="00000000" w:csb0="00000000" w:csb1="00000000"/>
  </w:font>
  <w:font w:name="Z@R4.tmp (Arabic)">
    <w:altName w:val="Times New Roman"/>
    <w:panose1 w:val="00000000000000000000"/>
    <w:charset w:val="B2"/>
    <w:family w:val="auto"/>
    <w:pitch w:val="default"/>
    <w:sig w:usb0="00000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D0ED1"/>
    <w:multiLevelType w:val="singleLevel"/>
    <w:tmpl w:val="5D2D0ED1"/>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357DE"/>
    <w:rsid w:val="37500C6D"/>
    <w:rsid w:val="7C01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spacing w:line="360" w:lineRule="auto"/>
      <w:ind w:firstLine="200" w:firstLineChars="200"/>
    </w:pPr>
    <w:rPr>
      <w:sz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2019-09-12T07:19:04Z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