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60" w:lineRule="exact"/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line="760" w:lineRule="exact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青海省人民代表大会常务委员会关于修改</w:t>
      </w:r>
    </w:p>
    <w:p>
      <w:pPr>
        <w:spacing w:line="760" w:lineRule="exact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44"/>
          <w:szCs w:val="44"/>
        </w:rPr>
        <w:t>《青海省邮政条例》等五部地方性法规的决定</w:t>
      </w:r>
    </w:p>
    <w:p>
      <w:pPr>
        <w:pStyle w:val="2"/>
        <w:rPr>
          <w:rFonts w:hint="eastAsia"/>
        </w:rPr>
      </w:pPr>
    </w:p>
    <w:p>
      <w:pPr>
        <w:spacing w:line="500" w:lineRule="exact"/>
        <w:jc w:val="center"/>
        <w:rPr>
          <w:rFonts w:ascii="楷体_GB2312" w:eastAsia="楷体_GB2312"/>
          <w:b w:val="0"/>
          <w:bCs w:val="0"/>
          <w:spacing w:val="-4"/>
          <w:sz w:val="32"/>
          <w:szCs w:val="32"/>
        </w:rPr>
      </w:pPr>
      <w:r>
        <w:rPr>
          <w:rFonts w:hint="eastAsia" w:ascii="楷体_GB2312" w:eastAsia="楷体_GB2312"/>
          <w:b w:val="0"/>
          <w:bCs w:val="0"/>
          <w:sz w:val="32"/>
          <w:szCs w:val="32"/>
        </w:rPr>
        <w:t>（</w:t>
      </w:r>
      <w:r>
        <w:rPr>
          <w:rFonts w:hint="eastAsia" w:ascii="楷体_GB2312" w:eastAsia="楷体_GB2312"/>
          <w:b w:val="0"/>
          <w:bCs w:val="0"/>
          <w:spacing w:val="-4"/>
          <w:sz w:val="32"/>
          <w:szCs w:val="32"/>
        </w:rPr>
        <w:t>2022年11月29日青海省第十三届人民代表大会</w:t>
      </w:r>
    </w:p>
    <w:p>
      <w:pPr>
        <w:tabs>
          <w:tab w:val="left" w:pos="420"/>
          <w:tab w:val="left" w:pos="630"/>
        </w:tabs>
        <w:spacing w:line="600" w:lineRule="exact"/>
        <w:jc w:val="center"/>
        <w:rPr>
          <w:rFonts w:ascii="楷体_GB2312" w:eastAsia="楷体_GB2312"/>
          <w:b w:val="0"/>
          <w:bCs w:val="0"/>
          <w:sz w:val="32"/>
          <w:szCs w:val="32"/>
        </w:rPr>
      </w:pPr>
      <w:r>
        <w:rPr>
          <w:rFonts w:hint="eastAsia" w:ascii="楷体_GB2312" w:eastAsia="楷体_GB2312"/>
          <w:b w:val="0"/>
          <w:bCs w:val="0"/>
          <w:spacing w:val="-4"/>
          <w:sz w:val="32"/>
          <w:szCs w:val="32"/>
        </w:rPr>
        <w:t>常务委员会</w:t>
      </w:r>
      <w:r>
        <w:rPr>
          <w:rFonts w:hint="eastAsia" w:ascii="楷体_GB2312" w:eastAsia="楷体_GB2312"/>
          <w:b w:val="0"/>
          <w:bCs w:val="0"/>
          <w:sz w:val="32"/>
          <w:szCs w:val="32"/>
        </w:rPr>
        <w:t>第三十六次会议通过）</w:t>
      </w:r>
    </w:p>
    <w:p>
      <w:pPr>
        <w:tabs>
          <w:tab w:val="left" w:pos="420"/>
          <w:tab w:val="left" w:pos="630"/>
        </w:tabs>
        <w:spacing w:line="600" w:lineRule="exact"/>
        <w:ind w:firstLine="624" w:firstLineChars="200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tabs>
          <w:tab w:val="left" w:pos="420"/>
          <w:tab w:val="left" w:pos="630"/>
        </w:tabs>
        <w:spacing w:line="600" w:lineRule="exact"/>
        <w:ind w:firstLine="624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青海省第十三届人民代表大会常务委员会第三十六次会议决定：</w:t>
      </w:r>
    </w:p>
    <w:p>
      <w:pPr>
        <w:snapToGrid w:val="0"/>
        <w:spacing w:line="640" w:lineRule="exact"/>
        <w:ind w:firstLine="624" w:firstLineChars="200"/>
        <w:rPr>
          <w:rFonts w:ascii="黑体" w:eastAsia="黑体"/>
          <w:b w:val="0"/>
          <w:bCs/>
          <w:sz w:val="32"/>
          <w:szCs w:val="32"/>
        </w:rPr>
      </w:pPr>
      <w:r>
        <w:rPr>
          <w:rFonts w:hint="eastAsia" w:ascii="黑体" w:eastAsia="黑体"/>
          <w:b w:val="0"/>
          <w:bCs/>
          <w:sz w:val="32"/>
          <w:szCs w:val="32"/>
        </w:rPr>
        <w:t>一、对《青海省邮政条例》作出修改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（一）</w:t>
      </w:r>
      <w:r>
        <w:rPr>
          <w:rFonts w:hint="eastAsia" w:ascii="仿宋_GB2312" w:eastAsia="仿宋_GB2312"/>
          <w:sz w:val="32"/>
          <w:szCs w:val="32"/>
        </w:rPr>
        <w:t>第六条增加一款，作为第二款：“邮政企业、快递企业应当履行生态环境保护责任，按照规定使用环保包装材料，实现包装材料的减量化、标准化和循环化。”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（二）</w:t>
      </w:r>
      <w:r>
        <w:rPr>
          <w:rFonts w:hint="eastAsia" w:ascii="仿宋_GB2312" w:eastAsia="仿宋_GB2312"/>
          <w:sz w:val="32"/>
          <w:szCs w:val="32"/>
        </w:rPr>
        <w:t>将第十二条、第二十一条中的“信报箱”修改为“智能快件（信包）箱”。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（三）将第三十五条修改为：“邮政企业、快递企业应当建立邮件、快件安全管理制度，及时发现并消除事故隐患。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“邮政企业、快递企业应当按照有关规定，在邮件、快件营业场所和处理场所安装安全监控设备。安全监控设备应当保持全天二十四小时运转，保存连续完整的监控资料，保存时间不得少于三十日。营业场所交寄、接收、验视、安检、提取区域以及智能快件（信包）箱放置区域的监控资料保存时间不得少于九十日。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“邮政企业、快递企业应当按照有关规定，在邮件、快件处理场所安装符合强制性国家标准的安全检查设备，配备专业安检员。”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（四）将第五十九条修改为：“违反本条例第三十五条第二款、第三款规定的，由邮政管理部门责令改正；逾期未改正的，可以处三千元以上一万元以下罚款。”</w:t>
      </w:r>
    </w:p>
    <w:p>
      <w:pPr>
        <w:snapToGrid w:val="0"/>
        <w:spacing w:line="640" w:lineRule="exact"/>
        <w:ind w:firstLine="624" w:firstLineChars="200"/>
        <w:rPr>
          <w:rFonts w:ascii="黑体" w:eastAsia="黑体"/>
          <w:b w:val="0"/>
          <w:bCs/>
          <w:sz w:val="32"/>
          <w:szCs w:val="32"/>
        </w:rPr>
      </w:pPr>
      <w:r>
        <w:rPr>
          <w:rFonts w:hint="eastAsia" w:ascii="黑体" w:eastAsia="黑体"/>
          <w:b w:val="0"/>
          <w:bCs/>
          <w:sz w:val="32"/>
          <w:szCs w:val="32"/>
        </w:rPr>
        <w:t>二、对《青海省实施〈中华人民共和国招标投标法〉办法》作出修改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</w:t>
      </w:r>
      <w:r>
        <w:rPr>
          <w:rFonts w:hint="eastAsia" w:ascii="仿宋_GB2312" w:eastAsia="仿宋_GB2312"/>
          <w:sz w:val="32"/>
          <w:szCs w:val="32"/>
        </w:rPr>
        <w:t>增加一条，作为第三十五条：“</w:t>
      </w:r>
      <w:r>
        <w:rPr>
          <w:rFonts w:ascii="仿宋_GB2312" w:eastAsia="仿宋_GB2312"/>
          <w:sz w:val="32"/>
          <w:szCs w:val="32"/>
        </w:rPr>
        <w:t>违反本</w:t>
      </w:r>
      <w:r>
        <w:rPr>
          <w:rFonts w:hint="eastAsia" w:ascii="仿宋_GB2312" w:eastAsia="仿宋_GB2312"/>
          <w:sz w:val="32"/>
          <w:szCs w:val="32"/>
        </w:rPr>
        <w:t>办法</w:t>
      </w:r>
      <w:r>
        <w:rPr>
          <w:rFonts w:ascii="仿宋_GB2312" w:eastAsia="仿宋_GB2312"/>
          <w:sz w:val="32"/>
          <w:szCs w:val="32"/>
        </w:rPr>
        <w:t>规定的行为，法律法规已规定法律责任的，从其规定</w:t>
      </w:r>
      <w:r>
        <w:rPr>
          <w:rFonts w:hint="eastAsia" w:ascii="仿宋_GB2312" w:eastAsia="仿宋_GB2312"/>
          <w:sz w:val="32"/>
          <w:szCs w:val="32"/>
        </w:rPr>
        <w:t>。”</w:t>
      </w:r>
    </w:p>
    <w:p>
      <w:pPr>
        <w:pStyle w:val="4"/>
        <w:snapToGrid w:val="0"/>
        <w:spacing w:line="640" w:lineRule="exact"/>
        <w:ind w:firstLine="640"/>
        <w:rPr>
          <w:rFonts w:cs="Times New Roman"/>
          <w:b w:val="0"/>
          <w:bCs w:val="0"/>
          <w:szCs w:val="32"/>
        </w:rPr>
      </w:pPr>
      <w:r>
        <w:rPr>
          <w:rFonts w:hint="eastAsia" w:cs="Times New Roman"/>
          <w:b w:val="0"/>
          <w:bCs w:val="0"/>
          <w:szCs w:val="32"/>
        </w:rPr>
        <w:t>（二）将第三十六条中的“有关行政部门应当责令招标人限期改正”修改为“有关行政部门应当责令招标人限期改正，可以处十万元以下的罚款”。</w:t>
      </w:r>
    </w:p>
    <w:p>
      <w:pPr>
        <w:pStyle w:val="5"/>
        <w:spacing w:line="640" w:lineRule="exact"/>
        <w:ind w:firstLine="624" w:firstLineChars="200"/>
        <w:jc w:val="both"/>
      </w:pPr>
      <w:r>
        <w:rPr>
          <w:rFonts w:hint="eastAsia" w:ascii="仿宋_GB2312" w:eastAsia="仿宋_GB2312"/>
          <w:sz w:val="32"/>
          <w:szCs w:val="32"/>
        </w:rPr>
        <w:t>（三）删去</w:t>
      </w:r>
      <w:r>
        <w:rPr>
          <w:rFonts w:hint="eastAsia" w:ascii="仿宋_GB2312" w:hAnsi="仿宋_GB2312" w:eastAsia="仿宋_GB2312" w:cs="仿宋_GB2312"/>
          <w:sz w:val="32"/>
          <w:szCs w:val="32"/>
        </w:rPr>
        <w:t>第四条、</w:t>
      </w:r>
      <w:r>
        <w:rPr>
          <w:rFonts w:hint="eastAsia" w:ascii="仿宋_GB2312" w:eastAsia="仿宋_GB2312"/>
          <w:sz w:val="32"/>
          <w:szCs w:val="32"/>
        </w:rPr>
        <w:t>第三十七条第（二）项。</w:t>
      </w:r>
    </w:p>
    <w:p>
      <w:pPr>
        <w:snapToGrid w:val="0"/>
        <w:spacing w:line="640" w:lineRule="exact"/>
        <w:ind w:firstLine="624" w:firstLineChars="200"/>
        <w:rPr>
          <w:rFonts w:ascii="黑体" w:eastAsia="黑体"/>
          <w:b w:val="0"/>
          <w:bCs/>
          <w:sz w:val="32"/>
          <w:szCs w:val="32"/>
        </w:rPr>
      </w:pPr>
      <w:r>
        <w:rPr>
          <w:rFonts w:hint="eastAsia" w:ascii="黑体" w:eastAsia="黑体"/>
          <w:b w:val="0"/>
          <w:bCs/>
          <w:sz w:val="32"/>
          <w:szCs w:val="32"/>
        </w:rPr>
        <w:t>三、对《青海省非税收入管理条例》作出修改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将第三条修改为：“本条例所称非税收入，是指除税收以外，由各级国家机关、事业单位、代行政府职能的社会团体及其他组织依法利用政府权力、政府信誉、国有资源（资产）所有者权益等取得的各项收入。非税收入包括：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（一）行政事业性收费收入；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（二）政府性基金收入；</w:t>
      </w:r>
    </w:p>
    <w:p>
      <w:pPr>
        <w:snapToGrid w:val="0"/>
        <w:spacing w:line="640" w:lineRule="exact"/>
        <w:ind w:left="624" w:leftChars="200" w:firstLine="0" w:firstLineChars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（三）罚没收入；</w:t>
      </w:r>
      <w:r>
        <w:rPr>
          <w:rFonts w:hint="eastAsia" w:ascii="仿宋_GB2312" w:eastAsia="仿宋_GB2312"/>
          <w:sz w:val="32"/>
          <w:szCs w:val="32"/>
        </w:rPr>
        <w:br w:type="textWrapping"/>
      </w:r>
      <w:r>
        <w:rPr>
          <w:rFonts w:hint="eastAsia" w:ascii="仿宋_GB2312" w:eastAsia="仿宋_GB2312"/>
          <w:sz w:val="32"/>
          <w:szCs w:val="32"/>
        </w:rPr>
        <w:t>（四）国有资源（资产）有偿使用收入；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（五）国有资本收益；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（六）彩票公益金收入；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（七）特许经营收入；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（八）以政府名义接受的捐赠收入；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（九）政府收入的利息收入；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（十）其他非税收入</w:t>
      </w:r>
      <w:r>
        <w:rPr>
          <w:rFonts w:hint="eastAsia"/>
          <w:sz w:val="32"/>
          <w:szCs w:val="32"/>
        </w:rPr>
        <w:t>。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“本条例所称非税收入不包括社会保险费、住房公积金（指计入缴存人个人账户部分）。”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（二）删去第十条第二款。</w:t>
      </w:r>
    </w:p>
    <w:p>
      <w:pPr>
        <w:pStyle w:val="4"/>
        <w:snapToGrid w:val="0"/>
        <w:spacing w:line="640" w:lineRule="exact"/>
        <w:ind w:firstLine="640"/>
        <w:rPr>
          <w:rFonts w:cs="Times New Roman"/>
          <w:b w:val="0"/>
          <w:bCs w:val="0"/>
          <w:szCs w:val="32"/>
        </w:rPr>
      </w:pPr>
      <w:r>
        <w:rPr>
          <w:rFonts w:hint="eastAsia" w:cs="Times New Roman"/>
          <w:b w:val="0"/>
          <w:bCs w:val="0"/>
          <w:szCs w:val="32"/>
        </w:rPr>
        <w:t>（三）将第十五条第四款中的“应当在二十个工作日内审批并退付”修改为“应当在二十个工作日内审批并退付给执收单位或者受委托单位”。</w:t>
      </w:r>
    </w:p>
    <w:p>
      <w:pPr>
        <w:snapToGrid w:val="0"/>
        <w:spacing w:line="640" w:lineRule="exact"/>
        <w:ind w:firstLine="624" w:firstLineChars="200"/>
        <w:rPr>
          <w:rFonts w:ascii="黑体" w:eastAsia="黑体"/>
          <w:b w:val="0"/>
          <w:bCs/>
          <w:sz w:val="32"/>
          <w:szCs w:val="32"/>
        </w:rPr>
      </w:pPr>
      <w:r>
        <w:rPr>
          <w:rFonts w:hint="eastAsia" w:ascii="黑体" w:eastAsia="黑体"/>
          <w:b w:val="0"/>
          <w:bCs/>
          <w:sz w:val="32"/>
          <w:szCs w:val="32"/>
        </w:rPr>
        <w:t>四、对《青海省实施〈中华人民共和国母婴保健法〉办法》作出修改</w:t>
      </w:r>
    </w:p>
    <w:p>
      <w:pPr>
        <w:pStyle w:val="4"/>
        <w:snapToGrid w:val="0"/>
        <w:spacing w:line="640" w:lineRule="exact"/>
        <w:ind w:firstLine="640"/>
        <w:rPr>
          <w:rFonts w:cs="Times New Roman"/>
          <w:b w:val="0"/>
          <w:bCs w:val="0"/>
          <w:szCs w:val="32"/>
        </w:rPr>
      </w:pPr>
      <w:r>
        <w:rPr>
          <w:rFonts w:hint="eastAsia" w:cs="Times New Roman"/>
          <w:b w:val="0"/>
          <w:bCs w:val="0"/>
          <w:szCs w:val="32"/>
        </w:rPr>
        <w:t>（一）删去第二条第二款。</w:t>
      </w:r>
    </w:p>
    <w:p>
      <w:pPr>
        <w:pStyle w:val="4"/>
        <w:snapToGrid w:val="0"/>
        <w:spacing w:line="640" w:lineRule="exact"/>
        <w:ind w:firstLine="640"/>
        <w:rPr>
          <w:rStyle w:val="9"/>
          <w:rFonts w:hAnsi="仿宋_GB2312" w:cs="仿宋_GB2312"/>
          <w:b w:val="0"/>
          <w:color w:val="000000"/>
          <w:szCs w:val="32"/>
          <w:shd w:val="clear" w:color="auto" w:fill="FFFFFF"/>
        </w:rPr>
      </w:pPr>
      <w:r>
        <w:rPr>
          <w:rStyle w:val="9"/>
          <w:rFonts w:hint="eastAsia" w:hAnsi="仿宋_GB2312" w:cs="仿宋_GB2312"/>
          <w:b w:val="0"/>
          <w:color w:val="000000"/>
          <w:szCs w:val="32"/>
          <w:shd w:val="clear" w:color="auto" w:fill="FFFFFF"/>
        </w:rPr>
        <w:t>（二）将第三条、第四条中的“贫困地区”修改为“脱贫地区”。</w:t>
      </w:r>
    </w:p>
    <w:p>
      <w:pPr>
        <w:pStyle w:val="4"/>
        <w:snapToGrid w:val="0"/>
        <w:spacing w:line="640" w:lineRule="exact"/>
        <w:ind w:firstLine="640"/>
        <w:rPr>
          <w:rFonts w:cs="Times New Roman"/>
          <w:b w:val="0"/>
          <w:bCs w:val="0"/>
          <w:szCs w:val="32"/>
        </w:rPr>
      </w:pPr>
      <w:r>
        <w:rPr>
          <w:rFonts w:hint="eastAsia" w:cs="Times New Roman"/>
          <w:b w:val="0"/>
          <w:bCs w:val="0"/>
          <w:szCs w:val="32"/>
        </w:rPr>
        <w:t>（三）将第十条第二款第二项中的“州级”修改为“县级”。</w:t>
      </w:r>
    </w:p>
    <w:p>
      <w:pPr>
        <w:pStyle w:val="4"/>
        <w:snapToGrid w:val="0"/>
        <w:spacing w:line="640" w:lineRule="exact"/>
        <w:ind w:firstLine="640"/>
        <w:rPr>
          <w:rFonts w:cs="Times New Roman"/>
          <w:b w:val="0"/>
          <w:bCs w:val="0"/>
          <w:szCs w:val="32"/>
        </w:rPr>
      </w:pPr>
      <w:r>
        <w:rPr>
          <w:rFonts w:hint="eastAsia" w:cs="Times New Roman"/>
          <w:b w:val="0"/>
          <w:bCs w:val="0"/>
          <w:szCs w:val="32"/>
        </w:rPr>
        <w:t>将第三项修改为：“（三）</w:t>
      </w:r>
      <w:r>
        <w:rPr>
          <w:rStyle w:val="9"/>
          <w:rFonts w:hint="eastAsia" w:hAnsi="仿宋_GB2312" w:cs="仿宋_GB2312"/>
          <w:b w:val="0"/>
          <w:color w:val="000000"/>
          <w:szCs w:val="32"/>
          <w:shd w:val="clear" w:color="auto" w:fill="FFFFFF"/>
        </w:rPr>
        <w:t>开展遗传病诊断、产前诊断的，由省人民政府卫生健康行政部门审批；但是，从事产前诊断中产前筛查的，由县级人民政府卫生健康行政部门审批。</w:t>
      </w:r>
      <w:r>
        <w:rPr>
          <w:rFonts w:hint="eastAsia" w:cs="Times New Roman"/>
          <w:b w:val="0"/>
          <w:bCs w:val="0"/>
          <w:szCs w:val="32"/>
        </w:rPr>
        <w:t>”</w:t>
      </w:r>
    </w:p>
    <w:p>
      <w:pPr>
        <w:pStyle w:val="4"/>
        <w:snapToGrid w:val="0"/>
        <w:spacing w:line="640" w:lineRule="exact"/>
        <w:ind w:firstLine="640"/>
        <w:rPr>
          <w:rFonts w:ascii="黑体" w:eastAsia="黑体"/>
          <w:b w:val="0"/>
          <w:szCs w:val="32"/>
        </w:rPr>
      </w:pPr>
      <w:r>
        <w:rPr>
          <w:rFonts w:hint="eastAsia" w:cs="Times New Roman"/>
          <w:b w:val="0"/>
          <w:bCs w:val="0"/>
          <w:szCs w:val="32"/>
        </w:rPr>
        <w:t>（四）将第十六条、第二十二条、第二十五条中的“贫困户”修改为“易返贫致贫人口”。</w:t>
      </w:r>
    </w:p>
    <w:p>
      <w:pPr>
        <w:snapToGrid w:val="0"/>
        <w:spacing w:line="640" w:lineRule="exact"/>
        <w:ind w:firstLine="624" w:firstLineChars="200"/>
        <w:rPr>
          <w:rFonts w:ascii="黑体" w:eastAsia="黑体"/>
          <w:b w:val="0"/>
          <w:bCs/>
          <w:sz w:val="32"/>
          <w:szCs w:val="32"/>
        </w:rPr>
      </w:pPr>
      <w:r>
        <w:rPr>
          <w:rFonts w:hint="eastAsia" w:ascii="黑体" w:eastAsia="黑体"/>
          <w:b w:val="0"/>
          <w:bCs/>
          <w:sz w:val="32"/>
          <w:szCs w:val="32"/>
        </w:rPr>
        <w:t>五、对《青海省气象条例》作出修改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（一）将第九条第三款中的“</w:t>
      </w:r>
      <w:r>
        <w:rPr>
          <w:rFonts w:hint="eastAsia" w:ascii="仿宋_GB2312" w:hAnsi="仿宋_GB2312" w:eastAsia="仿宋_GB2312" w:cs="仿宋_GB2312"/>
          <w:sz w:val="32"/>
          <w:szCs w:val="32"/>
        </w:rPr>
        <w:t>建设和国土资源</w:t>
      </w:r>
      <w:r>
        <w:rPr>
          <w:rFonts w:hint="eastAsia" w:eastAsia="仿宋_GB2312"/>
          <w:sz w:val="32"/>
          <w:szCs w:val="32"/>
        </w:rPr>
        <w:t>”修改为“住房城乡建设和自然资源”。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（二）</w:t>
      </w:r>
      <w:r>
        <w:rPr>
          <w:rFonts w:hint="eastAsia" w:ascii="仿宋_GB2312" w:eastAsia="仿宋_GB2312"/>
          <w:sz w:val="32"/>
          <w:szCs w:val="32"/>
        </w:rPr>
        <w:t>将第二十条第一款中的“农牧”修改为“农业农村”，“国土资源”修改为“自然资源”。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（三）将第二十一条中的“干旱、暴雨、冰雹、大风、沙尘暴、霜冻、寒潮、雪灾、低温、高温、雷电”修改为“干旱、暴雨、暴雪、寒潮、冰雹、霜冻、低温、高温、雷电、大风、沙尘暴、大雾、霾”。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（四）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将第二十五条改为第二十四条，</w:t>
      </w:r>
      <w:r>
        <w:rPr>
          <w:rFonts w:hint="eastAsia" w:ascii="仿宋_GB2312" w:eastAsia="仿宋_GB2312"/>
          <w:sz w:val="32"/>
          <w:szCs w:val="32"/>
        </w:rPr>
        <w:t>第一款修改为：“</w:t>
      </w:r>
      <w:r>
        <w:rPr>
          <w:rFonts w:hint="eastAsia" w:ascii="仿宋_GB2312" w:hAnsi="仿宋_GB2312" w:eastAsia="仿宋_GB2312" w:cs="仿宋_GB2312"/>
          <w:sz w:val="32"/>
          <w:szCs w:val="32"/>
        </w:rPr>
        <w:t>气象主管机构应当加强对雷电灾害防御工作的组织管理，做好雷电监测、预报预警、雷电灾害调查鉴定和防雷科普宣传，划分雷电易发区域及其防范等级并及时向社会公布。</w:t>
      </w:r>
      <w:r>
        <w:rPr>
          <w:rFonts w:hint="eastAsia" w:ascii="仿宋_GB2312" w:eastAsia="仿宋_GB2312"/>
          <w:sz w:val="32"/>
          <w:szCs w:val="32"/>
        </w:rPr>
        <w:t xml:space="preserve">” </w:t>
      </w:r>
    </w:p>
    <w:p>
      <w:pPr>
        <w:snapToGrid w:val="0"/>
        <w:spacing w:line="640" w:lineRule="exact"/>
        <w:ind w:firstLine="624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增加一款，作为第二款：“房屋建筑、市政基础设施、公路、水路、铁路、民航、水利、电力、通信等行业主管部门依法履行建设工程防雷监管职责，明确和落实建设工程设计、施工、监理、检测单位以及业主单位等在防雷工程质量安全方面的主体责任。”</w:t>
      </w:r>
    </w:p>
    <w:p>
      <w:pPr>
        <w:snapToGrid w:val="0"/>
        <w:spacing w:line="640" w:lineRule="exact"/>
        <w:ind w:firstLine="624" w:firstLineChars="200"/>
        <w:rPr>
          <w:rFonts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（五）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将第二十八条改为第二十七条，第一款修改为：“</w:t>
      </w:r>
      <w:r>
        <w:rPr>
          <w:rFonts w:hint="eastAsia" w:ascii="仿宋_GB2312" w:hAnsi="仿宋_GB2312" w:eastAsia="仿宋_GB2312" w:cs="仿宋_GB2312"/>
          <w:sz w:val="32"/>
          <w:szCs w:val="32"/>
        </w:rPr>
        <w:t>投入使用后的雷电防护装置实行定期检测制度，其中易燃易爆场所应当每半年检测一次，并接受气象主管机构、行业主管部门和应急管理部门的监督检查。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”</w:t>
      </w:r>
    </w:p>
    <w:p>
      <w:pPr>
        <w:snapToGrid w:val="0"/>
        <w:spacing w:line="640" w:lineRule="exact"/>
        <w:ind w:firstLine="624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（六）</w:t>
      </w:r>
      <w:r>
        <w:rPr>
          <w:rFonts w:hint="eastAsia" w:ascii="Times New Roman" w:hAnsi="Times New Roman" w:eastAsia="仿宋_GB2312"/>
          <w:sz w:val="32"/>
          <w:szCs w:val="32"/>
        </w:rPr>
        <w:t>将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第四十一条改为第四十条，其中的</w:t>
      </w:r>
      <w:r>
        <w:rPr>
          <w:rFonts w:hint="eastAsia" w:ascii="Times New Roman" w:hAnsi="Times New Roman" w:eastAsia="仿宋_GB2312"/>
          <w:sz w:val="32"/>
          <w:szCs w:val="32"/>
        </w:rPr>
        <w:t>“行政处分”修改为“处分”。</w:t>
      </w:r>
    </w:p>
    <w:p>
      <w:pPr>
        <w:snapToGrid w:val="0"/>
        <w:spacing w:line="640" w:lineRule="exact"/>
        <w:ind w:firstLine="624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（七）删去第二十四条、第四十三条。</w:t>
      </w:r>
    </w:p>
    <w:p>
      <w:pPr>
        <w:tabs>
          <w:tab w:val="left" w:pos="420"/>
          <w:tab w:val="left" w:pos="630"/>
        </w:tabs>
        <w:spacing w:line="600" w:lineRule="exact"/>
        <w:ind w:firstLine="624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本决定自公布之日起施行。</w:t>
      </w:r>
    </w:p>
    <w:p>
      <w:pPr>
        <w:snapToGrid w:val="0"/>
        <w:spacing w:line="640" w:lineRule="exact"/>
        <w:ind w:firstLine="624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《青海省邮政条例》《青海省实施</w:t>
      </w: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>〈</w:t>
      </w:r>
      <w:r>
        <w:rPr>
          <w:rFonts w:hint="eastAsia" w:ascii="Times New Roman" w:hAnsi="Times New Roman" w:eastAsia="仿宋_GB2312"/>
          <w:sz w:val="32"/>
          <w:szCs w:val="32"/>
        </w:rPr>
        <w:t>中华人民共和国招标投标法</w:t>
      </w: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>〉</w:t>
      </w:r>
      <w:r>
        <w:rPr>
          <w:rFonts w:hint="eastAsia" w:ascii="Times New Roman" w:hAnsi="Times New Roman" w:eastAsia="仿宋_GB2312"/>
          <w:sz w:val="32"/>
          <w:szCs w:val="32"/>
        </w:rPr>
        <w:t>办法》《青海省非税收入管理条例》《青海省实施</w:t>
      </w: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>〈</w:t>
      </w:r>
      <w:r>
        <w:rPr>
          <w:rFonts w:hint="eastAsia" w:ascii="Times New Roman" w:hAnsi="Times New Roman" w:eastAsia="仿宋_GB2312"/>
          <w:sz w:val="32"/>
          <w:szCs w:val="32"/>
        </w:rPr>
        <w:t>中华人民共和国母婴保健法</w:t>
      </w: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>〉</w:t>
      </w:r>
      <w:r>
        <w:rPr>
          <w:rFonts w:hint="eastAsia" w:ascii="Times New Roman" w:hAnsi="Times New Roman" w:eastAsia="仿宋_GB2312"/>
          <w:sz w:val="32"/>
          <w:szCs w:val="32"/>
        </w:rPr>
        <w:t>办法》《青海省气象条例》根据本决定作相应修改，重新公布。</w:t>
      </w:r>
    </w:p>
    <w:p/>
    <w:sectPr>
      <w:footerReference r:id="rId3" w:type="default"/>
      <w:footerReference r:id="rId4" w:type="even"/>
      <w:pgSz w:w="11906" w:h="16838"/>
      <w:pgMar w:top="2098" w:right="1587" w:bottom="2098" w:left="1587" w:header="851" w:footer="1644" w:gutter="0"/>
      <w:pgNumType w:fmt="numberInDash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script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32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32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1Mzg0MTE4NTBiM2VjZTgzMmUxYzU4NjczNTk5MmQifQ=="/>
  </w:docVars>
  <w:rsids>
    <w:rsidRoot w:val="00000000"/>
    <w:rsid w:val="0A070AF5"/>
    <w:rsid w:val="43D55E43"/>
    <w:rsid w:val="6B27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uppressAutoHyphens/>
      <w:bidi w:val="0"/>
      <w:jc w:val="both"/>
    </w:pPr>
    <w:rPr>
      <w:rFonts w:ascii="Calibri" w:hAnsi="Calibri" w:eastAsia="仿宋_GB2312" w:cs="Times New Roman"/>
      <w:color w:val="auto"/>
      <w:kern w:val="2"/>
      <w:sz w:val="32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next w:val="1"/>
    <w:qFormat/>
    <w:uiPriority w:val="0"/>
    <w:pPr>
      <w:ind w:firstLine="420" w:firstLineChars="100"/>
    </w:pPr>
    <w:rPr>
      <w:rFonts w:ascii="Calibri" w:hAnsi="Calibri" w:cs="Calibri"/>
    </w:rPr>
  </w:style>
  <w:style w:type="paragraph" w:styleId="3">
    <w:name w:val="Body Text"/>
    <w:basedOn w:val="1"/>
    <w:next w:val="4"/>
    <w:qFormat/>
    <w:uiPriority w:val="0"/>
    <w:pPr>
      <w:spacing w:before="0" w:after="140" w:line="276" w:lineRule="auto"/>
    </w:pPr>
  </w:style>
  <w:style w:type="paragraph" w:styleId="4">
    <w:name w:val="Body Text Indent"/>
    <w:basedOn w:val="1"/>
    <w:next w:val="1"/>
    <w:qFormat/>
    <w:uiPriority w:val="0"/>
    <w:pPr>
      <w:spacing w:line="560" w:lineRule="exact"/>
      <w:ind w:firstLine="643" w:firstLineChars="200"/>
    </w:pPr>
    <w:rPr>
      <w:rFonts w:ascii="仿宋_GB2312" w:eastAsia="仿宋_GB2312" w:cs="Calibri"/>
      <w:b/>
      <w:bCs/>
      <w:sz w:val="32"/>
      <w:szCs w:val="21"/>
    </w:rPr>
  </w:style>
  <w:style w:type="paragraph" w:styleId="5">
    <w:name w:val="footer"/>
    <w:basedOn w:val="1"/>
    <w:next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1930</Words>
  <Characters>1935</Characters>
  <Lines>0</Lines>
  <Paragraphs>0</Paragraphs>
  <TotalTime>10</TotalTime>
  <ScaleCrop>false</ScaleCrop>
  <LinksUpToDate>false</LinksUpToDate>
  <CharactersWithSpaces>1936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jiawei</cp:lastModifiedBy>
  <dcterms:modified xsi:type="dcterms:W3CDTF">2023-02-23T08:13:38Z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C4B342B0A37347FFB3AEAF4B557370B5</vt:lpwstr>
  </property>
</Properties>
</file>