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AF3" w:rsidRDefault="002F4AF3">
      <w:pPr>
        <w:spacing w:line="760" w:lineRule="exact"/>
        <w:jc w:val="center"/>
        <w:rPr>
          <w:rFonts w:ascii="宋体" w:eastAsia="宋体" w:hAnsi="宋体" w:cs="宋体"/>
          <w:szCs w:val="32"/>
        </w:rPr>
      </w:pPr>
    </w:p>
    <w:p w:rsidR="002F4AF3" w:rsidRDefault="002F4AF3" w:rsidP="00FE4A0E">
      <w:pPr>
        <w:pStyle w:val="a0"/>
        <w:ind w:firstLine="472"/>
      </w:pPr>
    </w:p>
    <w:p w:rsidR="002F4AF3" w:rsidRDefault="005A6A3B">
      <w:pPr>
        <w:spacing w:line="760" w:lineRule="exact"/>
        <w:jc w:val="center"/>
        <w:rPr>
          <w:rFonts w:ascii="宋体" w:eastAsia="宋体" w:hAnsi="宋体" w:cs="宋体"/>
          <w:sz w:val="44"/>
          <w:szCs w:val="44"/>
        </w:rPr>
      </w:pPr>
      <w:r>
        <w:rPr>
          <w:rFonts w:ascii="宋体" w:eastAsia="宋体" w:hAnsi="宋体" w:cs="宋体" w:hint="eastAsia"/>
          <w:sz w:val="44"/>
          <w:szCs w:val="44"/>
        </w:rPr>
        <w:t>青海省人民代表大会常务委员会</w:t>
      </w:r>
    </w:p>
    <w:p w:rsidR="002F4AF3" w:rsidRDefault="005A6A3B">
      <w:pPr>
        <w:spacing w:line="760" w:lineRule="exact"/>
        <w:jc w:val="center"/>
        <w:rPr>
          <w:rFonts w:ascii="宋体" w:eastAsia="宋体" w:hAnsi="宋体" w:cs="宋体"/>
          <w:sz w:val="44"/>
          <w:szCs w:val="44"/>
        </w:rPr>
      </w:pPr>
      <w:r>
        <w:rPr>
          <w:rFonts w:ascii="宋体" w:eastAsia="宋体" w:hAnsi="宋体" w:cs="宋体" w:hint="eastAsia"/>
          <w:sz w:val="44"/>
          <w:szCs w:val="44"/>
        </w:rPr>
        <w:t>关于禁止非法猎捕、交易和食用野生动物的</w:t>
      </w:r>
    </w:p>
    <w:p w:rsidR="002F4AF3" w:rsidRDefault="005A6A3B">
      <w:pPr>
        <w:spacing w:line="760" w:lineRule="exact"/>
        <w:jc w:val="center"/>
        <w:rPr>
          <w:rFonts w:ascii="宋体" w:eastAsia="宋体" w:hAnsi="宋体" w:cs="宋体"/>
          <w:sz w:val="44"/>
          <w:szCs w:val="44"/>
        </w:rPr>
      </w:pPr>
      <w:r>
        <w:rPr>
          <w:rFonts w:ascii="宋体" w:eastAsia="宋体" w:hAnsi="宋体" w:cs="宋体" w:hint="eastAsia"/>
          <w:sz w:val="44"/>
          <w:szCs w:val="44"/>
        </w:rPr>
        <w:t>决定</w:t>
      </w:r>
    </w:p>
    <w:p w:rsidR="002F4AF3" w:rsidRDefault="002F4AF3">
      <w:pPr>
        <w:spacing w:line="500" w:lineRule="exact"/>
        <w:jc w:val="center"/>
        <w:rPr>
          <w:rFonts w:ascii="宋体" w:eastAsia="宋体" w:hAnsi="宋体" w:cs="宋体"/>
          <w:b/>
          <w:szCs w:val="32"/>
        </w:rPr>
      </w:pPr>
    </w:p>
    <w:p w:rsidR="002F4AF3" w:rsidRDefault="005A6A3B">
      <w:pPr>
        <w:spacing w:line="500" w:lineRule="exact"/>
        <w:ind w:leftChars="200" w:left="632" w:rightChars="200" w:right="632"/>
        <w:jc w:val="center"/>
        <w:rPr>
          <w:rFonts w:ascii="楷体_GB2312" w:eastAsia="楷体_GB2312"/>
          <w:bCs/>
          <w:sz w:val="30"/>
          <w:szCs w:val="30"/>
        </w:rPr>
      </w:pPr>
      <w:r>
        <w:rPr>
          <w:rFonts w:ascii="楷体_GB2312" w:eastAsia="楷体_GB2312" w:hint="eastAsia"/>
          <w:bCs/>
          <w:sz w:val="30"/>
          <w:szCs w:val="30"/>
        </w:rPr>
        <w:t>（</w:t>
      </w:r>
      <w:r>
        <w:rPr>
          <w:rFonts w:ascii="楷体_GB2312" w:eastAsia="楷体_GB2312" w:hint="eastAsia"/>
          <w:bCs/>
          <w:sz w:val="30"/>
          <w:szCs w:val="30"/>
        </w:rPr>
        <w:t>20</w:t>
      </w:r>
      <w:r>
        <w:rPr>
          <w:rFonts w:ascii="楷体_GB2312" w:eastAsia="楷体_GB2312" w:hint="eastAsia"/>
          <w:bCs/>
          <w:sz w:val="30"/>
          <w:szCs w:val="30"/>
        </w:rPr>
        <w:t>20</w:t>
      </w:r>
      <w:r>
        <w:rPr>
          <w:rFonts w:ascii="楷体_GB2312" w:eastAsia="楷体_GB2312" w:hint="eastAsia"/>
          <w:bCs/>
          <w:sz w:val="30"/>
          <w:szCs w:val="30"/>
        </w:rPr>
        <w:t>年</w:t>
      </w:r>
      <w:r>
        <w:rPr>
          <w:rFonts w:ascii="楷体_GB2312" w:eastAsia="楷体_GB2312" w:hint="eastAsia"/>
          <w:bCs/>
          <w:sz w:val="30"/>
          <w:szCs w:val="30"/>
        </w:rPr>
        <w:t>3</w:t>
      </w:r>
      <w:r>
        <w:rPr>
          <w:rFonts w:ascii="楷体_GB2312" w:eastAsia="楷体_GB2312" w:hint="eastAsia"/>
          <w:bCs/>
          <w:sz w:val="30"/>
          <w:szCs w:val="30"/>
        </w:rPr>
        <w:t>月</w:t>
      </w:r>
      <w:r>
        <w:rPr>
          <w:rFonts w:ascii="楷体_GB2312" w:eastAsia="楷体_GB2312" w:hint="eastAsia"/>
          <w:bCs/>
          <w:sz w:val="30"/>
          <w:szCs w:val="30"/>
        </w:rPr>
        <w:t>25</w:t>
      </w:r>
      <w:r>
        <w:rPr>
          <w:rFonts w:ascii="楷体_GB2312" w:eastAsia="楷体_GB2312" w:hint="eastAsia"/>
          <w:bCs/>
          <w:sz w:val="30"/>
          <w:szCs w:val="30"/>
        </w:rPr>
        <w:t>日青海省第十</w:t>
      </w:r>
      <w:r>
        <w:rPr>
          <w:rFonts w:ascii="楷体_GB2312" w:eastAsia="楷体_GB2312" w:hint="eastAsia"/>
          <w:bCs/>
          <w:sz w:val="30"/>
          <w:szCs w:val="30"/>
        </w:rPr>
        <w:t>三</w:t>
      </w:r>
      <w:r>
        <w:rPr>
          <w:rFonts w:ascii="楷体_GB2312" w:eastAsia="楷体_GB2312" w:hint="eastAsia"/>
          <w:bCs/>
          <w:sz w:val="30"/>
          <w:szCs w:val="30"/>
        </w:rPr>
        <w:t>届人民代表大会</w:t>
      </w:r>
    </w:p>
    <w:p w:rsidR="002F4AF3" w:rsidRDefault="005A6A3B">
      <w:pPr>
        <w:spacing w:line="500" w:lineRule="exact"/>
        <w:ind w:leftChars="200" w:left="632" w:rightChars="200" w:right="632"/>
        <w:jc w:val="center"/>
        <w:rPr>
          <w:rFonts w:ascii="楷体_GB2312" w:eastAsia="楷体_GB2312"/>
          <w:bCs/>
          <w:sz w:val="30"/>
          <w:szCs w:val="30"/>
        </w:rPr>
      </w:pPr>
      <w:r>
        <w:rPr>
          <w:rFonts w:ascii="楷体_GB2312" w:eastAsia="楷体_GB2312" w:hint="eastAsia"/>
          <w:bCs/>
          <w:sz w:val="30"/>
          <w:szCs w:val="30"/>
        </w:rPr>
        <w:t>常务委员会第</w:t>
      </w:r>
      <w:r>
        <w:rPr>
          <w:rFonts w:ascii="楷体_GB2312" w:eastAsia="楷体_GB2312" w:hint="eastAsia"/>
          <w:bCs/>
          <w:sz w:val="30"/>
          <w:szCs w:val="30"/>
        </w:rPr>
        <w:t>十五</w:t>
      </w:r>
      <w:r>
        <w:rPr>
          <w:rFonts w:ascii="楷体_GB2312" w:eastAsia="楷体_GB2312" w:hint="eastAsia"/>
          <w:bCs/>
          <w:sz w:val="30"/>
          <w:szCs w:val="30"/>
        </w:rPr>
        <w:t>次会议通过）</w:t>
      </w:r>
    </w:p>
    <w:p w:rsidR="002F4AF3" w:rsidRDefault="002F4AF3">
      <w:pPr>
        <w:spacing w:line="500" w:lineRule="exact"/>
        <w:jc w:val="center"/>
        <w:rPr>
          <w:rFonts w:ascii="宋体" w:eastAsia="宋体" w:hAnsi="宋体" w:cs="宋体"/>
          <w:bCs/>
          <w:color w:val="000000"/>
          <w:spacing w:val="-8"/>
          <w:szCs w:val="32"/>
        </w:rPr>
      </w:pPr>
    </w:p>
    <w:p w:rsidR="002F4AF3" w:rsidRDefault="005A6A3B">
      <w:pPr>
        <w:ind w:firstLineChars="200" w:firstLine="632"/>
      </w:pPr>
      <w:r>
        <w:rPr>
          <w:rFonts w:hint="eastAsia"/>
        </w:rPr>
        <w:t>为了全面禁止和惩治非法猎捕、交易、食用野生动物行为，有效防范重大公共卫生风险，切实保障人民群众生命健康</w:t>
      </w:r>
      <w:r>
        <w:rPr>
          <w:rFonts w:hint="eastAsia"/>
        </w:rPr>
        <w:t>安全</w:t>
      </w:r>
      <w:r>
        <w:rPr>
          <w:rFonts w:hint="eastAsia"/>
        </w:rPr>
        <w:t>，加强生态文明建设，维护高原生态安全，促进人与自然和谐共生，根据《中华人民共和国野生动物保护法》《全国人民代表大会常务委员会关于全面禁止非法野生动物交易、革除滥食野生动物陋习、切实保障人民群众生命健康安全的决定》等有关法律法规，结合本省实际，作如下决定：</w:t>
      </w:r>
    </w:p>
    <w:p w:rsidR="002F4AF3" w:rsidRDefault="005A6A3B">
      <w:pPr>
        <w:ind w:firstLineChars="200" w:firstLine="632"/>
      </w:pPr>
      <w:r>
        <w:rPr>
          <w:rFonts w:hint="eastAsia"/>
        </w:rPr>
        <w:t>一、本省行政区域内禁止猎捕、杀害下列野生动物：</w:t>
      </w:r>
    </w:p>
    <w:p w:rsidR="002F4AF3" w:rsidRDefault="005A6A3B">
      <w:pPr>
        <w:ind w:firstLineChars="200" w:firstLine="632"/>
      </w:pPr>
      <w:r>
        <w:rPr>
          <w:rFonts w:hint="eastAsia"/>
        </w:rPr>
        <w:t>（一）国家重点保护的野生动物；</w:t>
      </w:r>
    </w:p>
    <w:p w:rsidR="002F4AF3" w:rsidRDefault="005A6A3B">
      <w:pPr>
        <w:ind w:firstLineChars="200" w:firstLine="632"/>
      </w:pPr>
      <w:r>
        <w:rPr>
          <w:rFonts w:hint="eastAsia"/>
        </w:rPr>
        <w:t>（二）本省重点保护的野生动物；</w:t>
      </w:r>
    </w:p>
    <w:p w:rsidR="002F4AF3" w:rsidRDefault="005A6A3B">
      <w:pPr>
        <w:ind w:firstLineChars="200" w:firstLine="632"/>
      </w:pPr>
      <w:r>
        <w:rPr>
          <w:rFonts w:hint="eastAsia"/>
        </w:rPr>
        <w:t>（三）法律法规规定禁止猎捕、杀害的其他野生动物。</w:t>
      </w:r>
    </w:p>
    <w:p w:rsidR="002F4AF3" w:rsidRDefault="005A6A3B">
      <w:pPr>
        <w:ind w:firstLineChars="200" w:firstLine="632"/>
      </w:pPr>
      <w:r>
        <w:rPr>
          <w:rFonts w:hint="eastAsia"/>
        </w:rPr>
        <w:lastRenderedPageBreak/>
        <w:t>二、本省行政区域内全面禁止食用下列野生动物及其制品：</w:t>
      </w:r>
    </w:p>
    <w:p w:rsidR="002F4AF3" w:rsidRDefault="005A6A3B">
      <w:pPr>
        <w:ind w:firstLineChars="200" w:firstLine="632"/>
      </w:pPr>
      <w:r>
        <w:rPr>
          <w:rFonts w:hint="eastAsia"/>
        </w:rPr>
        <w:t>（一）陆生野生动物，包括人工繁育、人工饲</w:t>
      </w:r>
      <w:r>
        <w:rPr>
          <w:rFonts w:hint="eastAsia"/>
        </w:rPr>
        <w:t>养的陆生野生动物；</w:t>
      </w:r>
    </w:p>
    <w:p w:rsidR="002F4AF3" w:rsidRDefault="005A6A3B">
      <w:pPr>
        <w:ind w:firstLineChars="200" w:firstLine="632"/>
      </w:pPr>
      <w:r>
        <w:rPr>
          <w:rFonts w:hint="eastAsia"/>
        </w:rPr>
        <w:t>（二）国家重点保护的水生野生动物；</w:t>
      </w:r>
    </w:p>
    <w:p w:rsidR="002F4AF3" w:rsidRDefault="005A6A3B">
      <w:pPr>
        <w:ind w:firstLineChars="200" w:firstLine="632"/>
      </w:pPr>
      <w:r>
        <w:rPr>
          <w:rFonts w:hint="eastAsia"/>
        </w:rPr>
        <w:t>（三）本省重点保护的水生野生动物；</w:t>
      </w:r>
    </w:p>
    <w:p w:rsidR="002F4AF3" w:rsidRDefault="005A6A3B">
      <w:pPr>
        <w:ind w:firstLineChars="200" w:firstLine="632"/>
      </w:pPr>
      <w:r>
        <w:rPr>
          <w:rFonts w:hint="eastAsia"/>
        </w:rPr>
        <w:t>（四）法律法规规定禁止食用的其他野生动物。</w:t>
      </w:r>
    </w:p>
    <w:p w:rsidR="002F4AF3" w:rsidRDefault="005A6A3B">
      <w:pPr>
        <w:ind w:firstLineChars="200" w:firstLine="632"/>
      </w:pPr>
      <w:r>
        <w:rPr>
          <w:rFonts w:hint="eastAsia"/>
        </w:rPr>
        <w:t>三、禁止出售、购买、利用国家和本省重点保护野生动物及其制品。</w:t>
      </w:r>
    </w:p>
    <w:p w:rsidR="002F4AF3" w:rsidRDefault="005A6A3B">
      <w:pPr>
        <w:ind w:firstLineChars="200" w:firstLine="632"/>
      </w:pPr>
      <w:r>
        <w:rPr>
          <w:rFonts w:hint="eastAsia"/>
        </w:rPr>
        <w:t>四、禁止商品交易市场、网络交易平台、餐饮场所以及运输、仓储、快递等经营者，为非法出售、购买、运输、利用野生动物及其制品提供场所、平台或者其他交易服务。</w:t>
      </w:r>
    </w:p>
    <w:p w:rsidR="002F4AF3" w:rsidRDefault="00FE4A0E">
      <w:pPr>
        <w:ind w:firstLineChars="200" w:firstLine="632"/>
      </w:pPr>
      <w:r>
        <w:rPr>
          <w:rFonts w:hint="eastAsia"/>
        </w:rPr>
        <w:t>五、</w:t>
      </w:r>
      <w:r w:rsidR="005A6A3B">
        <w:rPr>
          <w:rFonts w:hint="eastAsia"/>
        </w:rPr>
        <w:t>餐饮经营者不得以禁止食用的野生动物及其制品名称、别称、图案等制作招牌或者菜谱招揽、诱导顾客。</w:t>
      </w:r>
    </w:p>
    <w:p w:rsidR="002F4AF3" w:rsidRDefault="00FE4A0E">
      <w:pPr>
        <w:ind w:firstLineChars="200" w:firstLine="632"/>
      </w:pPr>
      <w:r>
        <w:rPr>
          <w:rFonts w:hint="eastAsia"/>
        </w:rPr>
        <w:t>六、</w:t>
      </w:r>
      <w:r w:rsidR="005A6A3B">
        <w:rPr>
          <w:rFonts w:hint="eastAsia"/>
        </w:rPr>
        <w:t>任何组织和个人不得以食用为目的猎捕、交易、运输在野外环境自然生长繁殖的陆生野生动物及其制品。</w:t>
      </w:r>
    </w:p>
    <w:p w:rsidR="002F4AF3" w:rsidRDefault="005A6A3B">
      <w:pPr>
        <w:ind w:firstLineChars="200" w:firstLine="632"/>
      </w:pPr>
      <w:r>
        <w:rPr>
          <w:rFonts w:hint="eastAsia"/>
        </w:rPr>
        <w:t>因科学研究、疫源疫病监测、</w:t>
      </w:r>
      <w:r>
        <w:rPr>
          <w:rFonts w:hint="eastAsia"/>
        </w:rPr>
        <w:t>人工繁育、</w:t>
      </w:r>
      <w:r>
        <w:rPr>
          <w:rFonts w:hint="eastAsia"/>
        </w:rPr>
        <w:t>医药利用、公众展示或者其他特殊情况，需要对野生动物进行非食用性利用的，应当按照国家有关规定实行严格审批和检疫检验。</w:t>
      </w:r>
    </w:p>
    <w:p w:rsidR="002F4AF3" w:rsidRDefault="005A6A3B">
      <w:pPr>
        <w:ind w:firstLineChars="200" w:firstLine="632"/>
      </w:pPr>
      <w:r>
        <w:rPr>
          <w:rFonts w:hint="eastAsia"/>
        </w:rPr>
        <w:t>七、</w:t>
      </w:r>
      <w:r>
        <w:rPr>
          <w:rFonts w:hint="eastAsia"/>
        </w:rPr>
        <w:t>县级以上人民</w:t>
      </w:r>
      <w:bookmarkStart w:id="0" w:name="_GoBack"/>
      <w:bookmarkEnd w:id="0"/>
      <w:r>
        <w:rPr>
          <w:rFonts w:hint="eastAsia"/>
        </w:rPr>
        <w:t>政府应当组织、协调、督促有关部门依法履行监督管理职责，建立联防联控机制，落实执法管理责任，加大监督检查和责任追究力度。</w:t>
      </w:r>
    </w:p>
    <w:p w:rsidR="002F4AF3" w:rsidRDefault="005A6A3B">
      <w:pPr>
        <w:ind w:firstLineChars="200" w:firstLine="632"/>
      </w:pPr>
      <w:r>
        <w:rPr>
          <w:rFonts w:hint="eastAsia"/>
        </w:rPr>
        <w:t>林业草原、公安、市场监管、农业农村等部门按照各自职责，</w:t>
      </w:r>
      <w:r>
        <w:rPr>
          <w:rFonts w:hint="eastAsia"/>
        </w:rPr>
        <w:lastRenderedPageBreak/>
        <w:t>负责禁止非法猎捕、交易和食用野生动物的监督管理工作。</w:t>
      </w:r>
    </w:p>
    <w:p w:rsidR="002F4AF3" w:rsidRDefault="005A6A3B">
      <w:pPr>
        <w:ind w:firstLineChars="200" w:firstLine="632"/>
      </w:pPr>
      <w:r>
        <w:rPr>
          <w:rFonts w:hint="eastAsia"/>
        </w:rPr>
        <w:t>交通运输、海关、卫生健康、邮政等部门应当按照各自职责依法做好相关工作。</w:t>
      </w:r>
    </w:p>
    <w:p w:rsidR="002F4AF3" w:rsidRDefault="005A6A3B">
      <w:pPr>
        <w:ind w:firstLineChars="200" w:firstLine="632"/>
      </w:pPr>
      <w:r>
        <w:rPr>
          <w:rFonts w:hint="eastAsia"/>
        </w:rPr>
        <w:t>八、地方各级人民政府及其有关部门、人民团体、社会组织、学校、新闻媒体等应当采取多</w:t>
      </w:r>
      <w:r>
        <w:rPr>
          <w:rFonts w:hint="eastAsia"/>
        </w:rPr>
        <w:t>种方式，组织开展生态环境保护和公共卫生安全的宣传教育和引导，普及相关法律法规知识，革除滥食野生动物陋习，大力倡导科学健康文明的生活方式，提高全体公民生命健康安全意识。</w:t>
      </w:r>
    </w:p>
    <w:p w:rsidR="002F4AF3" w:rsidRDefault="005A6A3B">
      <w:pPr>
        <w:ind w:firstLineChars="200" w:firstLine="632"/>
      </w:pPr>
      <w:r>
        <w:rPr>
          <w:rFonts w:hint="eastAsia"/>
        </w:rPr>
        <w:t>九、</w:t>
      </w:r>
      <w:r>
        <w:rPr>
          <w:rFonts w:hint="eastAsia"/>
        </w:rPr>
        <w:t>鼓励和支持基层群众性自治组织、企业事业单位、</w:t>
      </w:r>
      <w:r>
        <w:rPr>
          <w:rFonts w:hint="eastAsia"/>
        </w:rPr>
        <w:t>公益组织、</w:t>
      </w:r>
      <w:r>
        <w:rPr>
          <w:rFonts w:hint="eastAsia"/>
        </w:rPr>
        <w:t>志愿者开展野生动物保护活动，宣传野生动物保护法律法规和相关知识。</w:t>
      </w:r>
    </w:p>
    <w:p w:rsidR="002F4AF3" w:rsidRDefault="005A6A3B">
      <w:pPr>
        <w:ind w:firstLineChars="200" w:firstLine="632"/>
      </w:pPr>
      <w:r>
        <w:rPr>
          <w:rFonts w:hint="eastAsia"/>
        </w:rPr>
        <w:t>十、</w:t>
      </w:r>
      <w:r>
        <w:rPr>
          <w:rFonts w:hint="eastAsia"/>
        </w:rPr>
        <w:t>鼓励单位和个人对违反本决定的行为进行举报或者控告。林业草原、公安</w:t>
      </w:r>
      <w:r>
        <w:rPr>
          <w:rFonts w:hint="eastAsia"/>
        </w:rPr>
        <w:t>、市场监管、农业农村等部门对举报或者控告应当依法及时处理。</w:t>
      </w:r>
    </w:p>
    <w:p w:rsidR="002F4AF3" w:rsidRDefault="005A6A3B">
      <w:pPr>
        <w:ind w:firstLineChars="200" w:firstLine="632"/>
      </w:pPr>
      <w:r>
        <w:rPr>
          <w:rFonts w:hint="eastAsia"/>
        </w:rPr>
        <w:t>十一、</w:t>
      </w:r>
      <w:r>
        <w:rPr>
          <w:rFonts w:hint="eastAsia"/>
        </w:rPr>
        <w:t>违反本决定第一条规定的，由县级以上人民政府林业草原或者农业农村主管部门没收猎获物、猎捕工具和违法所得，</w:t>
      </w:r>
      <w:r>
        <w:rPr>
          <w:rFonts w:hint="eastAsia"/>
        </w:rPr>
        <w:t>猎获物价值在一万元以上的，</w:t>
      </w:r>
      <w:r>
        <w:rPr>
          <w:rFonts w:hint="eastAsia"/>
        </w:rPr>
        <w:t>并处猎获物价值三倍以上十二倍以下罚款</w:t>
      </w:r>
      <w:r>
        <w:rPr>
          <w:rFonts w:hint="eastAsia"/>
        </w:rPr>
        <w:t>，</w:t>
      </w:r>
      <w:r>
        <w:rPr>
          <w:rFonts w:hint="eastAsia"/>
        </w:rPr>
        <w:t>没有猎获物</w:t>
      </w:r>
      <w:r>
        <w:rPr>
          <w:rFonts w:hint="eastAsia"/>
        </w:rPr>
        <w:t>或者猎获物价值不足一万元的</w:t>
      </w:r>
      <w:r>
        <w:rPr>
          <w:rFonts w:hint="eastAsia"/>
        </w:rPr>
        <w:t>，并处</w:t>
      </w:r>
      <w:r>
        <w:rPr>
          <w:rFonts w:hint="eastAsia"/>
        </w:rPr>
        <w:t>一</w:t>
      </w:r>
      <w:r>
        <w:rPr>
          <w:rFonts w:hint="eastAsia"/>
        </w:rPr>
        <w:t>万元以上</w:t>
      </w:r>
      <w:r>
        <w:rPr>
          <w:rFonts w:hint="eastAsia"/>
        </w:rPr>
        <w:t>五</w:t>
      </w:r>
      <w:r>
        <w:rPr>
          <w:rFonts w:hint="eastAsia"/>
        </w:rPr>
        <w:t>万元以下罚款；构成犯罪的，依法追究刑事责任。</w:t>
      </w:r>
    </w:p>
    <w:p w:rsidR="002F4AF3" w:rsidRDefault="005A6A3B">
      <w:pPr>
        <w:ind w:firstLineChars="200" w:firstLine="632"/>
      </w:pPr>
      <w:r>
        <w:rPr>
          <w:rFonts w:hint="eastAsia"/>
        </w:rPr>
        <w:t>十二、</w:t>
      </w:r>
      <w:r>
        <w:rPr>
          <w:rFonts w:hint="eastAsia"/>
        </w:rPr>
        <w:t>违反本决定第二条规定的，由县级以上人民政府林业草原、市场监管或者农业农村等部门按照职责分工责令停止违法行为，没收野生动物及其制品，并处二千元以上一万元以下罚款。</w:t>
      </w:r>
    </w:p>
    <w:p w:rsidR="002F4AF3" w:rsidRDefault="005A6A3B">
      <w:pPr>
        <w:ind w:firstLineChars="200" w:firstLine="632"/>
      </w:pPr>
      <w:r>
        <w:rPr>
          <w:rFonts w:hint="eastAsia"/>
        </w:rPr>
        <w:lastRenderedPageBreak/>
        <w:t>十三、</w:t>
      </w:r>
      <w:r>
        <w:rPr>
          <w:rFonts w:hint="eastAsia"/>
        </w:rPr>
        <w:t>违反本</w:t>
      </w:r>
      <w:r>
        <w:rPr>
          <w:rFonts w:hint="eastAsia"/>
        </w:rPr>
        <w:t>决定第三条规定的，由县级以上人民政府林业草原、市场监管或者农业农村等部门按照职责分工没收野生动物及其制品和违法所得，并处野生动物及其制品价值三倍以上十二倍以下罚款；构成犯罪的，依法追究刑事责任。</w:t>
      </w:r>
    </w:p>
    <w:p w:rsidR="002F4AF3" w:rsidRDefault="005A6A3B" w:rsidP="00FE4A0E">
      <w:pPr>
        <w:ind w:firstLineChars="200" w:firstLine="632"/>
      </w:pPr>
      <w:r>
        <w:rPr>
          <w:rFonts w:hint="eastAsia"/>
        </w:rPr>
        <w:t>十四、</w:t>
      </w:r>
      <w:r>
        <w:rPr>
          <w:rFonts w:hint="eastAsia"/>
        </w:rPr>
        <w:t>违反本决定第四条第一款规定的，由县级以上人民政府市场监管部门责令停止违法行为，限期改正，没收违法所得，并处违法所得二倍以上五倍以下罚款；没有违法所得的，处一万元以上五万元以下罚款；构成犯罪的，依法追究刑事责任。</w:t>
      </w:r>
      <w:r>
        <w:rPr>
          <w:rFonts w:hint="eastAsia"/>
        </w:rPr>
        <w:t>违反本决定第四条第二款规定的，由县级以上人民政府市场监管部门责令限期改正，处二千元以上一万元以下罚</w:t>
      </w:r>
      <w:r>
        <w:rPr>
          <w:rFonts w:hint="eastAsia"/>
        </w:rPr>
        <w:t>款。</w:t>
      </w:r>
    </w:p>
    <w:p w:rsidR="002F4AF3" w:rsidRDefault="005A6A3B">
      <w:pPr>
        <w:ind w:firstLineChars="200" w:firstLine="632"/>
      </w:pPr>
      <w:r>
        <w:rPr>
          <w:rFonts w:hint="eastAsia"/>
        </w:rPr>
        <w:t>十五、</w:t>
      </w:r>
      <w:r>
        <w:rPr>
          <w:rFonts w:hint="eastAsia"/>
        </w:rPr>
        <w:t>违反本决定受到行政处罚的，由相关部门依照规定将其违法行为信息纳入公共信用信息系统，依法实施联合惩戒。</w:t>
      </w:r>
    </w:p>
    <w:p w:rsidR="002F4AF3" w:rsidRDefault="005A6A3B">
      <w:pPr>
        <w:ind w:firstLineChars="200" w:firstLine="632"/>
      </w:pPr>
      <w:r>
        <w:rPr>
          <w:rFonts w:hint="eastAsia"/>
        </w:rPr>
        <w:t>十</w:t>
      </w:r>
      <w:r>
        <w:rPr>
          <w:rFonts w:hint="eastAsia"/>
        </w:rPr>
        <w:t>六</w:t>
      </w:r>
      <w:r>
        <w:rPr>
          <w:rFonts w:hint="eastAsia"/>
        </w:rPr>
        <w:t>、林业草原、公安、市场监管、农业农村等部门</w:t>
      </w:r>
      <w:r>
        <w:rPr>
          <w:rFonts w:hint="eastAsia"/>
        </w:rPr>
        <w:t>及其工作人员</w:t>
      </w:r>
      <w:r>
        <w:rPr>
          <w:rFonts w:hint="eastAsia"/>
        </w:rPr>
        <w:t>，在禁止非法猎捕、交易和食用野生动物相关工作中滥用职权、玩忽职守、徇私舞弊的，由其主管机关或者监察机关对负有责任的主管人员和其他直接责任人员，依法给予处分；构成犯罪的，依法追究刑事责任。</w:t>
      </w:r>
    </w:p>
    <w:p w:rsidR="002F4AF3" w:rsidRDefault="005A6A3B">
      <w:pPr>
        <w:ind w:firstLineChars="200" w:firstLine="632"/>
      </w:pPr>
      <w:r>
        <w:rPr>
          <w:rFonts w:hint="eastAsia"/>
        </w:rPr>
        <w:t>十</w:t>
      </w:r>
      <w:r>
        <w:rPr>
          <w:rFonts w:hint="eastAsia"/>
        </w:rPr>
        <w:t>七、</w:t>
      </w:r>
      <w:r>
        <w:rPr>
          <w:rFonts w:hint="eastAsia"/>
        </w:rPr>
        <w:t>省人民政府及其林业草原、农业农村等部门，应当依据有关法律法规和本决定，制定、调整</w:t>
      </w:r>
      <w:r>
        <w:rPr>
          <w:rFonts w:hint="eastAsia"/>
        </w:rPr>
        <w:t>并公布相关名录。</w:t>
      </w:r>
    </w:p>
    <w:p w:rsidR="002F4AF3" w:rsidRDefault="005A6A3B">
      <w:pPr>
        <w:ind w:firstLineChars="200" w:firstLine="632"/>
      </w:pPr>
      <w:r>
        <w:rPr>
          <w:rFonts w:hint="eastAsia"/>
        </w:rPr>
        <w:t>十</w:t>
      </w:r>
      <w:r>
        <w:rPr>
          <w:rFonts w:hint="eastAsia"/>
        </w:rPr>
        <w:t>八</w:t>
      </w:r>
      <w:r>
        <w:rPr>
          <w:rFonts w:hint="eastAsia"/>
        </w:rPr>
        <w:t>、本决定自公布之日起施行。</w:t>
      </w:r>
    </w:p>
    <w:p w:rsidR="002F4AF3" w:rsidRDefault="002F4AF3">
      <w:pPr>
        <w:ind w:firstLineChars="200" w:firstLine="632"/>
      </w:pPr>
    </w:p>
    <w:sectPr w:rsidR="002F4AF3" w:rsidSect="002F4AF3">
      <w:footerReference w:type="even" r:id="rId7"/>
      <w:footerReference w:type="default" r:id="rId8"/>
      <w:footerReference w:type="first" r:id="rId9"/>
      <w:pgSz w:w="11906" w:h="16838"/>
      <w:pgMar w:top="2098" w:right="1531" w:bottom="2098" w:left="1531" w:header="851" w:footer="1644" w:gutter="0"/>
      <w:pgNumType w:fmt="numberInDash"/>
      <w:cols w:space="0"/>
      <w:docGrid w:type="linesAndChars" w:linePitch="574"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A3B" w:rsidRDefault="005A6A3B" w:rsidP="002F4AF3">
      <w:r>
        <w:separator/>
      </w:r>
    </w:p>
  </w:endnote>
  <w:endnote w:type="continuationSeparator" w:id="0">
    <w:p w:rsidR="005A6A3B" w:rsidRDefault="005A6A3B" w:rsidP="002F4A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AF3" w:rsidRDefault="002F4AF3">
    <w:pPr>
      <w:pStyle w:val="a6"/>
    </w:pPr>
    <w:r>
      <w:pict>
        <v:shapetype id="_x0000_t202" coordsize="21600,21600" o:spt="202" path="m,l,21600r21600,l21600,xe">
          <v:stroke joinstyle="miter"/>
          <v:path gradientshapeok="t" o:connecttype="rect"/>
        </v:shapetype>
        <v:shape id="_x0000_s1027" type="#_x0000_t202" style="position:absolute;margin-left:104pt;margin-top:0;width:2in;height:2in;z-index:25166028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filled="f" stroked="f" strokeweight=".5pt">
          <v:textbox style="mso-fit-shape-to-text:t" inset="0,0,0,0">
            <w:txbxContent>
              <w:p w:rsidR="002F4AF3" w:rsidRDefault="005A6A3B">
                <w:pPr>
                  <w:snapToGrid w:val="0"/>
                  <w:rPr>
                    <w:sz w:val="18"/>
                  </w:rPr>
                </w:pPr>
                <w:r>
                  <w:rPr>
                    <w:rFonts w:ascii="宋体" w:eastAsia="宋体" w:hAnsi="宋体" w:cs="宋体" w:hint="eastAsia"/>
                    <w:sz w:val="28"/>
                    <w:szCs w:val="28"/>
                  </w:rPr>
                  <w:t xml:space="preserve">  </w:t>
                </w:r>
                <w:r w:rsidR="002F4AF3">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2F4AF3">
                  <w:rPr>
                    <w:rFonts w:ascii="宋体" w:eastAsia="宋体" w:hAnsi="宋体" w:cs="宋体" w:hint="eastAsia"/>
                    <w:sz w:val="28"/>
                    <w:szCs w:val="28"/>
                  </w:rPr>
                  <w:fldChar w:fldCharType="separate"/>
                </w:r>
                <w:r w:rsidR="00FE4A0E">
                  <w:rPr>
                    <w:rFonts w:ascii="宋体" w:eastAsia="宋体" w:hAnsi="宋体" w:cs="宋体"/>
                    <w:noProof/>
                    <w:sz w:val="28"/>
                    <w:szCs w:val="28"/>
                  </w:rPr>
                  <w:t>- 4 -</w:t>
                </w:r>
                <w:r w:rsidR="002F4AF3">
                  <w:rPr>
                    <w:rFonts w:ascii="宋体" w:eastAsia="宋体" w:hAnsi="宋体" w:cs="宋体" w:hint="eastAsia"/>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AF3" w:rsidRDefault="002F4AF3">
    <w:pPr>
      <w:pStyle w:val="a6"/>
    </w:pPr>
    <w:r>
      <w:pict>
        <v:shapetype id="_x0000_t202" coordsize="21600,21600" o:spt="202" path="m,l,21600r21600,l21600,xe">
          <v:stroke joinstyle="miter"/>
          <v:path gradientshapeok="t" o:connecttype="rect"/>
        </v:shapetype>
        <v:shape id="_x0000_s1028"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2F4AF3" w:rsidRDefault="005A6A3B">
                <w:pPr>
                  <w:snapToGrid w:val="0"/>
                  <w:rPr>
                    <w:sz w:val="18"/>
                  </w:rPr>
                </w:pPr>
                <w:r>
                  <w:rPr>
                    <w:rFonts w:ascii="宋体" w:eastAsia="宋体" w:hAnsi="宋体" w:cs="宋体" w:hint="eastAsia"/>
                    <w:sz w:val="28"/>
                    <w:szCs w:val="28"/>
                  </w:rPr>
                  <w:t xml:space="preserve">  </w:t>
                </w:r>
                <w:r w:rsidR="002F4AF3">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2F4AF3">
                  <w:rPr>
                    <w:rFonts w:ascii="宋体" w:eastAsia="宋体" w:hAnsi="宋体" w:cs="宋体" w:hint="eastAsia"/>
                    <w:sz w:val="28"/>
                    <w:szCs w:val="28"/>
                  </w:rPr>
                  <w:fldChar w:fldCharType="separate"/>
                </w:r>
                <w:r w:rsidR="00FE4A0E">
                  <w:rPr>
                    <w:rFonts w:ascii="宋体" w:eastAsia="宋体" w:hAnsi="宋体" w:cs="宋体"/>
                    <w:noProof/>
                    <w:sz w:val="28"/>
                    <w:szCs w:val="28"/>
                  </w:rPr>
                  <w:t>- 3 -</w:t>
                </w:r>
                <w:r w:rsidR="002F4AF3">
                  <w:rPr>
                    <w:rFonts w:ascii="宋体" w:eastAsia="宋体" w:hAnsi="宋体" w:cs="宋体" w:hint="eastAsia"/>
                    <w:sz w:val="28"/>
                    <w:szCs w:val="2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AF3" w:rsidRDefault="002F4AF3">
    <w:pPr>
      <w:pStyle w:val="a6"/>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9264;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2F4AF3" w:rsidRDefault="002F4AF3">
                <w:pPr>
                  <w:snapToGrid w:val="0"/>
                  <w:ind w:rightChars="100" w:right="320"/>
                  <w:rPr>
                    <w:sz w:val="18"/>
                  </w:rPr>
                </w:pPr>
                <w:r>
                  <w:rPr>
                    <w:rFonts w:ascii="宋体" w:eastAsia="宋体" w:hAnsi="宋体" w:cs="宋体" w:hint="eastAsia"/>
                    <w:sz w:val="28"/>
                    <w:szCs w:val="28"/>
                  </w:rPr>
                  <w:fldChar w:fldCharType="begin"/>
                </w:r>
                <w:r w:rsidR="005A6A3B">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A6A3B">
                  <w:rPr>
                    <w:rFonts w:ascii="宋体" w:eastAsia="宋体" w:hAnsi="宋体" w:cs="宋体" w:hint="eastAsia"/>
                    <w:sz w:val="28"/>
                    <w:szCs w:val="28"/>
                  </w:rPr>
                  <w:t>1</w:t>
                </w:r>
                <w:r>
                  <w:rPr>
                    <w:rFonts w:ascii="宋体" w:eastAsia="宋体" w:hAnsi="宋体" w:cs="宋体" w:hint="eastAsia"/>
                    <w:sz w:val="28"/>
                    <w:szCs w:val="28"/>
                  </w:rPr>
                  <w:fldChar w:fldCharType="end"/>
                </w:r>
                <w:r w:rsidR="005A6A3B">
                  <w:rPr>
                    <w:rFonts w:ascii="宋体" w:eastAsia="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A3B" w:rsidRDefault="005A6A3B" w:rsidP="002F4AF3">
      <w:r>
        <w:separator/>
      </w:r>
    </w:p>
  </w:footnote>
  <w:footnote w:type="continuationSeparator" w:id="0">
    <w:p w:rsidR="005A6A3B" w:rsidRDefault="005A6A3B" w:rsidP="002F4A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420"/>
  <w:evenAndOddHeaders/>
  <w:drawingGridHorizontalSpacing w:val="158"/>
  <w:drawingGridVerticalSpacing w:val="287"/>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4AF3"/>
    <w:rsid w:val="002F4AF3"/>
    <w:rsid w:val="005A6A3B"/>
    <w:rsid w:val="00FE4A0E"/>
    <w:rsid w:val="0A08273D"/>
    <w:rsid w:val="0DF71E39"/>
    <w:rsid w:val="6A8F4BA4"/>
    <w:rsid w:val="729D77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2F4AF3"/>
    <w:pPr>
      <w:widowControl w:val="0"/>
      <w:jc w:val="both"/>
    </w:pPr>
    <w:rPr>
      <w:rFonts w:eastAsia="仿宋_GB2312"/>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Indent"/>
    <w:basedOn w:val="a"/>
    <w:qFormat/>
    <w:rsid w:val="002F4AF3"/>
    <w:pPr>
      <w:spacing w:line="360" w:lineRule="auto"/>
      <w:ind w:firstLineChars="200" w:firstLine="200"/>
    </w:pPr>
    <w:rPr>
      <w:sz w:val="24"/>
    </w:rPr>
  </w:style>
  <w:style w:type="paragraph" w:styleId="a4">
    <w:name w:val="Body Text First Indent"/>
    <w:basedOn w:val="a5"/>
    <w:qFormat/>
    <w:rsid w:val="002F4AF3"/>
    <w:pPr>
      <w:ind w:firstLineChars="100" w:firstLine="420"/>
    </w:pPr>
    <w:rPr>
      <w:rFonts w:ascii="Calibri" w:hAnsi="Calibri" w:cs="Calibri"/>
    </w:rPr>
  </w:style>
  <w:style w:type="paragraph" w:styleId="a5">
    <w:name w:val="Body Text"/>
    <w:basedOn w:val="a"/>
    <w:rsid w:val="002F4AF3"/>
    <w:pPr>
      <w:jc w:val="center"/>
    </w:pPr>
    <w:rPr>
      <w:rFonts w:eastAsia="华文中宋"/>
      <w:b/>
      <w:bCs/>
      <w:sz w:val="44"/>
    </w:rPr>
  </w:style>
  <w:style w:type="paragraph" w:styleId="a6">
    <w:name w:val="footer"/>
    <w:basedOn w:val="a"/>
    <w:rsid w:val="002F4AF3"/>
    <w:pPr>
      <w:tabs>
        <w:tab w:val="center" w:pos="4153"/>
        <w:tab w:val="right" w:pos="8306"/>
      </w:tabs>
      <w:snapToGrid w:val="0"/>
      <w:jc w:val="left"/>
    </w:pPr>
    <w:rPr>
      <w:sz w:val="18"/>
    </w:rPr>
  </w:style>
  <w:style w:type="paragraph" w:styleId="a7">
    <w:name w:val="header"/>
    <w:basedOn w:val="a"/>
    <w:rsid w:val="002F4AF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rsid w:val="002F4AF3"/>
    <w:pPr>
      <w:widowControl/>
      <w:spacing w:beforeAutospacing="1" w:afterAutospacing="1"/>
      <w:jc w:val="left"/>
    </w:pPr>
    <w:rPr>
      <w:rFonts w:ascii="宋体" w:eastAsia="宋体" w:hAnsi="宋体" w:cs="宋体"/>
      <w:kern w:val="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cp:revision>
  <dcterms:created xsi:type="dcterms:W3CDTF">2014-10-29T12:08:00Z</dcterms:created>
  <dcterms:modified xsi:type="dcterms:W3CDTF">2023-12-19T01:34:00Z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