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574" w:lineRule="exact"/>
        <w:jc w:val="center"/>
        <w:rPr>
          <w:rFonts w:asciiTheme="minorEastAsia" w:hAnsiTheme="minorEastAsia" w:eastAsiaTheme="minorEastAsia"/>
          <w:bCs/>
          <w:spacing w:val="-4"/>
          <w:sz w:val="32"/>
          <w:szCs w:val="32"/>
        </w:rPr>
      </w:pPr>
    </w:p>
    <w:p>
      <w:pPr>
        <w:widowControl w:val="0"/>
        <w:spacing w:line="574" w:lineRule="exact"/>
        <w:jc w:val="center"/>
        <w:rPr>
          <w:rFonts w:asciiTheme="minorEastAsia" w:hAnsiTheme="minorEastAsia" w:eastAsiaTheme="minorEastAsia"/>
          <w:bCs/>
          <w:spacing w:val="-4"/>
          <w:sz w:val="32"/>
          <w:szCs w:val="32"/>
        </w:rPr>
      </w:pPr>
    </w:p>
    <w:p>
      <w:pPr>
        <w:widowControl w:val="0"/>
        <w:spacing w:line="574" w:lineRule="exact"/>
        <w:jc w:val="center"/>
        <w:rPr>
          <w:rFonts w:asciiTheme="minorEastAsia" w:hAnsiTheme="minorEastAsia" w:eastAsiaTheme="minorEastAsia"/>
          <w:bCs/>
          <w:spacing w:val="-4"/>
          <w:sz w:val="44"/>
          <w:szCs w:val="44"/>
        </w:rPr>
      </w:pPr>
      <w:r>
        <w:rPr>
          <w:rFonts w:asciiTheme="minorEastAsia" w:hAnsiTheme="minorEastAsia" w:eastAsiaTheme="minorEastAsia"/>
          <w:bCs/>
          <w:spacing w:val="-4"/>
          <w:sz w:val="44"/>
          <w:szCs w:val="44"/>
        </w:rPr>
        <w:t>伊春市红松保护条例</w:t>
      </w:r>
    </w:p>
    <w:p>
      <w:pPr>
        <w:widowControl w:val="0"/>
        <w:spacing w:line="574" w:lineRule="exact"/>
        <w:ind w:firstLine="632" w:firstLineChars="200"/>
        <w:outlineLvl w:val="1"/>
        <w:rPr>
          <w:rFonts w:ascii="楷体_GB2312" w:hAnsi="楷体_GB2312" w:eastAsia="楷体_GB2312" w:cs="楷体_GB2312"/>
          <w:szCs w:val="32"/>
        </w:rPr>
      </w:pPr>
    </w:p>
    <w:p>
      <w:pPr>
        <w:widowControl w:val="0"/>
        <w:spacing w:line="574" w:lineRule="exact"/>
        <w:ind w:firstLine="632" w:firstLineChars="200"/>
        <w:jc w:val="both"/>
        <w:outlineLvl w:val="1"/>
        <w:rPr>
          <w:rFonts w:ascii="楷体_GB2312" w:hAnsi="楷体_GB2312" w:eastAsia="楷体_GB2312" w:cs="楷体_GB2312"/>
          <w:szCs w:val="32"/>
        </w:rPr>
      </w:pPr>
      <w:r>
        <w:rPr>
          <w:rFonts w:hint="eastAsia" w:ascii="楷体_GB2312" w:hAnsi="楷体_GB2312" w:eastAsia="楷体_GB2312" w:cs="楷体_GB2312"/>
          <w:szCs w:val="32"/>
        </w:rPr>
        <w:t>(2022年8月29日伊春市第十五届人民代表大会常务委</w:t>
      </w:r>
    </w:p>
    <w:p>
      <w:pPr>
        <w:widowControl w:val="0"/>
        <w:spacing w:line="574" w:lineRule="exact"/>
        <w:ind w:firstLine="632" w:firstLineChars="200"/>
        <w:jc w:val="both"/>
        <w:outlineLvl w:val="1"/>
        <w:rPr>
          <w:rFonts w:hint="eastAsia" w:ascii="楷体_GB2312" w:hAnsi="楷体_GB2312" w:eastAsia="楷体_GB2312" w:cs="楷体_GB2312"/>
          <w:szCs w:val="32"/>
        </w:rPr>
      </w:pPr>
      <w:r>
        <w:rPr>
          <w:rFonts w:hint="eastAsia" w:ascii="楷体_GB2312" w:hAnsi="楷体_GB2312" w:eastAsia="楷体_GB2312" w:cs="楷体_GB2312"/>
          <w:szCs w:val="32"/>
        </w:rPr>
        <w:t>员会第五次会议通过 2022年11月3日黑龙江省第十三</w:t>
      </w:r>
    </w:p>
    <w:p>
      <w:pPr>
        <w:widowControl w:val="0"/>
        <w:spacing w:line="574" w:lineRule="exact"/>
        <w:ind w:firstLine="632" w:firstLineChars="200"/>
        <w:jc w:val="both"/>
        <w:outlineLvl w:val="1"/>
        <w:rPr>
          <w:rFonts w:ascii="楷体_GB2312" w:hAnsi="楷体_GB2312" w:eastAsia="楷体_GB2312" w:cs="楷体_GB2312"/>
          <w:szCs w:val="32"/>
        </w:rPr>
      </w:pPr>
      <w:r>
        <w:rPr>
          <w:rFonts w:hint="eastAsia" w:ascii="楷体_GB2312" w:hAnsi="楷体_GB2312" w:eastAsia="楷体_GB2312" w:cs="楷体_GB2312"/>
          <w:szCs w:val="32"/>
        </w:rPr>
        <w:t>届人民代表大会常务委员会第三十六次会议批准)</w:t>
      </w:r>
    </w:p>
    <w:p>
      <w:pPr>
        <w:widowControl w:val="0"/>
        <w:spacing w:line="574" w:lineRule="exact"/>
        <w:ind w:firstLine="616" w:firstLineChars="200"/>
        <w:rPr>
          <w:rFonts w:ascii="黑体" w:hAnsi="黑体" w:eastAsia="黑体"/>
          <w:bCs/>
          <w:spacing w:val="-4"/>
          <w:szCs w:val="32"/>
        </w:rPr>
      </w:pPr>
      <w:bookmarkStart w:id="0" w:name="_GoBack"/>
      <w:bookmarkEnd w:id="0"/>
    </w:p>
    <w:p>
      <w:pPr>
        <w:widowControl w:val="0"/>
        <w:spacing w:line="574" w:lineRule="exact"/>
        <w:ind w:firstLine="632" w:firstLineChars="200"/>
        <w:rPr>
          <w:bCs/>
        </w:rPr>
      </w:pPr>
      <w:r>
        <w:rPr>
          <w:rFonts w:ascii="黑体" w:hAnsi="黑体" w:eastAsia="黑体"/>
          <w:bCs/>
          <w:szCs w:val="32"/>
        </w:rPr>
        <w:t>第一条</w:t>
      </w:r>
      <w:r>
        <w:rPr>
          <w:rFonts w:hint="eastAsia" w:ascii="仿宋_GB2312" w:hAnsi="仿宋" w:eastAsia="仿宋_GB2312"/>
          <w:bCs/>
          <w:szCs w:val="32"/>
        </w:rPr>
        <w:t xml:space="preserve">  </w:t>
      </w:r>
      <w:r>
        <w:rPr>
          <w:rFonts w:ascii="仿宋_GB2312" w:hAnsi="仿宋_GB2312" w:eastAsia="仿宋_GB2312"/>
          <w:bCs/>
          <w:szCs w:val="32"/>
        </w:rPr>
        <w:t>为了加强对红松的保护，恢复和培育红松资源，突出“红松故乡”特色，根据《中华人民共和国森林法》《中华人民共和国野生植物保护条例》等有关法律</w:t>
      </w:r>
      <w:r>
        <w:rPr>
          <w:rFonts w:hint="eastAsia" w:ascii="仿宋_GB2312" w:hAnsi="仿宋_GB2312" w:eastAsia="仿宋_GB2312"/>
          <w:bCs/>
          <w:szCs w:val="32"/>
        </w:rPr>
        <w:t>、</w:t>
      </w:r>
      <w:r>
        <w:rPr>
          <w:rFonts w:ascii="仿宋_GB2312" w:hAnsi="仿宋_GB2312" w:eastAsia="仿宋_GB2312"/>
          <w:bCs/>
          <w:szCs w:val="32"/>
        </w:rPr>
        <w:t>法规的规定</w:t>
      </w:r>
      <w:r>
        <w:rPr>
          <w:rFonts w:hint="eastAsia" w:ascii="仿宋_GB2312" w:hAnsi="仿宋_GB2312" w:eastAsia="仿宋_GB2312"/>
          <w:bCs/>
          <w:szCs w:val="32"/>
        </w:rPr>
        <w:t>，</w:t>
      </w:r>
      <w:r>
        <w:rPr>
          <w:rFonts w:ascii="仿宋_GB2312" w:hAnsi="仿宋_GB2312" w:eastAsia="仿宋_GB2312"/>
          <w:bCs/>
          <w:szCs w:val="32"/>
        </w:rPr>
        <w:t>结合我市实际，制定本条例。</w:t>
      </w:r>
    </w:p>
    <w:p>
      <w:pPr>
        <w:widowControl w:val="0"/>
        <w:spacing w:line="574" w:lineRule="exact"/>
        <w:ind w:firstLine="616" w:firstLineChars="200"/>
        <w:rPr>
          <w:bCs/>
        </w:rPr>
      </w:pPr>
      <w:r>
        <w:rPr>
          <w:rFonts w:ascii="黑体" w:hAnsi="黑体" w:eastAsia="黑体"/>
          <w:bCs/>
          <w:spacing w:val="-4"/>
          <w:szCs w:val="32"/>
        </w:rPr>
        <w:t>第二条</w:t>
      </w:r>
      <w:r>
        <w:rPr>
          <w:rFonts w:hint="eastAsia" w:ascii="仿宋_GB2312" w:hAnsi="仿宋" w:eastAsia="仿宋_GB2312"/>
          <w:bCs/>
          <w:spacing w:val="-4"/>
          <w:szCs w:val="32"/>
        </w:rPr>
        <w:t xml:space="preserve">  </w:t>
      </w:r>
      <w:r>
        <w:rPr>
          <w:rFonts w:ascii="仿宋_GB2312" w:hAnsi="仿宋_GB2312" w:eastAsia="仿宋_GB2312"/>
          <w:bCs/>
          <w:spacing w:val="-4"/>
          <w:szCs w:val="32"/>
        </w:rPr>
        <w:t>本市行政区域内（不含城镇规划区）的红松保护活动，适用本条例。</w:t>
      </w:r>
    </w:p>
    <w:p>
      <w:pPr>
        <w:widowControl w:val="0"/>
        <w:spacing w:line="574" w:lineRule="exact"/>
        <w:ind w:firstLine="616" w:firstLineChars="200"/>
        <w:rPr>
          <w:bCs/>
        </w:rPr>
      </w:pPr>
      <w:r>
        <w:rPr>
          <w:rFonts w:ascii="黑体" w:hAnsi="黑体" w:eastAsia="黑体"/>
          <w:bCs/>
          <w:spacing w:val="-4"/>
          <w:szCs w:val="32"/>
        </w:rPr>
        <w:t>第三条</w:t>
      </w:r>
      <w:r>
        <w:rPr>
          <w:rFonts w:hint="eastAsia" w:ascii="仿宋_GB2312" w:hAnsi="仿宋" w:eastAsia="仿宋_GB2312"/>
          <w:bCs/>
          <w:spacing w:val="-4"/>
          <w:szCs w:val="32"/>
        </w:rPr>
        <w:t xml:space="preserve">  </w:t>
      </w:r>
      <w:r>
        <w:rPr>
          <w:rFonts w:ascii="仿宋_GB2312" w:hAnsi="仿宋_GB2312" w:eastAsia="仿宋_GB2312"/>
          <w:bCs/>
          <w:spacing w:val="-4"/>
          <w:szCs w:val="32"/>
        </w:rPr>
        <w:t>红松保护应遵循政府主导、全员参与、生态优先、强化保护、永续利用的原则。</w:t>
      </w:r>
    </w:p>
    <w:p>
      <w:pPr>
        <w:widowControl w:val="0"/>
        <w:spacing w:line="574" w:lineRule="exact"/>
        <w:ind w:firstLine="616" w:firstLineChars="200"/>
        <w:rPr>
          <w:bCs/>
        </w:rPr>
      </w:pPr>
      <w:r>
        <w:rPr>
          <w:rFonts w:ascii="黑体" w:hAnsi="黑体" w:eastAsia="黑体"/>
          <w:bCs/>
          <w:spacing w:val="-4"/>
          <w:szCs w:val="32"/>
        </w:rPr>
        <w:t>第四条</w:t>
      </w:r>
      <w:r>
        <w:rPr>
          <w:rFonts w:hint="eastAsia" w:ascii="仿宋_GB2312" w:hAnsi="仿宋" w:eastAsia="仿宋_GB2312"/>
          <w:bCs/>
          <w:spacing w:val="-4"/>
          <w:szCs w:val="32"/>
        </w:rPr>
        <w:t xml:space="preserve">  </w:t>
      </w:r>
      <w:r>
        <w:rPr>
          <w:rFonts w:ascii="仿宋_GB2312" w:hAnsi="仿宋_GB2312" w:eastAsia="仿宋_GB2312"/>
          <w:bCs/>
          <w:spacing w:val="-4"/>
          <w:szCs w:val="32"/>
        </w:rPr>
        <w:t>林业</w:t>
      </w:r>
      <w:r>
        <w:rPr>
          <w:rFonts w:hint="eastAsia" w:ascii="仿宋_GB2312" w:hAnsi="仿宋_GB2312" w:eastAsia="仿宋_GB2312"/>
          <w:bCs/>
          <w:spacing w:val="-4"/>
          <w:szCs w:val="32"/>
        </w:rPr>
        <w:t>和草原</w:t>
      </w:r>
      <w:r>
        <w:rPr>
          <w:rFonts w:ascii="仿宋_GB2312" w:hAnsi="仿宋_GB2312" w:eastAsia="仿宋_GB2312"/>
          <w:bCs/>
          <w:spacing w:val="-4"/>
          <w:szCs w:val="32"/>
        </w:rPr>
        <w:t>行政主管部门主管红松保护工作。</w:t>
      </w:r>
    </w:p>
    <w:p>
      <w:pPr>
        <w:widowControl w:val="0"/>
        <w:spacing w:line="574" w:lineRule="exact"/>
        <w:ind w:firstLine="616" w:firstLineChars="200"/>
        <w:rPr>
          <w:rFonts w:ascii="仿宋_GB2312" w:hAnsi="仿宋_GB2312" w:eastAsia="仿宋_GB2312"/>
          <w:bCs/>
          <w:szCs w:val="32"/>
        </w:rPr>
      </w:pPr>
      <w:r>
        <w:rPr>
          <w:rFonts w:ascii="仿宋_GB2312" w:hAnsi="仿宋_GB2312" w:eastAsia="仿宋_GB2312"/>
          <w:bCs/>
          <w:spacing w:val="-4"/>
          <w:szCs w:val="32"/>
        </w:rPr>
        <w:t>生态环境、自然资源、文化旅游、农业农村、交通运输、水务、公安、财政等单位按照各自职责做好红松保护的相关工作。</w:t>
      </w:r>
    </w:p>
    <w:p>
      <w:pPr>
        <w:widowControl w:val="0"/>
        <w:spacing w:line="574" w:lineRule="exact"/>
        <w:ind w:firstLine="616" w:firstLineChars="200"/>
        <w:rPr>
          <w:bCs/>
        </w:rPr>
      </w:pPr>
      <w:r>
        <w:rPr>
          <w:rFonts w:ascii="黑体" w:hAnsi="黑体" w:eastAsia="黑体"/>
          <w:bCs/>
          <w:spacing w:val="-4"/>
          <w:szCs w:val="32"/>
        </w:rPr>
        <w:t>第五条</w:t>
      </w:r>
      <w:r>
        <w:rPr>
          <w:rFonts w:hint="eastAsia" w:ascii="仿宋_GB2312" w:hAnsi="仿宋" w:eastAsia="仿宋_GB2312"/>
          <w:bCs/>
          <w:spacing w:val="-4"/>
          <w:szCs w:val="32"/>
        </w:rPr>
        <w:t xml:space="preserve">  </w:t>
      </w:r>
      <w:r>
        <w:rPr>
          <w:rFonts w:ascii="仿宋_GB2312" w:hAnsi="仿宋_GB2312" w:eastAsia="仿宋_GB2312"/>
          <w:bCs/>
          <w:spacing w:val="-4"/>
          <w:szCs w:val="32"/>
        </w:rPr>
        <w:t>国有森工企业、森林公园管理机构、自然保护区管理机构、地方国有林场、村集体组织及其他经营管理红松的单位（以下统称森林经营单位）负有保护红松的责任。</w:t>
      </w:r>
    </w:p>
    <w:p>
      <w:pPr>
        <w:widowControl w:val="0"/>
        <w:spacing w:line="574" w:lineRule="exact"/>
        <w:ind w:firstLine="616" w:firstLineChars="200"/>
        <w:rPr>
          <w:bCs/>
        </w:rPr>
      </w:pPr>
      <w:r>
        <w:rPr>
          <w:rFonts w:ascii="黑体" w:hAnsi="黑体" w:eastAsia="黑体"/>
          <w:bCs/>
          <w:spacing w:val="-4"/>
          <w:szCs w:val="32"/>
        </w:rPr>
        <w:t>第六条</w:t>
      </w:r>
      <w:r>
        <w:rPr>
          <w:rFonts w:hint="eastAsia" w:ascii="仿宋_GB2312" w:hAnsi="仿宋" w:eastAsia="仿宋_GB2312"/>
          <w:bCs/>
          <w:spacing w:val="-4"/>
          <w:szCs w:val="32"/>
        </w:rPr>
        <w:t xml:space="preserve">  </w:t>
      </w:r>
      <w:r>
        <w:rPr>
          <w:rFonts w:ascii="仿宋_GB2312" w:hAnsi="仿宋_GB2312" w:eastAsia="仿宋_GB2312"/>
          <w:bCs/>
          <w:spacing w:val="-4"/>
          <w:szCs w:val="32"/>
        </w:rPr>
        <w:t>市、县（市）区人民政府应当将红松保护纳入当地国民经济和社会发展总体规划，制定红松保护专项规划。</w:t>
      </w:r>
    </w:p>
    <w:p>
      <w:pPr>
        <w:widowControl w:val="0"/>
        <w:spacing w:line="574" w:lineRule="exact"/>
        <w:ind w:firstLine="616" w:firstLineChars="200"/>
        <w:rPr>
          <w:bCs/>
        </w:rPr>
      </w:pPr>
      <w:r>
        <w:rPr>
          <w:rFonts w:ascii="仿宋_GB2312" w:hAnsi="仿宋_GB2312" w:eastAsia="仿宋_GB2312"/>
          <w:bCs/>
          <w:spacing w:val="-4"/>
          <w:szCs w:val="32"/>
        </w:rPr>
        <w:t>市、县（市）区人民政府应当将红松保护所需资金列入年度财政预算。</w:t>
      </w:r>
    </w:p>
    <w:p>
      <w:pPr>
        <w:widowControl w:val="0"/>
        <w:spacing w:line="574" w:lineRule="exact"/>
        <w:ind w:firstLine="616" w:firstLineChars="200"/>
        <w:rPr>
          <w:bCs/>
        </w:rPr>
      </w:pPr>
      <w:r>
        <w:rPr>
          <w:rFonts w:ascii="黑体" w:hAnsi="黑体" w:eastAsia="黑体"/>
          <w:bCs/>
          <w:spacing w:val="-4"/>
          <w:szCs w:val="32"/>
        </w:rPr>
        <w:t>第七条</w:t>
      </w:r>
      <w:r>
        <w:rPr>
          <w:rFonts w:hint="eastAsia" w:ascii="仿宋_GB2312" w:hAnsi="仿宋" w:eastAsia="仿宋_GB2312"/>
          <w:bCs/>
          <w:spacing w:val="-4"/>
          <w:szCs w:val="32"/>
        </w:rPr>
        <w:t xml:space="preserve">  </w:t>
      </w:r>
      <w:r>
        <w:rPr>
          <w:rFonts w:ascii="仿宋_GB2312" w:hAnsi="仿宋_GB2312" w:eastAsia="仿宋_GB2312"/>
          <w:bCs/>
          <w:spacing w:val="-4"/>
          <w:szCs w:val="32"/>
        </w:rPr>
        <w:t>红松为伊春市市树。</w:t>
      </w:r>
    </w:p>
    <w:p>
      <w:pPr>
        <w:widowControl w:val="0"/>
        <w:spacing w:line="574" w:lineRule="exact"/>
        <w:ind w:firstLine="616" w:firstLineChars="200"/>
        <w:rPr>
          <w:bCs/>
        </w:rPr>
      </w:pPr>
      <w:r>
        <w:rPr>
          <w:rFonts w:ascii="仿宋_GB2312" w:hAnsi="仿宋_GB2312" w:eastAsia="仿宋_GB2312"/>
          <w:bCs/>
          <w:spacing w:val="-4"/>
          <w:szCs w:val="32"/>
        </w:rPr>
        <w:t>市、县（市）区人民政府应当加强对红松保护的宣传和教育，普及保护知识，并可以建立以红松为主要树种的纪念林。</w:t>
      </w:r>
    </w:p>
    <w:p>
      <w:pPr>
        <w:widowControl w:val="0"/>
        <w:spacing w:line="574" w:lineRule="exact"/>
        <w:ind w:firstLine="616" w:firstLineChars="200"/>
        <w:rPr>
          <w:bCs/>
        </w:rPr>
      </w:pPr>
      <w:r>
        <w:rPr>
          <w:rFonts w:ascii="黑体" w:hAnsi="黑体" w:eastAsia="黑体"/>
          <w:bCs/>
          <w:spacing w:val="-4"/>
          <w:szCs w:val="32"/>
        </w:rPr>
        <w:t>第八条</w:t>
      </w:r>
      <w:r>
        <w:rPr>
          <w:rFonts w:hint="eastAsia" w:ascii="仿宋_GB2312" w:hAnsi="仿宋" w:eastAsia="仿宋_GB2312"/>
          <w:bCs/>
          <w:spacing w:val="-4"/>
          <w:szCs w:val="32"/>
        </w:rPr>
        <w:t xml:space="preserve">  </w:t>
      </w:r>
      <w:r>
        <w:rPr>
          <w:rFonts w:ascii="仿宋_GB2312" w:hAnsi="仿宋_GB2312" w:eastAsia="仿宋_GB2312"/>
          <w:bCs/>
          <w:spacing w:val="-4"/>
          <w:szCs w:val="32"/>
        </w:rPr>
        <w:t>鼓励单位和个人通过捐献资金、认领等方式参与红松保护活动。</w:t>
      </w:r>
    </w:p>
    <w:p>
      <w:pPr>
        <w:widowControl w:val="0"/>
        <w:spacing w:line="574" w:lineRule="exact"/>
        <w:ind w:firstLine="616" w:firstLineChars="200"/>
        <w:rPr>
          <w:rFonts w:ascii="仿宋_GB2312" w:hAnsi="仿宋_GB2312" w:eastAsia="仿宋_GB2312"/>
          <w:bCs/>
          <w:szCs w:val="32"/>
        </w:rPr>
      </w:pPr>
      <w:r>
        <w:rPr>
          <w:rFonts w:ascii="仿宋_GB2312" w:hAnsi="仿宋_GB2312" w:eastAsia="仿宋_GB2312"/>
          <w:bCs/>
          <w:spacing w:val="-4"/>
          <w:szCs w:val="32"/>
        </w:rPr>
        <w:t>市人民政府应当完善红松认领制度，对可供认领和已被认领的红松建立档案、设立标志、建设认领信息平台和识别系统。</w:t>
      </w:r>
    </w:p>
    <w:p>
      <w:pPr>
        <w:widowControl w:val="0"/>
        <w:spacing w:line="574" w:lineRule="exact"/>
        <w:ind w:firstLine="616" w:firstLineChars="200"/>
        <w:rPr>
          <w:rFonts w:ascii="仿宋_GB2312" w:hAnsi="仿宋_GB2312" w:eastAsia="仿宋_GB2312"/>
          <w:bCs/>
          <w:szCs w:val="32"/>
        </w:rPr>
      </w:pPr>
      <w:r>
        <w:rPr>
          <w:rFonts w:ascii="仿宋_GB2312" w:hAnsi="仿宋_GB2312" w:eastAsia="仿宋_GB2312"/>
          <w:bCs/>
          <w:spacing w:val="-4"/>
          <w:szCs w:val="32"/>
        </w:rPr>
        <w:t>森林经营单位负责对认领的红松进行管护。</w:t>
      </w:r>
    </w:p>
    <w:p>
      <w:pPr>
        <w:widowControl w:val="0"/>
        <w:spacing w:line="574" w:lineRule="exact"/>
        <w:ind w:firstLine="616" w:firstLineChars="200"/>
        <w:rPr>
          <w:rFonts w:ascii="仿宋_GB2312" w:hAnsi="仿宋_GB2312" w:eastAsia="仿宋_GB2312"/>
          <w:bCs/>
          <w:szCs w:val="32"/>
        </w:rPr>
      </w:pPr>
      <w:r>
        <w:rPr>
          <w:rFonts w:ascii="仿宋_GB2312" w:hAnsi="仿宋_GB2312" w:eastAsia="仿宋_GB2312"/>
          <w:bCs/>
          <w:spacing w:val="-4"/>
          <w:szCs w:val="32"/>
        </w:rPr>
        <w:t>捐献的资金应当专款用于红松保护，定期向社会公开使用情况。</w:t>
      </w:r>
    </w:p>
    <w:p>
      <w:pPr>
        <w:widowControl w:val="0"/>
        <w:spacing w:line="574" w:lineRule="exact"/>
        <w:ind w:firstLine="616" w:firstLineChars="200"/>
        <w:rPr>
          <w:bCs/>
        </w:rPr>
      </w:pPr>
      <w:r>
        <w:rPr>
          <w:rFonts w:ascii="黑体" w:hAnsi="黑体" w:eastAsia="黑体"/>
          <w:bCs/>
          <w:spacing w:val="-4"/>
          <w:szCs w:val="32"/>
        </w:rPr>
        <w:t>第九条</w:t>
      </w:r>
      <w:r>
        <w:rPr>
          <w:rFonts w:hint="eastAsia" w:ascii="仿宋_GB2312" w:hAnsi="仿宋" w:eastAsia="仿宋_GB2312"/>
          <w:bCs/>
          <w:spacing w:val="-4"/>
          <w:szCs w:val="32"/>
        </w:rPr>
        <w:t xml:space="preserve">  </w:t>
      </w:r>
      <w:r>
        <w:rPr>
          <w:rFonts w:ascii="仿宋_GB2312" w:hAnsi="仿宋_GB2312" w:eastAsia="仿宋_GB2312"/>
          <w:bCs/>
          <w:spacing w:val="-4"/>
          <w:szCs w:val="32"/>
        </w:rPr>
        <w:t>停止天然红松商业性采伐。</w:t>
      </w:r>
    </w:p>
    <w:p>
      <w:pPr>
        <w:widowControl w:val="0"/>
        <w:spacing w:line="574" w:lineRule="exact"/>
        <w:ind w:firstLine="616" w:firstLineChars="200"/>
        <w:rPr>
          <w:bCs/>
        </w:rPr>
      </w:pPr>
      <w:r>
        <w:rPr>
          <w:rFonts w:ascii="黑体" w:hAnsi="黑体" w:eastAsia="黑体"/>
          <w:bCs/>
          <w:spacing w:val="-4"/>
          <w:szCs w:val="32"/>
        </w:rPr>
        <w:t>第十条</w:t>
      </w:r>
      <w:r>
        <w:rPr>
          <w:rFonts w:hint="eastAsia" w:ascii="仿宋_GB2312" w:hAnsi="仿宋" w:eastAsia="仿宋_GB2312"/>
          <w:bCs/>
          <w:spacing w:val="-4"/>
          <w:szCs w:val="32"/>
        </w:rPr>
        <w:t xml:space="preserve">  </w:t>
      </w:r>
      <w:r>
        <w:rPr>
          <w:rFonts w:ascii="仿宋_GB2312" w:hAnsi="仿宋_GB2312" w:eastAsia="仿宋_GB2312"/>
          <w:bCs/>
          <w:spacing w:val="-4"/>
          <w:szCs w:val="32"/>
        </w:rPr>
        <w:t>森林经营单位应当根据红松分布及地理环境特点，采取相应的保护措施。</w:t>
      </w:r>
    </w:p>
    <w:p>
      <w:pPr>
        <w:widowControl w:val="0"/>
        <w:spacing w:line="574" w:lineRule="exact"/>
        <w:ind w:firstLine="616" w:firstLineChars="200"/>
        <w:rPr>
          <w:rFonts w:ascii="仿宋_GB2312" w:hAnsi="仿宋_GB2312" w:eastAsia="仿宋_GB2312"/>
          <w:bCs/>
          <w:szCs w:val="32"/>
        </w:rPr>
      </w:pPr>
      <w:r>
        <w:rPr>
          <w:rFonts w:ascii="仿宋_GB2312" w:hAnsi="仿宋_GB2312" w:eastAsia="仿宋_GB2312"/>
          <w:bCs/>
          <w:spacing w:val="-4"/>
          <w:szCs w:val="32"/>
        </w:rPr>
        <w:t>（一）在交通不便、人为活动少的远山区以及相对封闭独立且具有一定规模的近山区，设立管护站管护；</w:t>
      </w:r>
    </w:p>
    <w:p>
      <w:pPr>
        <w:widowControl w:val="0"/>
        <w:spacing w:line="574" w:lineRule="exact"/>
        <w:ind w:firstLine="616" w:firstLineChars="200"/>
        <w:rPr>
          <w:rFonts w:ascii="仿宋_GB2312" w:hAnsi="仿宋_GB2312" w:eastAsia="仿宋_GB2312"/>
          <w:bCs/>
          <w:szCs w:val="32"/>
        </w:rPr>
      </w:pPr>
      <w:r>
        <w:rPr>
          <w:rFonts w:ascii="仿宋_GB2312" w:hAnsi="仿宋_GB2312" w:eastAsia="仿宋_GB2312"/>
          <w:bCs/>
          <w:spacing w:val="-4"/>
          <w:szCs w:val="32"/>
        </w:rPr>
        <w:t>（二）在交通便利、人为活动频繁的近山区，实行专业管护；</w:t>
      </w:r>
    </w:p>
    <w:p>
      <w:pPr>
        <w:widowControl w:val="0"/>
        <w:spacing w:line="574" w:lineRule="exact"/>
        <w:ind w:firstLine="616" w:firstLineChars="200"/>
        <w:rPr>
          <w:rFonts w:ascii="仿宋_GB2312" w:hAnsi="仿宋_GB2312" w:eastAsia="仿宋_GB2312"/>
          <w:bCs/>
          <w:szCs w:val="32"/>
        </w:rPr>
      </w:pPr>
      <w:r>
        <w:rPr>
          <w:rFonts w:ascii="仿宋_GB2312" w:hAnsi="仿宋_GB2312" w:eastAsia="仿宋_GB2312"/>
          <w:bCs/>
          <w:spacing w:val="-4"/>
          <w:szCs w:val="32"/>
        </w:rPr>
        <w:t>（三）在自然保护区、森林公园、景区景点、主要公路两侧等易造成人为损害的区域，应当设置明显标志，实行重点管护。</w:t>
      </w:r>
    </w:p>
    <w:p>
      <w:pPr>
        <w:widowControl w:val="0"/>
        <w:spacing w:line="574" w:lineRule="exact"/>
        <w:ind w:firstLine="616" w:firstLineChars="200"/>
        <w:rPr>
          <w:bCs/>
        </w:rPr>
      </w:pPr>
      <w:r>
        <w:rPr>
          <w:rFonts w:ascii="黑体" w:hAnsi="黑体" w:eastAsia="黑体"/>
          <w:bCs/>
          <w:spacing w:val="-4"/>
          <w:szCs w:val="32"/>
        </w:rPr>
        <w:t>第十一条</w:t>
      </w:r>
      <w:r>
        <w:rPr>
          <w:rFonts w:hint="eastAsia" w:ascii="仿宋_GB2312" w:hAnsi="仿宋" w:eastAsia="仿宋_GB2312"/>
          <w:bCs/>
          <w:spacing w:val="-4"/>
          <w:szCs w:val="32"/>
        </w:rPr>
        <w:t xml:space="preserve">  </w:t>
      </w:r>
      <w:r>
        <w:rPr>
          <w:rFonts w:ascii="仿宋_GB2312" w:hAnsi="仿宋_GB2312" w:eastAsia="仿宋_GB2312"/>
          <w:bCs/>
          <w:spacing w:val="-4"/>
          <w:szCs w:val="32"/>
        </w:rPr>
        <w:t>森林经营单位应当推广先进红松种植技术，采取天然更新和人工促进相结合的方式，恢复小兴安岭红松顶极群落。</w:t>
      </w:r>
    </w:p>
    <w:p>
      <w:pPr>
        <w:widowControl w:val="0"/>
        <w:spacing w:line="574" w:lineRule="exact"/>
        <w:ind w:firstLine="616" w:firstLineChars="200"/>
        <w:rPr>
          <w:bCs/>
        </w:rPr>
      </w:pPr>
      <w:r>
        <w:rPr>
          <w:rFonts w:ascii="仿宋_GB2312" w:hAnsi="仿宋_GB2312" w:eastAsia="仿宋_GB2312"/>
          <w:bCs/>
          <w:spacing w:val="-4"/>
          <w:szCs w:val="32"/>
        </w:rPr>
        <w:t>森林经营单位应当加强红松种子园和苗圃建设，选育优良品种，培育优良种苗，开展红松中幼龄林抚育，提高林分质量，优化红松中幼龄林生长环境。</w:t>
      </w:r>
    </w:p>
    <w:p>
      <w:pPr>
        <w:widowControl w:val="0"/>
        <w:spacing w:line="574" w:lineRule="exact"/>
        <w:ind w:firstLine="616" w:firstLineChars="200"/>
        <w:jc w:val="both"/>
        <w:rPr>
          <w:bCs/>
        </w:rPr>
      </w:pPr>
      <w:r>
        <w:rPr>
          <w:rFonts w:ascii="黑体" w:hAnsi="黑体" w:eastAsia="黑体"/>
          <w:bCs/>
          <w:spacing w:val="-4"/>
          <w:szCs w:val="32"/>
        </w:rPr>
        <w:t>第十二条</w:t>
      </w:r>
      <w:r>
        <w:rPr>
          <w:rFonts w:hint="eastAsia" w:ascii="仿宋_GB2312" w:hAnsi="仿宋" w:eastAsia="仿宋_GB2312"/>
          <w:bCs/>
          <w:spacing w:val="-4"/>
          <w:szCs w:val="32"/>
        </w:rPr>
        <w:t xml:space="preserve">  </w:t>
      </w:r>
      <w:r>
        <w:rPr>
          <w:rFonts w:ascii="仿宋_GB2312" w:hAnsi="仿宋_GB2312" w:eastAsia="仿宋_GB2312"/>
          <w:bCs/>
          <w:spacing w:val="-4"/>
          <w:szCs w:val="32"/>
        </w:rPr>
        <w:t>市红松保护行政主管部门确定年度红松种子采集期。</w:t>
      </w:r>
    </w:p>
    <w:p>
      <w:pPr>
        <w:widowControl w:val="0"/>
        <w:spacing w:line="574" w:lineRule="exact"/>
        <w:ind w:firstLine="616" w:firstLineChars="200"/>
        <w:rPr>
          <w:rFonts w:ascii="仿宋_GB2312" w:hAnsi="仿宋_GB2312" w:eastAsia="仿宋_GB2312"/>
          <w:bCs/>
          <w:szCs w:val="32"/>
        </w:rPr>
      </w:pPr>
      <w:r>
        <w:rPr>
          <w:rFonts w:ascii="仿宋_GB2312" w:hAnsi="仿宋_GB2312" w:eastAsia="仿宋_GB2312"/>
          <w:bCs/>
          <w:spacing w:val="-4"/>
          <w:szCs w:val="32"/>
        </w:rPr>
        <w:t>森林经营单位依法组织年度红松种子的采集工作，科学确定采集强度和采集方式，防止过度采集和掠青行为。</w:t>
      </w:r>
    </w:p>
    <w:p>
      <w:pPr>
        <w:widowControl w:val="0"/>
        <w:spacing w:line="574" w:lineRule="exact"/>
        <w:ind w:firstLine="616" w:firstLineChars="200"/>
        <w:rPr>
          <w:rFonts w:ascii="仿宋_GB2312" w:hAnsi="仿宋_GB2312" w:eastAsia="仿宋_GB2312"/>
          <w:bCs/>
          <w:szCs w:val="32"/>
        </w:rPr>
      </w:pPr>
      <w:r>
        <w:rPr>
          <w:rFonts w:ascii="仿宋_GB2312" w:hAnsi="仿宋_GB2312" w:eastAsia="仿宋_GB2312"/>
          <w:bCs/>
          <w:spacing w:val="-4"/>
          <w:szCs w:val="32"/>
        </w:rPr>
        <w:t>红松保护行政主管部门应当加强红松种子采集的监督检查。</w:t>
      </w:r>
    </w:p>
    <w:p>
      <w:pPr>
        <w:widowControl w:val="0"/>
        <w:spacing w:line="574" w:lineRule="exact"/>
        <w:ind w:firstLine="616" w:firstLineChars="200"/>
        <w:rPr>
          <w:bCs/>
        </w:rPr>
      </w:pPr>
      <w:r>
        <w:rPr>
          <w:rFonts w:ascii="黑体" w:hAnsi="黑体" w:eastAsia="黑体"/>
          <w:bCs/>
          <w:spacing w:val="-4"/>
          <w:szCs w:val="32"/>
        </w:rPr>
        <w:t>第十三条</w:t>
      </w:r>
      <w:r>
        <w:rPr>
          <w:rFonts w:hint="eastAsia" w:ascii="仿宋_GB2312" w:hAnsi="仿宋" w:eastAsia="仿宋_GB2312"/>
          <w:bCs/>
          <w:spacing w:val="-4"/>
          <w:szCs w:val="32"/>
        </w:rPr>
        <w:t xml:space="preserve">  </w:t>
      </w:r>
      <w:r>
        <w:rPr>
          <w:rFonts w:ascii="仿宋_GB2312" w:hAnsi="仿宋_GB2312" w:eastAsia="仿宋_GB2312"/>
          <w:bCs/>
          <w:spacing w:val="-4"/>
          <w:szCs w:val="32"/>
        </w:rPr>
        <w:t>任何单位和个人都有保护红松的义务。发现红松遭受危害、损害的，应当向红松保护行政主管部门或者森林经营单位报告；发现损害红松资源行为的，应当制止和检举控告。</w:t>
      </w:r>
    </w:p>
    <w:p>
      <w:pPr>
        <w:widowControl w:val="0"/>
        <w:spacing w:line="574" w:lineRule="exact"/>
        <w:ind w:firstLine="616" w:firstLineChars="200"/>
        <w:jc w:val="both"/>
        <w:rPr>
          <w:bCs/>
        </w:rPr>
      </w:pPr>
      <w:r>
        <w:rPr>
          <w:rFonts w:ascii="黑体" w:hAnsi="黑体" w:eastAsia="黑体"/>
          <w:bCs/>
          <w:spacing w:val="-4"/>
          <w:szCs w:val="32"/>
        </w:rPr>
        <w:t>第十四条</w:t>
      </w:r>
      <w:r>
        <w:rPr>
          <w:rFonts w:hint="eastAsia" w:ascii="仿宋_GB2312" w:hAnsi="仿宋" w:eastAsia="仿宋_GB2312"/>
          <w:bCs/>
          <w:spacing w:val="-4"/>
          <w:szCs w:val="32"/>
        </w:rPr>
        <w:t xml:space="preserve">  </w:t>
      </w:r>
      <w:r>
        <w:rPr>
          <w:rFonts w:ascii="仿宋_GB2312" w:hAnsi="仿宋_GB2312" w:eastAsia="仿宋_GB2312"/>
          <w:bCs/>
          <w:spacing w:val="-4"/>
          <w:szCs w:val="32"/>
        </w:rPr>
        <w:t>红松保护行政主管部门应当依法履行红松病虫害监测与防治职责，指导和支持森林经营单位进行红松病虫害的防治工作。</w:t>
      </w:r>
    </w:p>
    <w:p>
      <w:pPr>
        <w:widowControl w:val="0"/>
        <w:spacing w:line="574" w:lineRule="exact"/>
        <w:ind w:firstLine="616" w:firstLineChars="200"/>
        <w:jc w:val="both"/>
        <w:rPr>
          <w:bCs/>
        </w:rPr>
      </w:pPr>
      <w:r>
        <w:rPr>
          <w:rFonts w:ascii="黑体" w:hAnsi="黑体" w:eastAsia="黑体"/>
          <w:bCs/>
          <w:spacing w:val="-4"/>
          <w:szCs w:val="32"/>
        </w:rPr>
        <w:t>第十五条</w:t>
      </w:r>
      <w:r>
        <w:rPr>
          <w:rFonts w:hint="eastAsia" w:ascii="仿宋_GB2312" w:hAnsi="仿宋" w:eastAsia="仿宋_GB2312"/>
          <w:bCs/>
          <w:spacing w:val="-4"/>
          <w:szCs w:val="32"/>
        </w:rPr>
        <w:t xml:space="preserve">  </w:t>
      </w:r>
      <w:r>
        <w:rPr>
          <w:rFonts w:ascii="仿宋_GB2312" w:hAnsi="仿宋_GB2312" w:eastAsia="仿宋_GB2312"/>
          <w:bCs/>
          <w:spacing w:val="-4"/>
          <w:szCs w:val="32"/>
        </w:rPr>
        <w:t>红松保护行政主管部门和森林经营单位应当定期监测辖区内红松资源消长变化情况，并可以采用数字化、卫星遥感等先进技术，开展红松资源智能化管理，创新红松保护管理方式。</w:t>
      </w:r>
    </w:p>
    <w:p>
      <w:pPr>
        <w:widowControl w:val="0"/>
        <w:spacing w:line="574" w:lineRule="exact"/>
        <w:ind w:firstLine="616" w:firstLineChars="200"/>
        <w:rPr>
          <w:bCs/>
        </w:rPr>
      </w:pPr>
      <w:r>
        <w:rPr>
          <w:rFonts w:ascii="黑体" w:hAnsi="黑体" w:eastAsia="黑体"/>
          <w:bCs/>
          <w:spacing w:val="-4"/>
          <w:szCs w:val="32"/>
        </w:rPr>
        <w:t>第十六条</w:t>
      </w:r>
      <w:r>
        <w:rPr>
          <w:rFonts w:hint="eastAsia" w:ascii="仿宋_GB2312" w:hAnsi="仿宋" w:eastAsia="仿宋_GB2312"/>
          <w:bCs/>
          <w:spacing w:val="-4"/>
          <w:szCs w:val="32"/>
        </w:rPr>
        <w:t xml:space="preserve">  </w:t>
      </w:r>
      <w:r>
        <w:rPr>
          <w:rFonts w:ascii="仿宋_GB2312" w:hAnsi="仿宋_GB2312" w:eastAsia="仿宋_GB2312"/>
          <w:bCs/>
          <w:spacing w:val="-4"/>
          <w:szCs w:val="32"/>
        </w:rPr>
        <w:t>违反本条例规定，依法应当给予行政处罚的，依照有关法律、法规、规章的规定处罚；构成犯罪的，依法追究刑事责任。</w:t>
      </w:r>
    </w:p>
    <w:p>
      <w:pPr>
        <w:widowControl w:val="0"/>
        <w:spacing w:line="574" w:lineRule="exact"/>
        <w:ind w:firstLine="616" w:firstLineChars="200"/>
        <w:rPr>
          <w:bCs/>
        </w:rPr>
      </w:pPr>
      <w:r>
        <w:rPr>
          <w:rFonts w:ascii="黑体" w:hAnsi="黑体" w:eastAsia="黑体"/>
          <w:bCs/>
          <w:spacing w:val="-4"/>
          <w:szCs w:val="32"/>
        </w:rPr>
        <w:t>第十七条</w:t>
      </w:r>
      <w:r>
        <w:rPr>
          <w:rFonts w:hint="eastAsia" w:ascii="仿宋_GB2312" w:hAnsi="仿宋" w:eastAsia="仿宋_GB2312"/>
          <w:bCs/>
          <w:spacing w:val="-4"/>
          <w:szCs w:val="32"/>
        </w:rPr>
        <w:t xml:space="preserve">  </w:t>
      </w:r>
      <w:r>
        <w:rPr>
          <w:rFonts w:ascii="仿宋_GB2312" w:hAnsi="仿宋_GB2312" w:eastAsia="仿宋_GB2312"/>
          <w:bCs/>
          <w:spacing w:val="-4"/>
          <w:szCs w:val="32"/>
        </w:rPr>
        <w:t>违反本条例规定，森林经营单位未尽到管护责任的，由红松保护行政主管部门责令限期改正，依法给予处分。</w:t>
      </w:r>
    </w:p>
    <w:p>
      <w:pPr>
        <w:widowControl w:val="0"/>
        <w:spacing w:line="574" w:lineRule="exact"/>
        <w:ind w:firstLine="616" w:firstLineChars="200"/>
        <w:jc w:val="both"/>
        <w:rPr>
          <w:bCs/>
        </w:rPr>
      </w:pPr>
      <w:r>
        <w:rPr>
          <w:rFonts w:ascii="黑体" w:hAnsi="黑体" w:eastAsia="黑体"/>
          <w:bCs/>
          <w:spacing w:val="-4"/>
          <w:szCs w:val="32"/>
        </w:rPr>
        <w:t>第十八条</w:t>
      </w:r>
      <w:r>
        <w:rPr>
          <w:rFonts w:hint="eastAsia" w:ascii="仿宋_GB2312" w:hAnsi="仿宋" w:eastAsia="仿宋_GB2312"/>
          <w:bCs/>
          <w:spacing w:val="-4"/>
          <w:szCs w:val="32"/>
        </w:rPr>
        <w:t xml:space="preserve">  </w:t>
      </w:r>
      <w:r>
        <w:rPr>
          <w:rFonts w:ascii="仿宋_GB2312" w:hAnsi="仿宋_GB2312" w:eastAsia="仿宋_GB2312"/>
          <w:bCs/>
          <w:spacing w:val="-4"/>
          <w:szCs w:val="32"/>
        </w:rPr>
        <w:t>红松保护行政主管部门、相关部门及其工作人员在保护管理工作中滥用职权、玩忽职守、徇私舞弊的，由有关行政机关或者监察机关对直接负责的主管人员和其他直接责任人员依法给予处分。</w:t>
      </w:r>
    </w:p>
    <w:p>
      <w:pPr>
        <w:widowControl w:val="0"/>
        <w:spacing w:line="574" w:lineRule="exact"/>
        <w:ind w:firstLine="616" w:firstLineChars="200"/>
        <w:rPr>
          <w:bCs/>
        </w:rPr>
      </w:pPr>
      <w:r>
        <w:rPr>
          <w:rFonts w:ascii="黑体" w:hAnsi="黑体" w:eastAsia="黑体"/>
          <w:bCs/>
          <w:spacing w:val="-4"/>
          <w:szCs w:val="32"/>
        </w:rPr>
        <w:t>第十九条</w:t>
      </w:r>
      <w:r>
        <w:rPr>
          <w:rFonts w:hint="eastAsia" w:ascii="仿宋_GB2312" w:hAnsi="仿宋" w:eastAsia="仿宋_GB2312"/>
          <w:bCs/>
          <w:spacing w:val="-4"/>
          <w:szCs w:val="32"/>
        </w:rPr>
        <w:t xml:space="preserve">  </w:t>
      </w:r>
      <w:r>
        <w:rPr>
          <w:rFonts w:ascii="仿宋_GB2312" w:hAnsi="仿宋_GB2312" w:eastAsia="仿宋_GB2312"/>
          <w:bCs/>
          <w:spacing w:val="-4"/>
          <w:szCs w:val="32"/>
        </w:rPr>
        <w:t>本条例自</w:t>
      </w:r>
      <w:r>
        <w:rPr>
          <w:rFonts w:hint="eastAsia" w:ascii="仿宋_GB2312" w:hAnsi="仿宋_GB2312" w:eastAsia="仿宋_GB2312"/>
          <w:bCs/>
          <w:szCs w:val="32"/>
        </w:rPr>
        <w:t>2023</w:t>
      </w:r>
      <w:r>
        <w:rPr>
          <w:rFonts w:ascii="仿宋_GB2312" w:hAnsi="仿宋_GB2312" w:eastAsia="仿宋_GB2312"/>
          <w:bCs/>
          <w:spacing w:val="-4"/>
          <w:szCs w:val="32"/>
        </w:rPr>
        <w:t>年</w:t>
      </w:r>
      <w:r>
        <w:rPr>
          <w:rFonts w:hint="eastAsia" w:ascii="仿宋_GB2312" w:hAnsi="仿宋_GB2312" w:eastAsia="仿宋_GB2312"/>
          <w:bCs/>
          <w:spacing w:val="-4"/>
          <w:szCs w:val="32"/>
        </w:rPr>
        <w:t>1</w:t>
      </w:r>
      <w:r>
        <w:rPr>
          <w:rFonts w:ascii="仿宋_GB2312" w:hAnsi="仿宋_GB2312" w:eastAsia="仿宋_GB2312"/>
          <w:bCs/>
          <w:spacing w:val="-4"/>
          <w:szCs w:val="32"/>
        </w:rPr>
        <w:t>月</w:t>
      </w:r>
      <w:r>
        <w:rPr>
          <w:rFonts w:hint="eastAsia" w:ascii="仿宋_GB2312" w:hAnsi="仿宋_GB2312" w:eastAsia="仿宋_GB2312"/>
          <w:bCs/>
          <w:spacing w:val="-4"/>
          <w:szCs w:val="32"/>
        </w:rPr>
        <w:t>1</w:t>
      </w:r>
      <w:r>
        <w:rPr>
          <w:rFonts w:ascii="仿宋_GB2312" w:hAnsi="仿宋_GB2312" w:eastAsia="仿宋_GB2312"/>
          <w:bCs/>
          <w:spacing w:val="-4"/>
          <w:szCs w:val="32"/>
        </w:rPr>
        <w:t>日起施行。</w:t>
      </w:r>
    </w:p>
    <w:p>
      <w:pPr>
        <w:widowControl w:val="0"/>
        <w:spacing w:line="574" w:lineRule="exact"/>
        <w:ind w:firstLine="632" w:firstLineChars="200"/>
        <w:rPr>
          <w:bCs/>
        </w:rPr>
      </w:pPr>
    </w:p>
    <w:p>
      <w:pPr>
        <w:widowControl w:val="0"/>
        <w:spacing w:line="574" w:lineRule="exact"/>
        <w:rPr>
          <w:bCs/>
        </w:rPr>
      </w:pPr>
    </w:p>
    <w:p>
      <w:pPr>
        <w:spacing w:line="574" w:lineRule="exact"/>
      </w:pPr>
    </w:p>
    <w:sectPr>
      <w:footerReference r:id="rId3" w:type="default"/>
      <w:footerReference r:id="rId4" w:type="even"/>
      <w:pgSz w:w="11906" w:h="16838"/>
      <w:pgMar w:top="2098" w:right="1474" w:bottom="1985" w:left="1588" w:header="851" w:footer="1588"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57001"/>
      <w:docPartObj>
        <w:docPartGallery w:val="autotext"/>
      </w:docPartObj>
    </w:sdtPr>
    <w:sdtContent>
      <w:p>
        <w:pPr>
          <w:pStyle w:val="2"/>
          <w:numPr>
            <w:ilvl w:val="0"/>
            <w:numId w:val="1"/>
          </w:numPr>
          <w:ind w:right="283"/>
          <w:jc w:val="right"/>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3</w:t>
        </w:r>
        <w:r>
          <w:rPr>
            <w:sz w:val="28"/>
            <w:szCs w:val="28"/>
          </w:rPr>
          <w:fldChar w:fldCharType="end"/>
        </w:r>
        <w:r>
          <w:rPr>
            <w:rFonts w:hint="eastAsia"/>
            <w:sz w:val="28"/>
            <w:szCs w:val="28"/>
          </w:rPr>
          <w:t xml:space="preserve"> </w:t>
        </w:r>
        <w:r>
          <w:rPr>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57014"/>
      <w:docPartObj>
        <w:docPartGallery w:val="autotext"/>
      </w:docPartObj>
    </w:sdtPr>
    <w:sdtEndPr>
      <w:rPr>
        <w:sz w:val="28"/>
        <w:szCs w:val="28"/>
      </w:rPr>
    </w:sdtEndPr>
    <w:sdtContent>
      <w:p>
        <w:pPr>
          <w:pStyle w:val="2"/>
          <w:numPr>
            <w:ilvl w:val="0"/>
            <w:numId w:val="2"/>
          </w:numPr>
          <w:ind w:left="680"/>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4</w:t>
        </w:r>
        <w:r>
          <w:rPr>
            <w:sz w:val="28"/>
            <w:szCs w:val="28"/>
          </w:rPr>
          <w:fldChar w:fldCharType="end"/>
        </w:r>
        <w:r>
          <w:rPr>
            <w:rFonts w:hint="eastAsia"/>
            <w:sz w:val="28"/>
            <w:szCs w:val="28"/>
          </w:rPr>
          <w:t xml:space="preserve"> </w:t>
        </w:r>
        <w:r>
          <w:rPr>
            <w:sz w:val="28"/>
            <w:szCs w:val="28"/>
          </w:rPr>
          <w:t>—</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283685"/>
    <w:multiLevelType w:val="multilevel"/>
    <w:tmpl w:val="2C283685"/>
    <w:lvl w:ilvl="0" w:tentative="0">
      <w:start w:val="9"/>
      <w:numFmt w:val="bullet"/>
      <w:lvlText w:val="—"/>
      <w:lvlJc w:val="left"/>
      <w:pPr>
        <w:ind w:left="360" w:hanging="360"/>
      </w:pPr>
      <w:rPr>
        <w:rFonts w:hint="default" w:ascii="Times New Roman" w:hAnsi="Times New Roman" w:eastAsia="宋体" w:cs="Times New Roman"/>
        <w:sz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D066E93"/>
    <w:multiLevelType w:val="multilevel"/>
    <w:tmpl w:val="2D066E93"/>
    <w:lvl w:ilvl="0" w:tentative="0">
      <w:start w:val="9"/>
      <w:numFmt w:val="bullet"/>
      <w:lvlText w:val="—"/>
      <w:lvlJc w:val="left"/>
      <w:pPr>
        <w:ind w:left="360" w:hanging="360"/>
      </w:pPr>
      <w:rPr>
        <w:rFonts w:hint="default" w:ascii="Times New Roman" w:hAnsi="Times New Roman" w:eastAsia="宋体" w:cs="Times New Roman"/>
        <w:sz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zQ4OTUyNTBjZjAwYWY4MWMyMTA0OTBjMmU0MzI3OGUifQ=="/>
  </w:docVars>
  <w:rsids>
    <w:rsidRoot w:val="005A403B"/>
    <w:rsid w:val="0001339A"/>
    <w:rsid w:val="00020D55"/>
    <w:rsid w:val="000321F0"/>
    <w:rsid w:val="000661DC"/>
    <w:rsid w:val="00207BEA"/>
    <w:rsid w:val="002B7DF1"/>
    <w:rsid w:val="00463024"/>
    <w:rsid w:val="004A43AF"/>
    <w:rsid w:val="004D3C28"/>
    <w:rsid w:val="005A403B"/>
    <w:rsid w:val="00630DB3"/>
    <w:rsid w:val="00653D20"/>
    <w:rsid w:val="00721626"/>
    <w:rsid w:val="007A4821"/>
    <w:rsid w:val="008D0962"/>
    <w:rsid w:val="008F247A"/>
    <w:rsid w:val="009617F9"/>
    <w:rsid w:val="009F54BE"/>
    <w:rsid w:val="00A31844"/>
    <w:rsid w:val="00AD020E"/>
    <w:rsid w:val="00AE1BFA"/>
    <w:rsid w:val="00CB6C9D"/>
    <w:rsid w:val="00CD010E"/>
    <w:rsid w:val="00DC15F2"/>
    <w:rsid w:val="00E64ABA"/>
    <w:rsid w:val="00EB2B7B"/>
    <w:rsid w:val="00EC0C56"/>
    <w:rsid w:val="00F77645"/>
    <w:rsid w:val="073272A2"/>
    <w:rsid w:val="1B7F1638"/>
    <w:rsid w:val="2775BE4F"/>
    <w:rsid w:val="2DF68E59"/>
    <w:rsid w:val="4B3B8DD8"/>
    <w:rsid w:val="5E3DD2B6"/>
    <w:rsid w:val="697E7811"/>
    <w:rsid w:val="6C5A032C"/>
    <w:rsid w:val="6EFEE659"/>
    <w:rsid w:val="6F92B3A5"/>
    <w:rsid w:val="6FFE5A22"/>
    <w:rsid w:val="767F592F"/>
    <w:rsid w:val="7E9F2021"/>
    <w:rsid w:val="7EE357E5"/>
    <w:rsid w:val="9FF5D828"/>
    <w:rsid w:val="BE6D556E"/>
    <w:rsid w:val="D79BB665"/>
    <w:rsid w:val="E6F5CCF5"/>
    <w:rsid w:val="E8EFD9F9"/>
    <w:rsid w:val="EE6FE448"/>
    <w:rsid w:val="FE7EDFFF"/>
    <w:rsid w:val="FE9FF30F"/>
    <w:rsid w:val="FEFF39A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32"/>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widowControl w:val="0"/>
      <w:spacing w:before="100" w:beforeAutospacing="1" w:after="100" w:afterAutospacing="1"/>
    </w:pPr>
    <w:rPr>
      <w:rFonts w:ascii="Calibri" w:hAnsi="Calibri" w:cs="Calibri"/>
      <w:sz w:val="24"/>
      <w:szCs w:val="24"/>
    </w:rPr>
  </w:style>
  <w:style w:type="character" w:customStyle="1" w:styleId="7">
    <w:name w:val="页眉 Char"/>
    <w:basedOn w:val="6"/>
    <w:link w:val="3"/>
    <w:semiHidden/>
    <w:qFormat/>
    <w:uiPriority w:val="99"/>
    <w:rPr>
      <w:rFonts w:ascii="Times New Roman" w:hAnsi="Times New Roman" w:eastAsia="宋体" w:cs="Times New Roman"/>
      <w:kern w:val="0"/>
      <w:sz w:val="18"/>
      <w:szCs w:val="18"/>
    </w:rPr>
  </w:style>
  <w:style w:type="character" w:customStyle="1" w:styleId="8">
    <w:name w:val="页脚 Char"/>
    <w:basedOn w:val="6"/>
    <w:link w:val="2"/>
    <w:qFormat/>
    <w:uiPriority w:val="99"/>
    <w:rPr>
      <w:rFonts w:ascii="Times New Roman" w:hAnsi="Times New Roman" w:eastAsia="宋体" w:cs="Times New Roman"/>
      <w:kern w:val="0"/>
      <w:sz w:val="18"/>
      <w:szCs w:val="18"/>
    </w:rPr>
  </w:style>
  <w:style w:type="paragraph" w:styleId="9">
    <w:name w:val="List Paragraph"/>
    <w:basedOn w:val="1"/>
    <w:unhideWhenUsed/>
    <w:uiPriority w:val="99"/>
    <w:pPr>
      <w:ind w:firstLine="42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C58E7-5927-4A9D-8610-C8DEF931943B}">
  <ds:schemaRefs/>
</ds:datastoreItem>
</file>

<file path=docProps/app.xml><?xml version="1.0" encoding="utf-8"?>
<Properties xmlns="http://schemas.openxmlformats.org/officeDocument/2006/extended-properties" xmlns:vt="http://schemas.openxmlformats.org/officeDocument/2006/docPropsVTypes">
  <Template>Normal.dotm</Template>
  <Company>Windows 10</Company>
  <Pages>4</Pages>
  <Words>1498</Words>
  <Characters>1510</Characters>
  <Lines>11</Lines>
  <Paragraphs>3</Paragraphs>
  <TotalTime>17</TotalTime>
  <ScaleCrop>false</ScaleCrop>
  <LinksUpToDate>false</LinksUpToDate>
  <CharactersWithSpaces>1549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2022-11-07T02:20:00Z</dcterms:created>
  <dc:creator>Administrator</dc:creator>
  <cp:lastModifiedBy>佳佳</cp:lastModifiedBy>
  <dcterms:modified xsi:type="dcterms:W3CDTF">2022-12-07T09:31:40Z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6A86D2E3A4DA41A58A6B8EC31C38FF90</vt:lpwstr>
  </property>
</Properties>
</file>