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FFFFFF"/>
        <w:overflowPunct w:val="0"/>
        <w:adjustRightInd w:val="0"/>
        <w:snapToGrid w:val="0"/>
        <w:spacing w:line="590" w:lineRule="exact"/>
        <w:rPr>
          <w:rFonts w:ascii="宋体" w:hAnsi="宋体" w:cs="宋体"/>
          <w:bCs/>
          <w:sz w:val="44"/>
          <w:szCs w:val="44"/>
        </w:rPr>
      </w:pPr>
      <w:r>
        <w:rPr>
          <w:rFonts w:hint="eastAsia" w:ascii="仿宋_GB2312" w:eastAsia="仿宋_GB2312"/>
          <w:szCs w:val="32"/>
        </w:rPr>
        <w:t xml:space="preserve">                            </w:t>
      </w:r>
    </w:p>
    <w:p>
      <w:pPr>
        <w:widowControl w:val="0"/>
        <w:shd w:val="clear" w:color="auto" w:fill="FFFFFF"/>
        <w:overflowPunct w:val="0"/>
        <w:adjustRightInd w:val="0"/>
        <w:snapToGrid w:val="0"/>
        <w:spacing w:line="590" w:lineRule="exact"/>
        <w:jc w:val="center"/>
        <w:rPr>
          <w:rFonts w:ascii="宋体" w:hAnsi="宋体" w:cs="宋体"/>
          <w:bCs/>
          <w:sz w:val="44"/>
          <w:szCs w:val="44"/>
        </w:rPr>
      </w:pPr>
    </w:p>
    <w:p>
      <w:pPr>
        <w:widowControl w:val="0"/>
        <w:shd w:val="clear" w:color="auto" w:fill="FFFFFF"/>
        <w:overflowPunct w:val="0"/>
        <w:adjustRightInd w:val="0"/>
        <w:snapToGrid w:val="0"/>
        <w:spacing w:line="590" w:lineRule="exact"/>
        <w:jc w:val="center"/>
        <w:rPr>
          <w:rFonts w:ascii="宋体" w:cs="宋体"/>
          <w:bCs/>
          <w:sz w:val="44"/>
          <w:szCs w:val="44"/>
        </w:rPr>
      </w:pPr>
      <w:r>
        <w:rPr>
          <w:rFonts w:hint="eastAsia" w:ascii="宋体" w:hAnsi="宋体" w:cs="宋体"/>
          <w:bCs/>
          <w:sz w:val="44"/>
          <w:szCs w:val="44"/>
        </w:rPr>
        <w:t>伊春市餐厨废弃物管理条例</w:t>
      </w:r>
    </w:p>
    <w:p>
      <w:pPr>
        <w:widowControl w:val="0"/>
        <w:overflowPunct w:val="0"/>
        <w:adjustRightInd w:val="0"/>
        <w:snapToGrid w:val="0"/>
        <w:spacing w:line="590" w:lineRule="exact"/>
        <w:ind w:firstLine="632" w:firstLineChars="200"/>
        <w:outlineLvl w:val="0"/>
        <w:rPr>
          <w:rFonts w:asciiTheme="majorEastAsia" w:hAnsiTheme="majorEastAsia" w:eastAsiaTheme="majorEastAsia"/>
          <w:b/>
          <w:bCs/>
          <w:szCs w:val="32"/>
        </w:rPr>
      </w:pPr>
    </w:p>
    <w:p>
      <w:pPr>
        <w:widowControl w:val="0"/>
        <w:overflowPunct w:val="0"/>
        <w:adjustRightInd w:val="0"/>
        <w:snapToGrid w:val="0"/>
        <w:spacing w:line="590" w:lineRule="exact"/>
        <w:ind w:left="624" w:right="680"/>
        <w:jc w:val="both"/>
        <w:outlineLvl w:val="0"/>
        <w:rPr>
          <w:rFonts w:ascii="楷体_GB2312" w:hAnsi="楷体_GB2312" w:eastAsia="楷体_GB2312" w:cs="楷体_GB2312"/>
          <w:b/>
          <w:bCs/>
          <w:szCs w:val="32"/>
        </w:rPr>
      </w:pPr>
      <w:r>
        <w:rPr>
          <w:rFonts w:hint="eastAsia" w:ascii="楷体_GB2312" w:hAnsi="楷体_GB2312" w:eastAsia="楷体_GB2312" w:cs="楷体_GB2312"/>
          <w:bCs/>
          <w:szCs w:val="32"/>
        </w:rPr>
        <w:t>(</w:t>
      </w:r>
      <w:r>
        <w:rPr>
          <w:rFonts w:hint="eastAsia" w:ascii="楷体_GB2312" w:hAnsi="楷体_GB2312" w:eastAsia="楷体_GB2312" w:cs="楷体_GB2312"/>
          <w:kern w:val="2"/>
          <w:szCs w:val="32"/>
        </w:rPr>
        <w:t>2021年10月22日伊春市第十四届人民代表大会常务委员会第三十七次会议表决通过  2021年12月23日黑龙江省第十三届人民代表大会常务委员会第二十九次会议审查批准</w:t>
      </w:r>
      <w:r>
        <w:rPr>
          <w:rFonts w:hint="eastAsia" w:ascii="楷体_GB2312" w:hAnsi="楷体_GB2312" w:eastAsia="楷体_GB2312" w:cs="楷体_GB2312"/>
          <w:bCs/>
          <w:szCs w:val="32"/>
        </w:rPr>
        <w:t>)</w:t>
      </w:r>
    </w:p>
    <w:p>
      <w:pPr>
        <w:widowControl w:val="0"/>
        <w:overflowPunct w:val="0"/>
        <w:adjustRightInd w:val="0"/>
        <w:snapToGrid w:val="0"/>
        <w:spacing w:line="590" w:lineRule="exact"/>
        <w:jc w:val="both"/>
        <w:outlineLvl w:val="0"/>
        <w:rPr>
          <w:rFonts w:cs="宋体" w:asciiTheme="majorEastAsia" w:hAnsiTheme="majorEastAsia" w:eastAsiaTheme="majorEastAsia"/>
          <w:szCs w:val="32"/>
        </w:rPr>
      </w:pP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第一条</w:t>
      </w:r>
      <w:r>
        <w:rPr>
          <w:rFonts w:hint="eastAsia" w:ascii="黑体" w:hAnsi="黑体" w:eastAsia="黑体" w:cs="宋体"/>
          <w:szCs w:val="32"/>
          <w:lang w:eastAsia="zh-CN"/>
        </w:rPr>
        <w:t>　</w:t>
      </w:r>
      <w:r>
        <w:rPr>
          <w:rFonts w:hint="eastAsia" w:ascii="仿宋_GB2312" w:hAnsi="宋体" w:eastAsia="仿宋_GB2312" w:cs="仿宋_GB2312"/>
          <w:szCs w:val="32"/>
        </w:rPr>
        <w:t>为了加强餐厨废弃物管理，维护城市市容环境卫生，保障食品安全和公众身体健康，促进资源循环利用，根据有关法律、法规，结合本市实际，制定本条例。</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第二条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本市餐厨废弃物的产生、收运、处置及其相关管理活动，适用本条例。</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具体实施区域由市人民政府确定，并向社会公布。</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第三条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本条例所称餐厨废弃物，是指居民日常生活以外的单位和食品生产经营者（以下统称餐厨废弃物产生单位）在食品生产加工、餐饮服务等活动中产生的食物残余和废弃食用油脂等废弃物。</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第四条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市、县级人民政府应当加强对餐厨废弃物管理工作的统一领导，提高餐厨废弃物处理能力。</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鼓励和支持社会资本参与餐厨废弃物的收运和处置。</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第五条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市市容环境卫生行政主管部门负责全市餐厨废弃物管理工作。</w:t>
      </w:r>
    </w:p>
    <w:p>
      <w:pPr>
        <w:widowControl w:val="0"/>
        <w:overflowPunct w:val="0"/>
        <w:adjustRightInd w:val="0"/>
        <w:snapToGrid w:val="0"/>
        <w:spacing w:line="590" w:lineRule="exact"/>
        <w:ind w:firstLine="632" w:firstLineChars="200"/>
        <w:jc w:val="both"/>
        <w:outlineLvl w:val="0"/>
        <w:rPr>
          <w:rFonts w:ascii="仿宋_GB2312" w:hAnsi="宋体" w:eastAsia="仿宋_GB2312" w:cs="仿宋_GB2312"/>
          <w:szCs w:val="32"/>
        </w:rPr>
      </w:pPr>
      <w:r>
        <w:rPr>
          <w:rFonts w:hint="eastAsia" w:ascii="仿宋_GB2312" w:hAnsi="宋体" w:eastAsia="仿宋_GB2312" w:cs="仿宋_GB2312"/>
          <w:szCs w:val="32"/>
        </w:rPr>
        <w:t>县级市容环境卫生行政主管部门负责本辖区范围内餐厨废弃物日常管理工作。 </w:t>
      </w:r>
      <w:r>
        <w:rPr>
          <w:rFonts w:ascii="仿宋_GB2312" w:hAnsi="宋体" w:eastAsia="仿宋_GB2312" w:cs="仿宋_GB2312"/>
          <w:szCs w:val="32"/>
        </w:rPr>
        <w:t xml:space="preserve">  </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发展和改革、财政、生态环境、农业农村、公安、市场监管等有关部门应当按照各自职责做好餐厨废弃物管理相关工作。</w:t>
      </w:r>
    </w:p>
    <w:p>
      <w:pPr>
        <w:widowControl w:val="0"/>
        <w:shd w:val="clear" w:color="auto" w:fill="FFFFFF"/>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第六条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餐厨废弃物的收运、处置实行特许经营。未通过协议取得特许经营权的企业，不得从事餐厨废弃物的收运、处置活动。</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县级人民政府应当与取得特许经营权的餐厨废弃物收运、处置企业签订特许经营协议，明确经营范围、服务标准、经费保障等内容。</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第七条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市、县级人民政府应当将餐厨废弃物相关处理经费纳入财政预算，定期对收运、处置企业进行运营经费核算，按照核算结果和特许经营协议及时支付相应经费。</w:t>
      </w:r>
    </w:p>
    <w:p>
      <w:pPr>
        <w:pStyle w:val="8"/>
        <w:overflowPunct w:val="0"/>
        <w:adjustRightInd w:val="0"/>
        <w:snapToGrid w:val="0"/>
        <w:spacing w:before="0" w:beforeAutospacing="0" w:after="0" w:afterAutospacing="0" w:line="590" w:lineRule="exact"/>
        <w:ind w:firstLine="632" w:firstLineChars="200"/>
        <w:jc w:val="both"/>
        <w:rPr>
          <w:rFonts w:ascii="仿宋_GB2312" w:hAnsi="宋体" w:eastAsia="仿宋_GB2312" w:cs="Times New Roman"/>
          <w:kern w:val="2"/>
          <w:sz w:val="32"/>
          <w:szCs w:val="32"/>
        </w:rPr>
      </w:pPr>
      <w:r>
        <w:rPr>
          <w:rFonts w:hint="eastAsia" w:ascii="黑体" w:hAnsi="黑体" w:eastAsia="黑体" w:cs="宋体"/>
          <w:sz w:val="32"/>
          <w:szCs w:val="32"/>
        </w:rPr>
        <w:t>第八条</w:t>
      </w:r>
      <w:r>
        <w:rPr>
          <w:rFonts w:hint="eastAsia" w:ascii="仿宋_GB2312" w:hAnsi="宋体" w:eastAsia="仿宋_GB2312" w:cs="仿宋_GB2312"/>
          <w:sz w:val="32"/>
          <w:szCs w:val="32"/>
          <w:lang w:eastAsia="zh-CN"/>
        </w:rPr>
        <w:t>　</w:t>
      </w:r>
      <w:r>
        <w:rPr>
          <w:rFonts w:hint="eastAsia" w:ascii="仿宋_GB2312" w:hAnsi="宋体" w:eastAsia="仿宋_GB2312" w:cs="仿宋_GB2312"/>
          <w:kern w:val="2"/>
          <w:sz w:val="32"/>
          <w:szCs w:val="32"/>
        </w:rPr>
        <w:t>餐厨废弃物产生单位应当遵守下列规定：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（一）将餐厨废弃物交由取得特许经营权的企业收运，双方签订收运合同；</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（二）使用专用收集容器存放餐厨废弃物，保持容器完好、密闭，不得将餐具、玻璃、塑料、废纸等其他垃圾混入餐厨废弃物中，不得将餐厨废弃物收集容器放置室外；</w:t>
      </w:r>
    </w:p>
    <w:p>
      <w:pPr>
        <w:widowControl w:val="0"/>
        <w:shd w:val="clear" w:color="auto" w:fill="FFFFFF"/>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（三）不得随意倾倒、抛撒、堆放餐厨废弃物，不得将其直接排入公共排水设施、河道、公共厕所和其他生活垃圾收集设施；</w:t>
      </w:r>
    </w:p>
    <w:p>
      <w:pPr>
        <w:pStyle w:val="8"/>
        <w:overflowPunct w:val="0"/>
        <w:adjustRightInd w:val="0"/>
        <w:snapToGrid w:val="0"/>
        <w:spacing w:before="0" w:beforeAutospacing="0" w:after="0" w:afterAutospacing="0" w:line="590" w:lineRule="exact"/>
        <w:ind w:firstLine="632" w:firstLineChars="200"/>
        <w:jc w:val="both"/>
        <w:rPr>
          <w:rFonts w:ascii="仿宋_GB2312" w:hAnsi="宋体" w:eastAsia="仿宋_GB2312" w:cs="Times New Roman"/>
          <w:kern w:val="2"/>
          <w:sz w:val="32"/>
          <w:szCs w:val="32"/>
        </w:rPr>
      </w:pPr>
      <w:r>
        <w:rPr>
          <w:rFonts w:hint="eastAsia" w:ascii="仿宋_GB2312" w:hAnsi="宋体" w:eastAsia="仿宋_GB2312" w:cs="仿宋_GB2312"/>
          <w:kern w:val="2"/>
          <w:sz w:val="32"/>
          <w:szCs w:val="32"/>
        </w:rPr>
        <w:t>（四）法律、法规的其他规定。</w:t>
      </w:r>
    </w:p>
    <w:p>
      <w:pPr>
        <w:widowControl w:val="0"/>
        <w:shd w:val="clear" w:color="auto" w:fill="FFFFFF"/>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鼓励废弃食用油脂产生较多的单位设置隔油池或者安装油水分离器等设施。</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第九条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餐厨废弃物收运企业应当遵守下列规定： </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（一）与餐厨废弃物产生单位签订餐厨废弃物收运合同，约定收运时间、地点、方式等事项，并报送县级市容环境卫生行政主管部门备案；</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（二）使用专用车辆密闭运输餐厨废弃物，保持车况良好和整洁；</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（三）为专用运输车辆安装行驶及装卸记录装置，并确保准确运行；</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（四）及时收运餐厨废弃物，收运间隔时限不得超过二十四小时；</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（五）执行环境卫生作业标准和规范，保持收运作业区环境整洁，不得随意倾倒、遗撒、丢弃餐厨废弃物；</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（六）将餐厨废弃物交由取得特许经营权的处置企业进行处置；</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（七）法律、法规的其他规定。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餐厨废弃物处置企业应当遵守下列规定：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（一）按照国家有关规定和标准配备餐厨废弃物处置设施、设备，并定期维护，保证其正常运行；</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（二）按照国家有关规定和标准处置餐厨废弃物及产生的污水、废气、废渣、粉尘等，防止二次污染；</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（三）不得将餐厨废弃物交由未取得特许经营权的企业处置；</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（四）法律、法规的其他规定。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第十一条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餐厨废弃物产生单位和收运、处置企业应当建立管理台账，如实记录、填写餐厨废弃物有关情况，并定期向县级市容环境卫生行政主管部门报告。餐厨废弃物管理记录保存期限不少于二年。</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市容环境卫生行政主管部门应当加快建立餐厨废弃物产生、收运、处置电子台账管理系统，对餐厨废弃物产生、收运、处置各个环节进行有效监控，发现问题及时处理。</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黑体" w:hAnsi="黑体" w:eastAsia="黑体" w:cs="宋体"/>
          <w:szCs w:val="32"/>
        </w:rPr>
        <w:t>第十二条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市容环境卫生行政主管部门和相关部门应当严厉查处非法买卖、收运、倾倒餐厨废弃物及利用其提炼“地沟油”，或者利用未经无害化处理的餐厨废弃物饲养畜禽等行为。</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第十三条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从事餐厨废弃物收运、处置的企业需要停业、歇业的，应当提前半年向市容环境卫生行政主管部门提出申请，经市容环境卫生行政主管部门商同级生态环境行政主管部门后做出是否核准的决定。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市容环境卫生行政主管部门应当在餐厨废弃物收运、处置企业停业或者歇业前，落实及时收运、处置餐厨废弃物的保障措施。</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第十四条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市容环境卫生行政主管部门应当会同有关部门制定餐厨废弃物收运、处置应急预案，确保紧急或者特殊情况下餐厨废弃物的正常收运和处置。</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从事餐厨废弃物收运、处置的企业，应当制定餐厨废弃物突发事件应急方案，并报县级市容环境卫生行政主管部门备案。</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第十五条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市容环境卫生行政主管部门应当建立餐厨废弃物管理的投诉举报制度，接到投诉、举报后应当及时受理并依法查处。</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第十六条</w:t>
      </w:r>
      <w:r>
        <w:rPr>
          <w:rFonts w:hint="eastAsia" w:ascii="黑体" w:hAnsi="黑体" w:eastAsia="黑体" w:cs="宋体"/>
          <w:szCs w:val="32"/>
          <w:lang w:eastAsia="zh-CN"/>
        </w:rPr>
        <w:t>　</w:t>
      </w:r>
      <w:r>
        <w:rPr>
          <w:rFonts w:hint="eastAsia" w:ascii="仿宋_GB2312" w:hAnsi="宋体" w:eastAsia="仿宋_GB2312" w:cs="仿宋_GB2312"/>
          <w:szCs w:val="32"/>
        </w:rPr>
        <w:t>餐厨废弃物产生单位违反本条例规定，由市容环境卫生行政主管部门按照下列规定予以处罚：</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（一）将餐厨废弃物交由未取得特许经营权的企业收运的</w:t>
      </w:r>
      <w:r>
        <w:rPr>
          <w:rFonts w:ascii="仿宋_GB2312" w:hAnsi="宋体" w:eastAsia="仿宋_GB2312" w:cs="仿宋_GB2312"/>
          <w:szCs w:val="32"/>
        </w:rPr>
        <w:t xml:space="preserve">, </w:t>
      </w:r>
      <w:r>
        <w:rPr>
          <w:rFonts w:hint="eastAsia" w:ascii="仿宋_GB2312" w:hAnsi="宋体" w:eastAsia="仿宋_GB2312" w:cs="仿宋_GB2312"/>
          <w:szCs w:val="32"/>
        </w:rPr>
        <w:t>责令改正，对单位处以五千元以上五万元以下罚款，对食品生产加工小作坊、食品小经营处以三千元以上一万元以下罚款；</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（二）未按规定使用专用收集容器存放餐厨废弃物，并保持容器完好、密闭的，责令改正，对单位处以五千元以上五万元以下罚款，对食品生产加工小作坊、食品小经营处以三千元以上一万元以下罚款。</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第十七条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违反本条例规定，未取得特许经营权的企业从事餐厨废弃物经营性收运、处置活动的，由市容环境卫生行政主管部门责令停止违法行为，没收违法所得，并处以一万元以上三万元以下罚款。</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黑体" w:hAnsi="黑体" w:eastAsia="黑体" w:cs="宋体"/>
          <w:szCs w:val="32"/>
        </w:rPr>
        <w:t>第十八条</w:t>
      </w:r>
      <w:r>
        <w:rPr>
          <w:rFonts w:hint="eastAsia" w:ascii="仿宋_GB2312" w:hAnsi="宋体" w:eastAsia="仿宋_GB2312" w:cs="仿宋_GB2312"/>
          <w:szCs w:val="32"/>
          <w:lang w:eastAsia="zh-CN"/>
        </w:rPr>
        <w:t>　</w:t>
      </w:r>
      <w:r>
        <w:rPr>
          <w:rFonts w:hint="eastAsia" w:ascii="仿宋_GB2312" w:hAnsi="宋体" w:eastAsia="仿宋_GB2312" w:cs="仿宋_GB2312"/>
          <w:szCs w:val="32"/>
        </w:rPr>
        <w:t>餐厨废弃物收运、处置企业违反本条例规定，有下列情形之一的，由市容环境卫生行政主管部门按照下列规定予以处罚： </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（一）餐厨废弃物收运企业在运输过程中随意倾倒、遗撒、丢弃餐厨废弃物的，责令改正</w:t>
      </w:r>
      <w:r>
        <w:rPr>
          <w:rFonts w:ascii="仿宋_GB2312" w:hAnsi="宋体" w:eastAsia="仿宋_GB2312" w:cs="仿宋_GB2312"/>
          <w:szCs w:val="32"/>
        </w:rPr>
        <w:t>,</w:t>
      </w:r>
      <w:r>
        <w:rPr>
          <w:rFonts w:hint="eastAsia" w:ascii="仿宋_GB2312" w:hAnsi="宋体" w:eastAsia="仿宋_GB2312" w:cs="仿宋_GB2312"/>
          <w:szCs w:val="32"/>
        </w:rPr>
        <w:t xml:space="preserve"> 没收违法所得，处以五万元以上五十万元以下罚款；</w:t>
      </w:r>
    </w:p>
    <w:p>
      <w:pPr>
        <w:widowControl w:val="0"/>
        <w:overflowPunct w:val="0"/>
        <w:adjustRightInd w:val="0"/>
        <w:snapToGrid w:val="0"/>
        <w:spacing w:line="590" w:lineRule="exact"/>
        <w:ind w:firstLine="632" w:firstLineChars="200"/>
        <w:jc w:val="both"/>
        <w:rPr>
          <w:rFonts w:ascii="仿宋_GB2312" w:hAnsi="宋体" w:eastAsia="仿宋_GB2312"/>
          <w:szCs w:val="32"/>
        </w:rPr>
      </w:pPr>
      <w:r>
        <w:rPr>
          <w:rFonts w:hint="eastAsia" w:ascii="仿宋_GB2312" w:hAnsi="宋体" w:eastAsia="仿宋_GB2312" w:cs="仿宋_GB2312"/>
          <w:szCs w:val="32"/>
        </w:rPr>
        <w:t>（二）餐厨废弃物处置企业未按照国家有关规定和标准处置餐厨废弃物的，责令限期改正，并可处以三万元以上十万元以下罚款；</w:t>
      </w:r>
    </w:p>
    <w:p>
      <w:pPr>
        <w:widowControl w:val="0"/>
        <w:overflowPunct w:val="0"/>
        <w:adjustRightInd w:val="0"/>
        <w:snapToGrid w:val="0"/>
        <w:spacing w:line="590" w:lineRule="exact"/>
        <w:ind w:firstLine="632" w:firstLineChars="200"/>
        <w:jc w:val="both"/>
        <w:outlineLvl w:val="0"/>
        <w:rPr>
          <w:rFonts w:ascii="仿宋_GB2312" w:hAnsi="宋体" w:eastAsia="仿宋_GB2312"/>
          <w:szCs w:val="32"/>
        </w:rPr>
      </w:pPr>
      <w:r>
        <w:rPr>
          <w:rFonts w:hint="eastAsia" w:ascii="仿宋_GB2312" w:hAnsi="宋体" w:eastAsia="仿宋_GB2312" w:cs="仿宋_GB2312"/>
          <w:szCs w:val="32"/>
        </w:rPr>
        <w:t>（三）餐厨废弃物处置企业未经批准擅自停业、歇业的，责令改正</w:t>
      </w:r>
      <w:r>
        <w:rPr>
          <w:rFonts w:ascii="仿宋_GB2312" w:hAnsi="宋体" w:eastAsia="仿宋_GB2312" w:cs="仿宋_GB2312"/>
          <w:szCs w:val="32"/>
        </w:rPr>
        <w:t>,</w:t>
      </w:r>
      <w:r>
        <w:rPr>
          <w:rFonts w:hint="eastAsia" w:ascii="仿宋_GB2312" w:hAnsi="宋体" w:eastAsia="仿宋_GB2312" w:cs="仿宋_GB2312"/>
          <w:szCs w:val="32"/>
        </w:rPr>
        <w:t xml:space="preserve"> 没收违法所得，处以十万元以上一百万元以下罚款。</w:t>
      </w:r>
    </w:p>
    <w:p>
      <w:pPr>
        <w:widowControl w:val="0"/>
        <w:overflowPunct w:val="0"/>
        <w:adjustRightInd w:val="0"/>
        <w:snapToGrid w:val="0"/>
        <w:spacing w:line="590" w:lineRule="exact"/>
        <w:ind w:firstLine="632" w:firstLineChars="200"/>
        <w:jc w:val="both"/>
        <w:rPr>
          <w:rFonts w:ascii="仿宋_GB2312" w:hAnsi="宋体" w:eastAsia="仿宋_GB2312"/>
          <w:szCs w:val="32"/>
          <w:shd w:val="clear" w:color="auto" w:fill="FFFFFF"/>
        </w:rPr>
      </w:pPr>
      <w:r>
        <w:rPr>
          <w:rFonts w:hint="eastAsia" w:ascii="黑体" w:hAnsi="黑体" w:eastAsia="黑体" w:cs="宋体"/>
          <w:szCs w:val="32"/>
        </w:rPr>
        <w:t>第十九条</w:t>
      </w:r>
      <w:r>
        <w:rPr>
          <w:rFonts w:hint="eastAsia" w:ascii="仿宋" w:hAnsi="仿宋" w:eastAsia="仿宋" w:cs="宋体"/>
          <w:szCs w:val="32"/>
          <w:lang w:eastAsia="zh-CN"/>
        </w:rPr>
        <w:t>　</w:t>
      </w:r>
      <w:r>
        <w:rPr>
          <w:rFonts w:hint="eastAsia" w:ascii="仿宋_GB2312" w:hAnsi="宋体" w:eastAsia="仿宋_GB2312" w:cs="仿宋_GB2312"/>
          <w:szCs w:val="32"/>
          <w:shd w:val="clear" w:color="auto" w:fill="FFFFFF"/>
        </w:rPr>
        <w:t>违反本条例规定，餐厨废弃物产生单位和收运、处置企业未建立并执行餐厨废弃物管理台账制度和定期向监督管理部门报告的，由市容环境卫生行政主管部门处以五千元以上五万元以下罚款。</w:t>
      </w:r>
    </w:p>
    <w:p>
      <w:pPr>
        <w:widowControl w:val="0"/>
        <w:overflowPunct w:val="0"/>
        <w:adjustRightInd w:val="0"/>
        <w:snapToGrid w:val="0"/>
        <w:spacing w:line="590" w:lineRule="exact"/>
        <w:ind w:firstLine="632" w:firstLineChars="200"/>
        <w:jc w:val="both"/>
        <w:rPr>
          <w:rFonts w:ascii="仿宋_GB2312" w:hAnsi="宋体" w:eastAsia="仿宋_GB2312"/>
          <w:b/>
          <w:bCs/>
          <w:szCs w:val="32"/>
          <w:shd w:val="clear" w:color="auto" w:fill="FFFFFF"/>
        </w:rPr>
      </w:pPr>
      <w:r>
        <w:rPr>
          <w:rFonts w:hint="eastAsia" w:ascii="黑体" w:hAnsi="黑体" w:eastAsia="黑体" w:cs="宋体"/>
          <w:szCs w:val="32"/>
        </w:rPr>
        <w:t>第二十条</w:t>
      </w:r>
      <w:r>
        <w:rPr>
          <w:rFonts w:hint="eastAsia" w:ascii="仿宋" w:hAnsi="仿宋" w:eastAsia="仿宋" w:cs="宋体"/>
          <w:szCs w:val="32"/>
          <w:lang w:eastAsia="zh-CN"/>
        </w:rPr>
        <w:t>　</w:t>
      </w:r>
      <w:r>
        <w:rPr>
          <w:rFonts w:hint="eastAsia" w:ascii="仿宋_GB2312" w:hAnsi="宋体" w:eastAsia="仿宋_GB2312" w:cs="仿宋_GB2312"/>
          <w:szCs w:val="32"/>
          <w:shd w:val="clear" w:color="auto" w:fill="FFFFFF"/>
        </w:rPr>
        <w:t>市容环境卫生行</w:t>
      </w:r>
      <w:bookmarkStart w:id="0" w:name="_GoBack"/>
      <w:bookmarkEnd w:id="0"/>
      <w:r>
        <w:rPr>
          <w:rFonts w:hint="eastAsia" w:ascii="仿宋_GB2312" w:hAnsi="宋体" w:eastAsia="仿宋_GB2312" w:cs="仿宋_GB2312"/>
          <w:szCs w:val="32"/>
          <w:shd w:val="clear" w:color="auto" w:fill="FFFFFF"/>
        </w:rPr>
        <w:t>政主管部门和其他有关部门及其工作人员不依法履行监督管理职责，滥用职权、玩忽职守、徇私舞弊的，由主管部门或者上级机关责令改正，对负有责任的主管人员和直接责任人员给予处分。</w:t>
      </w:r>
    </w:p>
    <w:p>
      <w:pPr>
        <w:widowControl w:val="0"/>
        <w:overflowPunct w:val="0"/>
        <w:adjustRightInd w:val="0"/>
        <w:snapToGrid w:val="0"/>
        <w:spacing w:line="590" w:lineRule="exact"/>
        <w:ind w:firstLine="632" w:firstLineChars="200"/>
        <w:jc w:val="both"/>
        <w:rPr>
          <w:rFonts w:ascii="仿宋_GB2312" w:hAnsi="宋体" w:eastAsia="仿宋_GB2312"/>
          <w:szCs w:val="32"/>
          <w:shd w:val="clear" w:color="auto" w:fill="FFFFFF"/>
        </w:rPr>
      </w:pPr>
      <w:r>
        <w:rPr>
          <w:rFonts w:hint="eastAsia" w:ascii="黑体" w:hAnsi="黑体" w:eastAsia="黑体" w:cs="宋体"/>
          <w:szCs w:val="32"/>
        </w:rPr>
        <w:t>第二十一条</w:t>
      </w:r>
      <w:r>
        <w:rPr>
          <w:rFonts w:hint="eastAsia" w:ascii="仿宋_GB2312" w:hAnsi="宋体" w:eastAsia="仿宋_GB2312" w:cs="仿宋_GB2312"/>
          <w:szCs w:val="32"/>
          <w:shd w:val="clear" w:color="auto" w:fill="FFFFFF"/>
          <w:lang w:eastAsia="zh-CN"/>
        </w:rPr>
        <w:t>　</w:t>
      </w:r>
      <w:r>
        <w:rPr>
          <w:rFonts w:hint="eastAsia" w:ascii="仿宋_GB2312" w:hAnsi="宋体" w:eastAsia="仿宋_GB2312" w:cs="仿宋_GB2312"/>
          <w:szCs w:val="32"/>
          <w:shd w:val="clear" w:color="auto" w:fill="FFFFFF"/>
        </w:rPr>
        <w:t>本条例自2022年1月1日起施行。</w:t>
      </w:r>
    </w:p>
    <w:p>
      <w:pPr>
        <w:widowControl w:val="0"/>
        <w:tabs>
          <w:tab w:val="left" w:pos="1935"/>
        </w:tabs>
        <w:overflowPunct w:val="0"/>
        <w:adjustRightInd w:val="0"/>
        <w:snapToGrid w:val="0"/>
        <w:spacing w:line="590" w:lineRule="exact"/>
        <w:ind w:firstLine="632" w:firstLineChars="200"/>
        <w:rPr>
          <w:b/>
          <w:bCs/>
          <w:szCs w:val="32"/>
        </w:rPr>
      </w:pPr>
    </w:p>
    <w:p>
      <w:pPr>
        <w:widowControl w:val="0"/>
        <w:overflowPunct w:val="0"/>
        <w:adjustRightInd w:val="0"/>
        <w:snapToGrid w:val="0"/>
        <w:spacing w:line="590" w:lineRule="exact"/>
      </w:pPr>
    </w:p>
    <w:sectPr>
      <w:footerReference r:id="rId3" w:type="default"/>
      <w:footerReference r:id="rId4" w:type="even"/>
      <w:type w:val="continuous"/>
      <w:pgSz w:w="11907" w:h="16839"/>
      <w:pgMar w:top="1985" w:right="1474" w:bottom="1814" w:left="1588" w:header="720" w:footer="1304" w:gutter="0"/>
      <w:pgNumType w:start="0"/>
      <w:cols w:space="720" w:num="1"/>
      <w:titlePg/>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
    <w:altName w:val="宋体"/>
    <w:panose1 w:val="00000000000000000000"/>
    <w:charset w:val="86"/>
    <w:family w:val="auto"/>
    <w:pitch w:val="default"/>
    <w:sig w:usb0="00000000" w:usb1="00000000" w:usb2="05000016" w:usb3="00000000" w:csb0="00040001" w:csb1="00000000"/>
  </w:font>
  <w:font w:name="Tahoma">
    <w:panose1 w:val="020B0604030504040204"/>
    <w:charset w:val="00"/>
    <w:family w:val="swiss"/>
    <w:pitch w:val="default"/>
    <w:sig w:usb0="E1002EFF" w:usb1="C000605B" w:usb2="00000029" w:usb3="00000000" w:csb0="200101FF" w:csb1="202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1984"/>
      <w:docPartObj>
        <w:docPartGallery w:val="AutoText"/>
      </w:docPartObj>
    </w:sdtPr>
    <w:sdtContent>
      <w:p>
        <w:pPr>
          <w:pStyle w:val="5"/>
          <w:numPr>
            <w:ilvl w:val="0"/>
            <w:numId w:val="1"/>
          </w:numPr>
          <w:ind w:right="340"/>
          <w:jc w:val="right"/>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1999"/>
      <w:docPartObj>
        <w:docPartGallery w:val="AutoText"/>
      </w:docPartObj>
    </w:sdtPr>
    <w:sdtContent>
      <w:p>
        <w:pPr>
          <w:pStyle w:val="5"/>
          <w:numPr>
            <w:ilvl w:val="0"/>
            <w:numId w:val="2"/>
          </w:numPr>
          <w:ind w:left="737" w:right="227"/>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4</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r>
          <w:rPr>
            <w:rFonts w:ascii="Times New Roman" w:hAnsi="Times New Roman" w:cs="Times New Roman"/>
            <w:sz w:val="28"/>
            <w:szCs w:val="28"/>
          </w:rPr>
          <w:t xml:space="preserve"> —</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E7E56"/>
    <w:multiLevelType w:val="multilevel"/>
    <w:tmpl w:val="17CE7E56"/>
    <w:lvl w:ilvl="0" w:tentative="0">
      <w:start w:val="0"/>
      <w:numFmt w:val="bullet"/>
      <w:lvlText w:val="—"/>
      <w:lvlJc w:val="left"/>
      <w:pPr>
        <w:ind w:left="360" w:hanging="360"/>
      </w:pPr>
      <w:rPr>
        <w:rFonts w:hint="default" w:ascii="Times New Roman" w:hAnsi="Times New Roman" w:eastAsia="NEU-BZ" w:cs="Times New Roman"/>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8B15E38"/>
    <w:multiLevelType w:val="multilevel"/>
    <w:tmpl w:val="78B15E38"/>
    <w:lvl w:ilvl="0" w:tentative="0">
      <w:start w:val="0"/>
      <w:numFmt w:val="bullet"/>
      <w:lvlText w:val="—"/>
      <w:lvlJc w:val="left"/>
      <w:pPr>
        <w:ind w:left="360" w:hanging="360"/>
      </w:pPr>
      <w:rPr>
        <w:rFonts w:hint="default" w:ascii="Times New Roman" w:hAnsi="Times New Roman" w:eastAsia="NEU-BZ" w:cs="Times New Roman"/>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mirrorMargins w:val="1"/>
  <w:bordersDoNotSurroundHeader w:val="1"/>
  <w:bordersDoNotSurroundFooter w:val="1"/>
  <w:documentProtection w:enforcement="0"/>
  <w:defaultTabStop w:val="720"/>
  <w:doNotHyphenateCaps/>
  <w:evenAndOddHeaders w:val="1"/>
  <w:drawingGridHorizontalSpacing w:val="158"/>
  <w:drawingGridVerticalSpacing w:val="579"/>
  <w:displayHorizontalDrawingGridEvery w:val="2"/>
  <w:characterSpacingControl w:val="doNotCompress"/>
  <w:noLineBreaksAfter w:lang="zh-CN" w:val="$([{£¥·‘“〈《「『【〔〖〝﹙﹛﹝＄（．［｛￡￥"/>
  <w:noLineBreaksBefore w:lang="zh-CN" w:val="!%),.:;&gt;?]}¢¨°·ˇˉ―‖’”…‰′″›℃∶、。〃〉》」』】〕〗〞︶︺︾﹀﹄﹚﹜﹞！＂％＇），．：；？］｀｜｝～￠"/>
  <w:doNotValidateAgainstSchema/>
  <w:doNotDemarcateInvalidXml/>
  <w:compat>
    <w:useFELayout/>
    <w:compatSetting w:name="compatibilityMode" w:uri="http://schemas.microsoft.com/office/word" w:val="12"/>
  </w:compat>
  <w:rsids>
    <w:rsidRoot w:val="00FA57C3"/>
    <w:rsid w:val="000120E3"/>
    <w:rsid w:val="00020427"/>
    <w:rsid w:val="00030D76"/>
    <w:rsid w:val="00043C97"/>
    <w:rsid w:val="00051636"/>
    <w:rsid w:val="0006373F"/>
    <w:rsid w:val="00075369"/>
    <w:rsid w:val="00081C35"/>
    <w:rsid w:val="00086C71"/>
    <w:rsid w:val="00091E34"/>
    <w:rsid w:val="000958F3"/>
    <w:rsid w:val="000B623B"/>
    <w:rsid w:val="000C3130"/>
    <w:rsid w:val="000E54BE"/>
    <w:rsid w:val="000F2DBF"/>
    <w:rsid w:val="00114409"/>
    <w:rsid w:val="001302C8"/>
    <w:rsid w:val="0013235C"/>
    <w:rsid w:val="00135791"/>
    <w:rsid w:val="00137BB9"/>
    <w:rsid w:val="00144668"/>
    <w:rsid w:val="00152ED9"/>
    <w:rsid w:val="00162198"/>
    <w:rsid w:val="001658BD"/>
    <w:rsid w:val="00192A72"/>
    <w:rsid w:val="00194E6B"/>
    <w:rsid w:val="001A2D54"/>
    <w:rsid w:val="001A5130"/>
    <w:rsid w:val="001A5F0A"/>
    <w:rsid w:val="001C5ADF"/>
    <w:rsid w:val="002068E6"/>
    <w:rsid w:val="00224F78"/>
    <w:rsid w:val="002549D3"/>
    <w:rsid w:val="00292EDB"/>
    <w:rsid w:val="002975BC"/>
    <w:rsid w:val="0031137A"/>
    <w:rsid w:val="00323BBB"/>
    <w:rsid w:val="00326389"/>
    <w:rsid w:val="00327CDE"/>
    <w:rsid w:val="00347F9A"/>
    <w:rsid w:val="003909F2"/>
    <w:rsid w:val="00391D0D"/>
    <w:rsid w:val="00391EE7"/>
    <w:rsid w:val="003B1CD3"/>
    <w:rsid w:val="003F12A1"/>
    <w:rsid w:val="003F558B"/>
    <w:rsid w:val="00403845"/>
    <w:rsid w:val="00405CA5"/>
    <w:rsid w:val="004070A2"/>
    <w:rsid w:val="00432238"/>
    <w:rsid w:val="00451408"/>
    <w:rsid w:val="004614F7"/>
    <w:rsid w:val="004622CA"/>
    <w:rsid w:val="00473543"/>
    <w:rsid w:val="00474747"/>
    <w:rsid w:val="00486645"/>
    <w:rsid w:val="0049669A"/>
    <w:rsid w:val="004A2F49"/>
    <w:rsid w:val="004A3019"/>
    <w:rsid w:val="004D0FFD"/>
    <w:rsid w:val="004E26C8"/>
    <w:rsid w:val="004F580D"/>
    <w:rsid w:val="00506CC2"/>
    <w:rsid w:val="00510EA2"/>
    <w:rsid w:val="005156A7"/>
    <w:rsid w:val="005176A7"/>
    <w:rsid w:val="005243A2"/>
    <w:rsid w:val="00535272"/>
    <w:rsid w:val="005518C6"/>
    <w:rsid w:val="005525C8"/>
    <w:rsid w:val="00562501"/>
    <w:rsid w:val="005B0CFB"/>
    <w:rsid w:val="005B4E1A"/>
    <w:rsid w:val="005E7D2C"/>
    <w:rsid w:val="005F127C"/>
    <w:rsid w:val="006056D6"/>
    <w:rsid w:val="00625199"/>
    <w:rsid w:val="00630721"/>
    <w:rsid w:val="00653206"/>
    <w:rsid w:val="006532B6"/>
    <w:rsid w:val="006B06EC"/>
    <w:rsid w:val="006B45F9"/>
    <w:rsid w:val="006C2781"/>
    <w:rsid w:val="006C537E"/>
    <w:rsid w:val="006E28A5"/>
    <w:rsid w:val="006F18B5"/>
    <w:rsid w:val="00707BEF"/>
    <w:rsid w:val="00720332"/>
    <w:rsid w:val="007233BF"/>
    <w:rsid w:val="00741850"/>
    <w:rsid w:val="0075392D"/>
    <w:rsid w:val="007866F0"/>
    <w:rsid w:val="007B3FF5"/>
    <w:rsid w:val="007D07B3"/>
    <w:rsid w:val="007D13D4"/>
    <w:rsid w:val="0081363D"/>
    <w:rsid w:val="00815625"/>
    <w:rsid w:val="00821849"/>
    <w:rsid w:val="00830FE2"/>
    <w:rsid w:val="00837B22"/>
    <w:rsid w:val="00843D10"/>
    <w:rsid w:val="00850A4C"/>
    <w:rsid w:val="00872968"/>
    <w:rsid w:val="00877887"/>
    <w:rsid w:val="008930A4"/>
    <w:rsid w:val="008B167D"/>
    <w:rsid w:val="008B3DDC"/>
    <w:rsid w:val="008C5460"/>
    <w:rsid w:val="008D7459"/>
    <w:rsid w:val="008E197A"/>
    <w:rsid w:val="008F5146"/>
    <w:rsid w:val="00900AC8"/>
    <w:rsid w:val="00914C3F"/>
    <w:rsid w:val="009217BC"/>
    <w:rsid w:val="009223FB"/>
    <w:rsid w:val="0093419C"/>
    <w:rsid w:val="0093743D"/>
    <w:rsid w:val="00942216"/>
    <w:rsid w:val="00953754"/>
    <w:rsid w:val="00960619"/>
    <w:rsid w:val="00971BFB"/>
    <w:rsid w:val="009B648D"/>
    <w:rsid w:val="009C5EFC"/>
    <w:rsid w:val="009D6CBC"/>
    <w:rsid w:val="009D7281"/>
    <w:rsid w:val="009E120E"/>
    <w:rsid w:val="009F201A"/>
    <w:rsid w:val="009F4C47"/>
    <w:rsid w:val="009F63B0"/>
    <w:rsid w:val="00A105FE"/>
    <w:rsid w:val="00A33F40"/>
    <w:rsid w:val="00A82D2E"/>
    <w:rsid w:val="00A8710A"/>
    <w:rsid w:val="00AB2B63"/>
    <w:rsid w:val="00AB315B"/>
    <w:rsid w:val="00AD1737"/>
    <w:rsid w:val="00AD181D"/>
    <w:rsid w:val="00AF742D"/>
    <w:rsid w:val="00AF7D40"/>
    <w:rsid w:val="00B308B8"/>
    <w:rsid w:val="00B50625"/>
    <w:rsid w:val="00B65206"/>
    <w:rsid w:val="00B82B68"/>
    <w:rsid w:val="00B933F4"/>
    <w:rsid w:val="00BA1E36"/>
    <w:rsid w:val="00BD5ADF"/>
    <w:rsid w:val="00BF17CB"/>
    <w:rsid w:val="00C03EF4"/>
    <w:rsid w:val="00C128EE"/>
    <w:rsid w:val="00C22F6C"/>
    <w:rsid w:val="00C34C6A"/>
    <w:rsid w:val="00C47140"/>
    <w:rsid w:val="00C6302E"/>
    <w:rsid w:val="00C82289"/>
    <w:rsid w:val="00C94D14"/>
    <w:rsid w:val="00CA19E9"/>
    <w:rsid w:val="00CB1D13"/>
    <w:rsid w:val="00CB51E1"/>
    <w:rsid w:val="00CE70FF"/>
    <w:rsid w:val="00D01BC0"/>
    <w:rsid w:val="00D17B8F"/>
    <w:rsid w:val="00D25E22"/>
    <w:rsid w:val="00D3685C"/>
    <w:rsid w:val="00D47EDA"/>
    <w:rsid w:val="00D513C3"/>
    <w:rsid w:val="00D54D90"/>
    <w:rsid w:val="00D57C6F"/>
    <w:rsid w:val="00D643A4"/>
    <w:rsid w:val="00D81827"/>
    <w:rsid w:val="00D940E1"/>
    <w:rsid w:val="00DB1347"/>
    <w:rsid w:val="00DC0735"/>
    <w:rsid w:val="00DD44F1"/>
    <w:rsid w:val="00DE67DA"/>
    <w:rsid w:val="00DF7570"/>
    <w:rsid w:val="00DF7CC2"/>
    <w:rsid w:val="00E00122"/>
    <w:rsid w:val="00E05032"/>
    <w:rsid w:val="00E2602E"/>
    <w:rsid w:val="00E336E3"/>
    <w:rsid w:val="00E5427A"/>
    <w:rsid w:val="00E612E0"/>
    <w:rsid w:val="00E629AC"/>
    <w:rsid w:val="00E676FB"/>
    <w:rsid w:val="00E93DC0"/>
    <w:rsid w:val="00EA445B"/>
    <w:rsid w:val="00EB4538"/>
    <w:rsid w:val="00ED1984"/>
    <w:rsid w:val="00ED4A90"/>
    <w:rsid w:val="00F00D8D"/>
    <w:rsid w:val="00F043AD"/>
    <w:rsid w:val="00F2499B"/>
    <w:rsid w:val="00F55350"/>
    <w:rsid w:val="00F733B9"/>
    <w:rsid w:val="00F751E6"/>
    <w:rsid w:val="00F80287"/>
    <w:rsid w:val="00F81A0E"/>
    <w:rsid w:val="00F90EC4"/>
    <w:rsid w:val="00FA57C3"/>
    <w:rsid w:val="00FB59F7"/>
    <w:rsid w:val="00FC1B38"/>
    <w:rsid w:val="00FC4922"/>
    <w:rsid w:val="00FE2F36"/>
    <w:rsid w:val="043F2595"/>
    <w:rsid w:val="5E775324"/>
    <w:rsid w:val="79697A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NEU-BZ"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99"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32"/>
      <w:szCs w:val="22"/>
      <w:lang w:val="en-US" w:eastAsia="zh-CN" w:bidi="ar-SA"/>
    </w:rPr>
  </w:style>
  <w:style w:type="character" w:default="1" w:styleId="12">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31"/>
    <w:semiHidden/>
    <w:uiPriority w:val="99"/>
  </w:style>
  <w:style w:type="paragraph" w:styleId="3">
    <w:name w:val="Balloon Text"/>
    <w:basedOn w:val="4"/>
    <w:link w:val="19"/>
    <w:semiHidden/>
    <w:qFormat/>
    <w:uiPriority w:val="99"/>
    <w:rPr>
      <w:rFonts w:ascii="Tahoma" w:hAnsi="Tahoma" w:cs="Tahoma"/>
      <w:sz w:val="16"/>
      <w:szCs w:val="16"/>
    </w:rPr>
  </w:style>
  <w:style w:type="paragraph" w:customStyle="1" w:styleId="4">
    <w:name w:val="样式"/>
    <w:qFormat/>
    <w:uiPriority w:val="99"/>
    <w:rPr>
      <w:rFonts w:ascii="Calibri" w:hAnsi="NEU-BZ" w:eastAsia="宋体" w:cs="Calibri"/>
      <w:sz w:val="22"/>
      <w:szCs w:val="22"/>
      <w:lang w:val="en-US" w:eastAsia="zh-CN" w:bidi="ar-SA"/>
    </w:rPr>
  </w:style>
  <w:style w:type="paragraph" w:styleId="5">
    <w:name w:val="footer"/>
    <w:basedOn w:val="4"/>
    <w:link w:val="17"/>
    <w:uiPriority w:val="99"/>
    <w:pPr>
      <w:tabs>
        <w:tab w:val="center" w:pos="4513"/>
        <w:tab w:val="right" w:pos="9026"/>
      </w:tabs>
    </w:pPr>
  </w:style>
  <w:style w:type="paragraph" w:styleId="6">
    <w:name w:val="header"/>
    <w:basedOn w:val="4"/>
    <w:link w:val="16"/>
    <w:uiPriority w:val="99"/>
    <w:pPr>
      <w:tabs>
        <w:tab w:val="center" w:pos="4513"/>
        <w:tab w:val="right" w:pos="9026"/>
      </w:tabs>
    </w:pPr>
  </w:style>
  <w:style w:type="paragraph" w:styleId="7">
    <w:name w:val="footnote text"/>
    <w:basedOn w:val="4"/>
    <w:link w:val="25"/>
    <w:semiHidden/>
    <w:qFormat/>
    <w:uiPriority w:val="99"/>
    <w:pPr>
      <w:snapToGrid w:val="0"/>
    </w:pPr>
    <w:rPr>
      <w:sz w:val="18"/>
      <w:szCs w:val="18"/>
    </w:rPr>
  </w:style>
  <w:style w:type="paragraph" w:styleId="8">
    <w:name w:val="Normal (Web)"/>
    <w:basedOn w:val="1"/>
    <w:qFormat/>
    <w:uiPriority w:val="99"/>
    <w:pPr>
      <w:widowControl w:val="0"/>
      <w:spacing w:before="100" w:beforeAutospacing="1" w:after="100" w:afterAutospacing="1"/>
    </w:pPr>
    <w:rPr>
      <w:rFonts w:ascii="Calibri" w:hAnsi="Calibri" w:cs="Calibri"/>
      <w:sz w:val="24"/>
      <w:szCs w:val="24"/>
    </w:rPr>
  </w:style>
  <w:style w:type="table" w:styleId="10">
    <w:name w:val="Table Grid"/>
    <w:basedOn w:val="9"/>
    <w:qFormat/>
    <w:uiPriority w:val="99"/>
    <w:rPr>
      <w:rFonts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11">
    <w:name w:val="Light Shading Accent 3"/>
    <w:basedOn w:val="9"/>
    <w:qFormat/>
    <w:uiPriority w:val="99"/>
    <w:rPr>
      <w:rFonts w:cs="Calibri"/>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13">
    <w:name w:val="page number"/>
    <w:basedOn w:val="12"/>
    <w:qFormat/>
    <w:uiPriority w:val="99"/>
  </w:style>
  <w:style w:type="character" w:styleId="14">
    <w:name w:val="footnote reference"/>
    <w:basedOn w:val="15"/>
    <w:semiHidden/>
    <w:qFormat/>
    <w:uiPriority w:val="99"/>
    <w:rPr>
      <w:vertAlign w:val="superscript"/>
    </w:rPr>
  </w:style>
  <w:style w:type="character" w:customStyle="1" w:styleId="15">
    <w:name w:val="样式1"/>
    <w:semiHidden/>
    <w:qFormat/>
    <w:uiPriority w:val="99"/>
  </w:style>
  <w:style w:type="character" w:customStyle="1" w:styleId="16">
    <w:name w:val="页眉 Char"/>
    <w:basedOn w:val="15"/>
    <w:link w:val="6"/>
    <w:qFormat/>
    <w:locked/>
    <w:uiPriority w:val="99"/>
  </w:style>
  <w:style w:type="character" w:customStyle="1" w:styleId="17">
    <w:name w:val="页脚 Char"/>
    <w:basedOn w:val="15"/>
    <w:link w:val="5"/>
    <w:qFormat/>
    <w:locked/>
    <w:uiPriority w:val="99"/>
  </w:style>
  <w:style w:type="paragraph" w:styleId="18">
    <w:name w:val="List Paragraph"/>
    <w:basedOn w:val="4"/>
    <w:qFormat/>
    <w:uiPriority w:val="99"/>
    <w:pPr>
      <w:ind w:left="720"/>
    </w:pPr>
  </w:style>
  <w:style w:type="character" w:customStyle="1" w:styleId="19">
    <w:name w:val="批注框文本 Char"/>
    <w:basedOn w:val="15"/>
    <w:link w:val="3"/>
    <w:semiHidden/>
    <w:qFormat/>
    <w:locked/>
    <w:uiPriority w:val="99"/>
    <w:rPr>
      <w:rFonts w:ascii="Tahoma" w:hAnsi="Tahoma" w:cs="Tahoma"/>
      <w:sz w:val="16"/>
      <w:szCs w:val="16"/>
    </w:rPr>
  </w:style>
  <w:style w:type="paragraph" w:styleId="20">
    <w:name w:val="Quote"/>
    <w:basedOn w:val="4"/>
    <w:next w:val="4"/>
    <w:link w:val="21"/>
    <w:qFormat/>
    <w:uiPriority w:val="99"/>
    <w:rPr>
      <w:i/>
      <w:iCs/>
      <w:color w:val="000000"/>
    </w:rPr>
  </w:style>
  <w:style w:type="character" w:customStyle="1" w:styleId="21">
    <w:name w:val="引用 Char"/>
    <w:basedOn w:val="15"/>
    <w:link w:val="20"/>
    <w:locked/>
    <w:uiPriority w:val="99"/>
    <w:rPr>
      <w:i/>
      <w:iCs/>
      <w:color w:val="000000"/>
    </w:rPr>
  </w:style>
  <w:style w:type="paragraph" w:customStyle="1" w:styleId="22">
    <w:name w:val="MTDisplayEquation"/>
    <w:basedOn w:val="4"/>
    <w:next w:val="4"/>
    <w:link w:val="23"/>
    <w:uiPriority w:val="99"/>
    <w:pPr>
      <w:tabs>
        <w:tab w:val="center" w:pos="4160"/>
        <w:tab w:val="right" w:pos="8300"/>
      </w:tabs>
    </w:pPr>
  </w:style>
  <w:style w:type="character" w:customStyle="1" w:styleId="23">
    <w:name w:val="MTDisplayEquation Char"/>
    <w:basedOn w:val="15"/>
    <w:link w:val="22"/>
    <w:locked/>
    <w:uiPriority w:val="99"/>
  </w:style>
  <w:style w:type="character" w:customStyle="1" w:styleId="24">
    <w:name w:val="Footnote Text Char"/>
    <w:semiHidden/>
    <w:qFormat/>
    <w:locked/>
    <w:uiPriority w:val="99"/>
    <w:rPr>
      <w:sz w:val="18"/>
      <w:szCs w:val="18"/>
    </w:rPr>
  </w:style>
  <w:style w:type="character" w:customStyle="1" w:styleId="25">
    <w:name w:val="脚注文本 Char"/>
    <w:basedOn w:val="12"/>
    <w:link w:val="7"/>
    <w:semiHidden/>
    <w:qFormat/>
    <w:locked/>
    <w:uiPriority w:val="99"/>
    <w:rPr>
      <w:rFonts w:ascii="Times New Roman" w:hAnsi="Times New Roman" w:cs="Times New Roman"/>
      <w:kern w:val="0"/>
      <w:sz w:val="18"/>
      <w:szCs w:val="18"/>
    </w:rPr>
  </w:style>
  <w:style w:type="paragraph" w:customStyle="1" w:styleId="26">
    <w:name w:val="[基本段落]"/>
    <w:basedOn w:val="27"/>
    <w:qFormat/>
    <w:uiPriority w:val="99"/>
  </w:style>
  <w:style w:type="paragraph" w:customStyle="1" w:styleId="27">
    <w:name w:val="[系统文字]"/>
    <w:uiPriority w:val="99"/>
    <w:rPr>
      <w:rFonts w:ascii="NEU-BZ" w:hAnsi="NEU-BZ" w:eastAsia="方正书宋_GBK" w:cs="NEU-BZ"/>
      <w:color w:val="000000"/>
      <w:sz w:val="21"/>
      <w:szCs w:val="21"/>
      <w:lang w:val="en-US" w:eastAsia="zh-CN" w:bidi="ar-SA"/>
    </w:rPr>
  </w:style>
  <w:style w:type="character" w:customStyle="1" w:styleId="28">
    <w:name w:val="NormalCharacter"/>
    <w:link w:val="29"/>
    <w:qFormat/>
    <w:locked/>
    <w:uiPriority w:val="99"/>
    <w:rPr>
      <w:rFonts w:ascii="Times New Roman" w:hAnsi="Times New Roman" w:cs="Times New Roman"/>
      <w:sz w:val="32"/>
      <w:szCs w:val="32"/>
    </w:rPr>
  </w:style>
  <w:style w:type="paragraph" w:customStyle="1" w:styleId="29">
    <w:name w:val="UserStyle_0"/>
    <w:basedOn w:val="1"/>
    <w:link w:val="28"/>
    <w:uiPriority w:val="99"/>
    <w:pPr>
      <w:jc w:val="both"/>
      <w:textAlignment w:val="baseline"/>
    </w:pPr>
    <w:rPr>
      <w:szCs w:val="32"/>
    </w:rPr>
  </w:style>
  <w:style w:type="character" w:customStyle="1" w:styleId="30">
    <w:name w:val="16"/>
    <w:basedOn w:val="12"/>
    <w:qFormat/>
    <w:uiPriority w:val="99"/>
    <w:rPr>
      <w:rFonts w:ascii="Times New Roman" w:hAnsi="Times New Roman" w:cs="Times New Roman"/>
      <w:sz w:val="32"/>
      <w:szCs w:val="32"/>
    </w:rPr>
  </w:style>
  <w:style w:type="character" w:customStyle="1" w:styleId="31">
    <w:name w:val="日期 Char"/>
    <w:basedOn w:val="12"/>
    <w:link w:val="2"/>
    <w:semiHidden/>
    <w:qFormat/>
    <w:locked/>
    <w:uiPriority w:val="99"/>
    <w:rPr>
      <w:rFonts w:ascii="Times New Roman" w:hAnsi="Times New Roman" w:eastAsia="宋体" w:cs="Times New Roman"/>
      <w:color w:val="000000"/>
      <w:sz w:val="21"/>
      <w:szCs w:val="21"/>
    </w:rPr>
  </w:style>
  <w:style w:type="paragraph" w:customStyle="1" w:styleId="32">
    <w:name w:val="Char Char Char Char"/>
    <w:basedOn w:val="1"/>
    <w:uiPriority w:val="99"/>
    <w:pPr>
      <w:widowControl w:val="0"/>
      <w:jc w:val="both"/>
    </w:pPr>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00A078-E0BE-4345-BC81-78478799AEE7}">
  <ds:schemaRefs/>
</ds:datastoreItem>
</file>

<file path=docProps/app.xml><?xml version="1.0" encoding="utf-8"?>
<Properties xmlns="http://schemas.openxmlformats.org/officeDocument/2006/extended-properties" xmlns:vt="http://schemas.openxmlformats.org/officeDocument/2006/docPropsVTypes">
  <Template>Normal.dotm</Template>
  <Company>Intergen Ltd</Company>
  <Pages>1</Pages>
  <Words>407</Words>
  <Characters>2320</Characters>
  <Lines>19</Lines>
  <Paragraphs>5</Paragraphs>
  <TotalTime>67</TotalTime>
  <ScaleCrop>false</ScaleCrop>
  <LinksUpToDate>false</LinksUpToDate>
  <CharactersWithSpaces>2722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2021-12-16T05:50:00Z</dcterms:created>
  <dc:creator>mxy</dc:creator>
  <cp:lastModifiedBy>Administrator</cp:lastModifiedBy>
  <cp:lastPrinted>2021-12-16T07:08:00Z</cp:lastPrinted>
  <dcterms:modified xsi:type="dcterms:W3CDTF">2021-12-29T09:06:45Z</dcterms:modified>
  <dc:title>Medical NOte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97BA9EEB0F65444C9A02C267D875DF87</vt:lpwstr>
  </property>
</Properties>
</file>