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方正小标宋简体" w:hAnsi="CESI小标宋-GB18030" w:cs="CESI小标宋-GB18030" w:hint="eastAsia"/>
          <w:color w:val="333333"/>
          <w:sz w:val="44"/>
          <w:szCs w:val="44"/>
          <w:shd w:val="clear" w:color="auto" w:fill="FFFFFF"/>
          <w:lang w:val="en-US" w:eastAsia="zh-CN"/>
        </w:rPr>
      </w:pPr>
      <w:r>
        <w:rPr>
          <w:rFonts w:ascii="方正小标宋简体" w:eastAsia="方正小标宋简体" w:hAnsi="方正小标宋简体" w:cs="方正小标宋简体" w:hint="eastAsia"/>
          <w:color w:val="333333"/>
          <w:sz w:val="44"/>
          <w:szCs w:val="44"/>
          <w:shd w:val="clear" w:color="auto" w:fill="FFFFFF"/>
        </w:rPr>
        <w:t>哈尔滨市人民代表大会常务委员会关于废止《哈尔滨市环城防护林带管理条例》的决定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（2024年4月29日哈尔滨市第十六届人民代表大会常务委员会第二十一次会议通过　2024年6月29日黑龙江省第十四届人民代表大会常务委员会第十五次会议批准）</w:t>
      </w:r>
    </w:p>
    <w:p>
      <w:pPr>
        <w:rPr>
          <w:rFonts w:ascii="Times New Roman" w:eastAsia="宋体" w:hAnsi="Times New Roman" w:cs="宋体"/>
          <w:szCs w:val="32"/>
        </w:rPr>
      </w:pPr>
    </w:p>
    <w:p w14:paraId="3C811EAD">
      <w:pPr>
        <w:ind w:firstLine="640" w:firstLineChars="200"/>
        <w:rPr>
          <w:rFonts w:ascii="Times New Roman" w:hAnsi="Times New Roman" w:cs="仿宋_GB2312"/>
          <w:sz w:val="32"/>
          <w:szCs w:val="32"/>
        </w:rPr>
      </w:pPr>
      <w:r>
        <w:rPr>
          <w:rFonts w:ascii="Times New Roman" w:hAnsi="Times New Roman" w:cs="仿宋_GB2312" w:hint="eastAsia"/>
          <w:sz w:val="32"/>
          <w:szCs w:val="32"/>
        </w:rPr>
        <w:t>哈尔滨市第十六届人民代表大会常务委员会第二十一次会议决定废止《哈尔滨市环城防护林带管理条例》。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本决定自公布之日起施行。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Pages>2</Pages>
  <Words>360</Words>
  <Characters>387</Characters>
  <Application>Microsoft Office Word</Application>
  <DocSecurity>0</DocSecurity>
  <Lines>87</Lines>
  <Paragraphs>24</Paragraphs>
  <ScaleCrop>false</ScaleCrop>
  <Company>Microsoft</Company>
  <LinksUpToDate>false</LinksUpToDate>
  <CharactersWithSpaces>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