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D9A" w:rsidRPr="000A2FAB" w:rsidRDefault="007E1D9A" w:rsidP="000A2FAB">
      <w:pPr>
        <w:spacing w:line="600" w:lineRule="exact"/>
        <w:ind w:left="0"/>
        <w:jc w:val="center"/>
        <w:rPr>
          <w:rFonts w:ascii="方正小标宋简体" w:eastAsia="方正小标宋简体" w:hAnsi="宋体" w:cs="宋体"/>
          <w:bCs/>
          <w:color w:val="000000" w:themeColor="text1"/>
          <w:sz w:val="44"/>
          <w:szCs w:val="44"/>
        </w:rPr>
      </w:pPr>
      <w:r w:rsidRPr="000A2FAB">
        <w:rPr>
          <w:rFonts w:ascii="方正小标宋简体" w:eastAsia="方正小标宋简体" w:hAnsi="宋体" w:cs="宋体" w:hint="eastAsia"/>
          <w:bCs/>
          <w:color w:val="000000" w:themeColor="text1"/>
          <w:sz w:val="44"/>
          <w:szCs w:val="44"/>
        </w:rPr>
        <w:t>鹤岗市城市供热用热管理规定</w:t>
      </w:r>
    </w:p>
    <w:p w:rsidR="00977880" w:rsidRDefault="00977880" w:rsidP="00977880">
      <w:pPr>
        <w:pStyle w:val="p0"/>
        <w:widowControl w:val="0"/>
        <w:tabs>
          <w:tab w:val="left" w:pos="720"/>
          <w:tab w:val="left" w:pos="7920"/>
          <w:tab w:val="left" w:pos="8100"/>
        </w:tabs>
        <w:adjustRightInd w:val="0"/>
        <w:snapToGrid w:val="0"/>
        <w:spacing w:line="560" w:lineRule="exact"/>
        <w:ind w:leftChars="400" w:left="840" w:rightChars="400" w:right="840"/>
        <w:rPr>
          <w:rFonts w:ascii="楷体_GB2312" w:eastAsia="楷体_GB2312" w:hAnsi="楷体_GB2312" w:cs="楷体_GB2312"/>
          <w:sz w:val="32"/>
          <w:szCs w:val="32"/>
        </w:rPr>
      </w:pPr>
    </w:p>
    <w:p w:rsidR="00977880" w:rsidRPr="00A76CA9" w:rsidRDefault="00977880" w:rsidP="00977880">
      <w:pPr>
        <w:pStyle w:val="p0"/>
        <w:widowControl w:val="0"/>
        <w:tabs>
          <w:tab w:val="left" w:pos="720"/>
          <w:tab w:val="left" w:pos="7920"/>
          <w:tab w:val="left" w:pos="8100"/>
        </w:tabs>
        <w:adjustRightInd w:val="0"/>
        <w:snapToGrid w:val="0"/>
        <w:spacing w:line="560" w:lineRule="exact"/>
        <w:ind w:leftChars="400" w:left="840" w:rightChars="400" w:right="840"/>
        <w:rPr>
          <w:rFonts w:ascii="楷体_GB2312" w:eastAsia="楷体_GB2312" w:hAnsi="楷体_GB2312" w:cs="楷体_GB2312"/>
          <w:sz w:val="32"/>
          <w:szCs w:val="32"/>
        </w:rPr>
      </w:pPr>
      <w:r w:rsidRPr="00A76CA9">
        <w:rPr>
          <w:rFonts w:ascii="楷体_GB2312" w:eastAsia="楷体_GB2312" w:hAnsi="楷体_GB2312" w:cs="楷体_GB2312" w:hint="eastAsia"/>
          <w:sz w:val="32"/>
          <w:szCs w:val="32"/>
        </w:rPr>
        <w:t>（2021年</w:t>
      </w:r>
      <w:r>
        <w:rPr>
          <w:rFonts w:ascii="楷体_GB2312" w:eastAsia="楷体_GB2312" w:hAnsi="楷体_GB2312" w:cs="楷体_GB2312" w:hint="eastAsia"/>
          <w:sz w:val="32"/>
          <w:szCs w:val="32"/>
        </w:rPr>
        <w:t>11</w:t>
      </w:r>
      <w:r w:rsidRPr="00A76CA9">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sidRPr="00A76CA9">
        <w:rPr>
          <w:rFonts w:ascii="楷体_GB2312" w:eastAsia="楷体_GB2312" w:hAnsi="楷体_GB2312" w:cs="楷体_GB2312" w:hint="eastAsia"/>
          <w:sz w:val="32"/>
          <w:szCs w:val="32"/>
        </w:rPr>
        <w:t>日鹤岗市第十六届人民代表大会常务委员会第三十</w:t>
      </w:r>
      <w:r>
        <w:rPr>
          <w:rFonts w:ascii="楷体_GB2312" w:eastAsia="楷体_GB2312" w:hAnsi="楷体_GB2312" w:cs="楷体_GB2312" w:hint="eastAsia"/>
          <w:sz w:val="32"/>
          <w:szCs w:val="32"/>
        </w:rPr>
        <w:t>七</w:t>
      </w:r>
      <w:r w:rsidRPr="00A76CA9">
        <w:rPr>
          <w:rFonts w:ascii="楷体_GB2312" w:eastAsia="楷体_GB2312" w:hAnsi="楷体_GB2312" w:cs="楷体_GB2312" w:hint="eastAsia"/>
          <w:sz w:val="32"/>
          <w:szCs w:val="32"/>
        </w:rPr>
        <w:t>次会议通过  2021年1</w:t>
      </w:r>
      <w:r>
        <w:rPr>
          <w:rFonts w:ascii="楷体_GB2312" w:eastAsia="楷体_GB2312" w:hAnsi="楷体_GB2312" w:cs="楷体_GB2312" w:hint="eastAsia"/>
          <w:sz w:val="32"/>
          <w:szCs w:val="32"/>
        </w:rPr>
        <w:t>2</w:t>
      </w:r>
      <w:r w:rsidRPr="00A76CA9">
        <w:rPr>
          <w:rFonts w:ascii="楷体_GB2312" w:eastAsia="楷体_GB2312" w:hAnsi="楷体_GB2312" w:cs="楷体_GB2312" w:hint="eastAsia"/>
          <w:sz w:val="32"/>
          <w:szCs w:val="32"/>
        </w:rPr>
        <w:t>月2</w:t>
      </w:r>
      <w:r>
        <w:rPr>
          <w:rFonts w:ascii="楷体_GB2312" w:eastAsia="楷体_GB2312" w:hAnsi="楷体_GB2312" w:cs="楷体_GB2312" w:hint="eastAsia"/>
          <w:sz w:val="32"/>
          <w:szCs w:val="32"/>
        </w:rPr>
        <w:t>3</w:t>
      </w:r>
      <w:r w:rsidRPr="00A76CA9">
        <w:rPr>
          <w:rFonts w:ascii="楷体_GB2312" w:eastAsia="楷体_GB2312" w:hAnsi="楷体_GB2312" w:cs="楷体_GB2312" w:hint="eastAsia"/>
          <w:sz w:val="32"/>
          <w:szCs w:val="32"/>
        </w:rPr>
        <w:t>日 黑龙江省第十三届人民代表大会常务委员会第二十</w:t>
      </w:r>
      <w:r>
        <w:rPr>
          <w:rFonts w:ascii="楷体_GB2312" w:eastAsia="楷体_GB2312" w:hAnsi="楷体_GB2312" w:cs="楷体_GB2312" w:hint="eastAsia"/>
          <w:sz w:val="32"/>
          <w:szCs w:val="32"/>
        </w:rPr>
        <w:t>九</w:t>
      </w:r>
      <w:r w:rsidRPr="00A76CA9">
        <w:rPr>
          <w:rFonts w:ascii="楷体_GB2312" w:eastAsia="楷体_GB2312" w:hAnsi="楷体_GB2312" w:cs="楷体_GB2312" w:hint="eastAsia"/>
          <w:sz w:val="32"/>
          <w:szCs w:val="32"/>
        </w:rPr>
        <w:t>次会议批准）</w:t>
      </w:r>
    </w:p>
    <w:p w:rsidR="007E1D9A" w:rsidRPr="00977880" w:rsidRDefault="007E1D9A" w:rsidP="0028303D">
      <w:pPr>
        <w:spacing w:line="540" w:lineRule="exact"/>
        <w:rPr>
          <w:rFonts w:ascii="黑体" w:eastAsia="黑体" w:hAnsi="黑体" w:cs="黑体"/>
          <w:color w:val="000000" w:themeColor="text1"/>
          <w:sz w:val="32"/>
          <w:szCs w:val="32"/>
        </w:rPr>
      </w:pPr>
    </w:p>
    <w:p w:rsidR="007E1D9A" w:rsidRPr="00183E76" w:rsidRDefault="007E1D9A" w:rsidP="0028303D">
      <w:pPr>
        <w:spacing w:line="540" w:lineRule="exact"/>
        <w:ind w:firstLineChars="200" w:firstLine="640"/>
        <w:rPr>
          <w:rFonts w:ascii="黑体" w:eastAsia="黑体" w:hAnsi="黑体" w:cs="黑体"/>
          <w:color w:val="000000" w:themeColor="text1"/>
          <w:sz w:val="32"/>
          <w:szCs w:val="32"/>
        </w:rPr>
      </w:pPr>
      <w:r w:rsidRPr="00183E76">
        <w:rPr>
          <w:rFonts w:ascii="黑体" w:eastAsia="黑体" w:hAnsi="黑体" w:cs="黑体" w:hint="eastAsia"/>
          <w:color w:val="000000" w:themeColor="text1"/>
          <w:sz w:val="32"/>
          <w:szCs w:val="32"/>
        </w:rPr>
        <w:t xml:space="preserve">第一条  </w:t>
      </w:r>
      <w:r w:rsidRPr="00183E76">
        <w:rPr>
          <w:rFonts w:ascii="仿宋_GB2312" w:eastAsia="仿宋_GB2312" w:hAnsi="仿宋_GB2312" w:cs="仿宋_GB2312" w:hint="eastAsia"/>
          <w:color w:val="000000" w:themeColor="text1"/>
          <w:sz w:val="32"/>
          <w:szCs w:val="32"/>
        </w:rPr>
        <w:t>为了加强城市供热用热管理，规范供热用热行为，维护供热用热双方的合法权益，根据《黑龙江省城市供热条例》等有关法规的规定，结合本市实际，制定本规定。</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黑体" w:eastAsia="黑体" w:hAnsi="黑体" w:cs="黑体" w:hint="eastAsia"/>
          <w:color w:val="000000" w:themeColor="text1"/>
          <w:sz w:val="32"/>
          <w:szCs w:val="32"/>
        </w:rPr>
        <w:t xml:space="preserve">第二条  </w:t>
      </w:r>
      <w:r w:rsidRPr="00183E76">
        <w:rPr>
          <w:rFonts w:ascii="仿宋_GB2312" w:eastAsia="仿宋_GB2312" w:hAnsi="仿宋" w:cs="仿宋" w:hint="eastAsia"/>
          <w:color w:val="000000" w:themeColor="text1"/>
          <w:sz w:val="32"/>
          <w:szCs w:val="32"/>
        </w:rPr>
        <w:t>本市行政区域内城市供热用热以及相关管理活动，适用本规定。</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黑体" w:eastAsia="黑体" w:hAnsi="黑体" w:cs="黑体" w:hint="eastAsia"/>
          <w:color w:val="000000" w:themeColor="text1"/>
          <w:sz w:val="32"/>
          <w:szCs w:val="32"/>
        </w:rPr>
        <w:t xml:space="preserve">第三条  </w:t>
      </w:r>
      <w:r w:rsidRPr="00183E76">
        <w:rPr>
          <w:rFonts w:ascii="仿宋_GB2312" w:eastAsia="仿宋_GB2312" w:hAnsi="仿宋" w:cs="仿宋" w:hint="eastAsia"/>
          <w:color w:val="000000" w:themeColor="text1"/>
          <w:sz w:val="32"/>
          <w:szCs w:val="32"/>
        </w:rPr>
        <w:t>市、县供热主管部门负责本行政区域内供热用热以及相关活动的管理工作。</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仿宋_GB2312" w:eastAsia="仿宋_GB2312" w:hAnsi="仿宋" w:cs="仿宋" w:hint="eastAsia"/>
          <w:color w:val="000000" w:themeColor="text1"/>
          <w:sz w:val="32"/>
          <w:szCs w:val="32"/>
        </w:rPr>
        <w:t>财政、</w:t>
      </w:r>
      <w:r w:rsidRPr="00183E76">
        <w:rPr>
          <w:rFonts w:ascii="仿宋_GB2312" w:eastAsia="仿宋_GB2312" w:hAnsi="仿宋_GB2312" w:cs="仿宋_GB2312" w:hint="eastAsia"/>
          <w:color w:val="000000" w:themeColor="text1"/>
          <w:sz w:val="32"/>
          <w:szCs w:val="32"/>
        </w:rPr>
        <w:t>价格主管部门</w:t>
      </w:r>
      <w:r w:rsidRPr="00183E76">
        <w:rPr>
          <w:rFonts w:ascii="仿宋_GB2312" w:eastAsia="仿宋_GB2312" w:hAnsi="仿宋" w:cs="仿宋" w:hint="eastAsia"/>
          <w:color w:val="000000" w:themeColor="text1"/>
          <w:sz w:val="32"/>
          <w:szCs w:val="32"/>
        </w:rPr>
        <w:t>、市场监督管理、生态环境、自然资源、民政及有关部门应当按照各自职责，共同做好供热用热相关工作。</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黑体" w:eastAsia="黑体" w:hAnsi="黑体" w:cs="黑体" w:hint="eastAsia"/>
          <w:color w:val="000000" w:themeColor="text1"/>
          <w:sz w:val="32"/>
          <w:szCs w:val="32"/>
        </w:rPr>
        <w:t xml:space="preserve">第四条  </w:t>
      </w:r>
      <w:r w:rsidRPr="00183E76">
        <w:rPr>
          <w:rFonts w:ascii="仿宋_GB2312" w:eastAsia="仿宋_GB2312" w:hAnsi="仿宋" w:cs="仿宋" w:hint="eastAsia"/>
          <w:color w:val="000000" w:themeColor="text1"/>
          <w:sz w:val="32"/>
          <w:szCs w:val="32"/>
        </w:rPr>
        <w:t>市、县人民政府应当鼓励多元化投资城市供热基础设施建设，</w:t>
      </w:r>
      <w:r w:rsidR="00A62DFA">
        <w:rPr>
          <w:rFonts w:ascii="仿宋_GB2312" w:eastAsia="仿宋_GB2312" w:hAnsi="仿宋" w:cs="仿宋" w:hint="eastAsia"/>
          <w:color w:val="000000" w:themeColor="text1"/>
          <w:sz w:val="32"/>
          <w:szCs w:val="32"/>
        </w:rPr>
        <w:t>实行智慧供热，</w:t>
      </w:r>
      <w:r w:rsidRPr="00183E76">
        <w:rPr>
          <w:rFonts w:ascii="仿宋_GB2312" w:eastAsia="仿宋_GB2312" w:hAnsi="仿宋" w:cs="仿宋" w:hint="eastAsia"/>
          <w:color w:val="000000" w:themeColor="text1"/>
          <w:sz w:val="32"/>
          <w:szCs w:val="32"/>
        </w:rPr>
        <w:t>推行利用清洁能源和可再生能源发展供热事业,推广使用安全、高效、节能、环保的供热新技术、新工艺、新材料和新设备，提高城市供热用热管理水平。</w:t>
      </w:r>
    </w:p>
    <w:p w:rsidR="007E1D9A" w:rsidRPr="00183E76" w:rsidRDefault="007E1D9A" w:rsidP="0028303D">
      <w:pPr>
        <w:spacing w:line="540" w:lineRule="exact"/>
        <w:ind w:firstLineChars="200" w:firstLine="640"/>
        <w:rPr>
          <w:rFonts w:ascii="仿宋_GB2312" w:eastAsia="仿宋_GB2312" w:hAnsi="仿宋_GB2312" w:cs="仿宋_GB2312"/>
          <w:color w:val="000000" w:themeColor="text1"/>
          <w:sz w:val="32"/>
          <w:szCs w:val="32"/>
        </w:rPr>
      </w:pPr>
      <w:r w:rsidRPr="00183E76">
        <w:rPr>
          <w:rFonts w:ascii="黑体" w:eastAsia="黑体" w:hAnsi="黑体" w:cs="黑体" w:hint="eastAsia"/>
          <w:color w:val="000000" w:themeColor="text1"/>
          <w:sz w:val="32"/>
          <w:szCs w:val="32"/>
        </w:rPr>
        <w:t xml:space="preserve">第五条  </w:t>
      </w:r>
      <w:r w:rsidRPr="00183E76">
        <w:rPr>
          <w:rFonts w:ascii="仿宋_GB2312" w:eastAsia="仿宋_GB2312" w:hAnsi="仿宋_GB2312" w:cs="仿宋_GB2312" w:hint="eastAsia"/>
          <w:color w:val="000000" w:themeColor="text1"/>
          <w:sz w:val="32"/>
          <w:szCs w:val="32"/>
        </w:rPr>
        <w:t>工程建设开工前，建设单位或者施工单位应当向供热单位查询施工区域供热设施以及地下供热管网等相关情况，影响供热设施以及地下供热管网安全的，建设单位或者施工单位应当与供热单位商定并按照要求采取相应的保护措施。</w:t>
      </w:r>
    </w:p>
    <w:p w:rsidR="002C4D00" w:rsidRPr="002C4D00" w:rsidRDefault="007E1D9A" w:rsidP="002C4D00">
      <w:pPr>
        <w:spacing w:line="540" w:lineRule="exact"/>
        <w:ind w:left="0" w:firstLineChars="200" w:firstLine="640"/>
        <w:rPr>
          <w:rFonts w:ascii="仿宋_GB2312" w:eastAsia="仿宋_GB2312" w:hAnsi="仿宋"/>
          <w:color w:val="000000" w:themeColor="text1"/>
          <w:sz w:val="32"/>
          <w:szCs w:val="32"/>
          <w:shd w:val="clear" w:color="auto" w:fill="FFFFFF"/>
        </w:rPr>
      </w:pPr>
      <w:r w:rsidRPr="00183E76">
        <w:rPr>
          <w:rFonts w:ascii="黑体" w:eastAsia="黑体" w:hAnsi="黑体" w:cs="黑体" w:hint="eastAsia"/>
          <w:color w:val="000000" w:themeColor="text1"/>
          <w:sz w:val="32"/>
          <w:szCs w:val="32"/>
        </w:rPr>
        <w:lastRenderedPageBreak/>
        <w:t xml:space="preserve">第六条  </w:t>
      </w:r>
      <w:r w:rsidR="002C4D00" w:rsidRPr="002C4D00">
        <w:rPr>
          <w:rFonts w:ascii="仿宋_GB2312" w:eastAsia="仿宋_GB2312" w:hAnsi="仿宋" w:hint="eastAsia"/>
          <w:color w:val="000000" w:themeColor="text1"/>
          <w:sz w:val="32"/>
          <w:szCs w:val="32"/>
          <w:shd w:val="clear" w:color="auto" w:fill="FFFFFF"/>
        </w:rPr>
        <w:t>供热期为当年10月10日至次年4月30日。市、县人民政府可以根据气象情况要求供热单位提前供热或者延长供热时间，并给予供热单位适当补偿。</w:t>
      </w:r>
    </w:p>
    <w:p w:rsidR="0028303D" w:rsidRDefault="002C4D00" w:rsidP="002C4D00">
      <w:pPr>
        <w:spacing w:line="540" w:lineRule="exact"/>
        <w:ind w:firstLineChars="200" w:firstLine="640"/>
        <w:rPr>
          <w:rFonts w:ascii="仿宋_GB2312" w:eastAsia="仿宋_GB2312" w:hAnsi="仿宋_GB2312" w:cs="仿宋_GB2312"/>
          <w:color w:val="000000" w:themeColor="text1"/>
          <w:sz w:val="32"/>
          <w:szCs w:val="32"/>
        </w:rPr>
      </w:pPr>
      <w:r w:rsidRPr="002C4D00">
        <w:rPr>
          <w:rFonts w:ascii="仿宋_GB2312" w:eastAsia="仿宋_GB2312" w:hAnsi="仿宋" w:hint="eastAsia"/>
          <w:color w:val="000000" w:themeColor="text1"/>
          <w:sz w:val="32"/>
          <w:szCs w:val="32"/>
          <w:shd w:val="clear" w:color="auto" w:fill="FFFFFF"/>
        </w:rPr>
        <w:t>未经市、县人民政府批准，供热单位不得推迟供热或者提前停热。</w:t>
      </w:r>
    </w:p>
    <w:p w:rsidR="0028303D" w:rsidRDefault="007E1D9A" w:rsidP="0028303D">
      <w:pPr>
        <w:spacing w:line="540" w:lineRule="exact"/>
        <w:ind w:firstLineChars="200" w:firstLine="640"/>
        <w:rPr>
          <w:rFonts w:ascii="仿宋_GB2312" w:eastAsia="仿宋_GB2312" w:hAnsi="仿宋_GB2312" w:cs="仿宋_GB2312"/>
          <w:color w:val="000000" w:themeColor="text1"/>
          <w:sz w:val="32"/>
          <w:szCs w:val="32"/>
        </w:rPr>
      </w:pPr>
      <w:r w:rsidRPr="00183E76">
        <w:rPr>
          <w:rFonts w:ascii="黑体" w:eastAsia="黑体" w:hAnsi="黑体" w:cs="黑体" w:hint="eastAsia"/>
          <w:color w:val="000000" w:themeColor="text1"/>
          <w:sz w:val="32"/>
          <w:szCs w:val="32"/>
        </w:rPr>
        <w:t xml:space="preserve">第七条  </w:t>
      </w:r>
      <w:r w:rsidRPr="00183E76">
        <w:rPr>
          <w:rFonts w:ascii="仿宋_GB2312" w:eastAsia="仿宋_GB2312" w:hAnsi="仿宋_GB2312" w:cs="仿宋_GB2312" w:hint="eastAsia"/>
          <w:color w:val="000000" w:themeColor="text1"/>
          <w:sz w:val="32"/>
          <w:szCs w:val="32"/>
        </w:rPr>
        <w:t>在供热期内，供热单位应当保证居民用户卧室、起居室（厅）温度全天不低于20℃，其他部位应当符合设计规范标准要求。</w:t>
      </w:r>
    </w:p>
    <w:p w:rsidR="007E1D9A" w:rsidRPr="00183E76" w:rsidRDefault="007E1D9A" w:rsidP="0028303D">
      <w:pPr>
        <w:spacing w:line="540" w:lineRule="exact"/>
        <w:ind w:firstLineChars="200" w:firstLine="640"/>
        <w:rPr>
          <w:rFonts w:ascii="仿宋_GB2312" w:eastAsia="仿宋_GB2312" w:hAnsi="仿宋_GB2312" w:cs="仿宋_GB2312"/>
          <w:color w:val="000000" w:themeColor="text1"/>
          <w:sz w:val="32"/>
          <w:szCs w:val="32"/>
        </w:rPr>
      </w:pPr>
      <w:r w:rsidRPr="00183E76">
        <w:rPr>
          <w:rFonts w:ascii="仿宋_GB2312" w:eastAsia="仿宋_GB2312" w:hAnsi="仿宋_GB2312" w:cs="仿宋_GB2312" w:hint="eastAsia"/>
          <w:color w:val="000000" w:themeColor="text1"/>
          <w:sz w:val="32"/>
          <w:szCs w:val="32"/>
        </w:rPr>
        <w:t>非居民用户的室内温度应当符合设计规范标准。</w:t>
      </w:r>
    </w:p>
    <w:p w:rsidR="0028303D"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黑体" w:eastAsia="黑体" w:hAnsi="黑体" w:cs="黑体" w:hint="eastAsia"/>
          <w:color w:val="000000" w:themeColor="text1"/>
          <w:sz w:val="32"/>
          <w:szCs w:val="32"/>
        </w:rPr>
        <w:t xml:space="preserve">第八条  </w:t>
      </w:r>
      <w:r w:rsidRPr="00183E76">
        <w:rPr>
          <w:rFonts w:ascii="仿宋_GB2312" w:eastAsia="仿宋_GB2312" w:hAnsi="仿宋" w:cs="仿宋" w:hint="eastAsia"/>
          <w:color w:val="000000" w:themeColor="text1"/>
          <w:sz w:val="32"/>
          <w:szCs w:val="32"/>
        </w:rPr>
        <w:t>供热单位应当提前做好供热系统的调试、运行，按时供热，保证供热温度达到本规定或者合同约定的温度标准。</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黑体" w:eastAsia="黑体" w:hAnsi="黑体" w:cs="黑体" w:hint="eastAsia"/>
          <w:color w:val="000000" w:themeColor="text1"/>
          <w:sz w:val="32"/>
          <w:szCs w:val="32"/>
        </w:rPr>
        <w:t xml:space="preserve">第九条  </w:t>
      </w:r>
      <w:r w:rsidRPr="00183E76">
        <w:rPr>
          <w:rFonts w:ascii="仿宋_GB2312" w:eastAsia="仿宋_GB2312" w:hAnsi="仿宋" w:cs="仿宋" w:hint="eastAsia"/>
          <w:color w:val="000000" w:themeColor="text1"/>
          <w:sz w:val="32"/>
          <w:szCs w:val="32"/>
        </w:rPr>
        <w:t>热价由市、县价格主管部门按照居民用户和非居民用户核定，报当地人民政府批准后公布实施。</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黑体" w:eastAsia="黑体" w:hAnsi="黑体" w:cs="黑体" w:hint="eastAsia"/>
          <w:color w:val="000000" w:themeColor="text1"/>
          <w:sz w:val="32"/>
          <w:szCs w:val="32"/>
        </w:rPr>
        <w:t xml:space="preserve">第十条  </w:t>
      </w:r>
      <w:r w:rsidRPr="00183E76">
        <w:rPr>
          <w:rFonts w:ascii="仿宋_GB2312" w:eastAsia="仿宋_GB2312" w:hAnsi="仿宋" w:cs="仿宋" w:hint="eastAsia"/>
          <w:color w:val="000000" w:themeColor="text1"/>
          <w:sz w:val="32"/>
          <w:szCs w:val="32"/>
        </w:rPr>
        <w:t>市、县价格主管部门应当会同同级供热主管部门按照国家有关规定，根据煤炭市场价格变动情况，建立煤热价格联动机制。</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仿宋_GB2312" w:eastAsia="仿宋_GB2312" w:hAnsi="仿宋" w:cs="仿宋" w:hint="eastAsia"/>
          <w:color w:val="000000" w:themeColor="text1"/>
          <w:sz w:val="32"/>
          <w:szCs w:val="32"/>
        </w:rPr>
        <w:t>实行热电联产的供热单位，热电联产机组应当合理分摊热、电成本。</w:t>
      </w:r>
    </w:p>
    <w:p w:rsidR="0028303D"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仿宋_GB2312" w:eastAsia="仿宋_GB2312" w:hAnsi="仿宋" w:cs="仿宋" w:hint="eastAsia"/>
          <w:color w:val="000000" w:themeColor="text1"/>
          <w:sz w:val="32"/>
          <w:szCs w:val="32"/>
        </w:rPr>
        <w:t>市、县价格主管部门应当定期开展供热成本监审，</w:t>
      </w:r>
      <w:r w:rsidRPr="00183E76">
        <w:rPr>
          <w:rFonts w:ascii="仿宋_GB2312" w:eastAsia="仿宋_GB2312" w:hAnsi="仿宋_GB2312" w:cs="仿宋_GB2312" w:hint="eastAsia"/>
          <w:color w:val="000000" w:themeColor="text1"/>
          <w:sz w:val="32"/>
          <w:szCs w:val="32"/>
        </w:rPr>
        <w:t>供热成本监审周期</w:t>
      </w:r>
      <w:r w:rsidRPr="00183E76">
        <w:rPr>
          <w:rFonts w:ascii="仿宋_GB2312" w:eastAsia="仿宋_GB2312" w:hAnsi="仿宋" w:cs="仿宋" w:hint="eastAsia"/>
          <w:color w:val="000000" w:themeColor="text1"/>
          <w:sz w:val="32"/>
          <w:szCs w:val="32"/>
        </w:rPr>
        <w:t>不得少于一年，根据成本监审结果适时调整热价。调整热价时，应当公布热费价格组成，组织召开定价听证会广泛听取社会各界意见。</w:t>
      </w:r>
    </w:p>
    <w:p w:rsidR="007C4901" w:rsidRDefault="007E1D9A" w:rsidP="0028303D">
      <w:pPr>
        <w:spacing w:line="540" w:lineRule="exact"/>
        <w:ind w:firstLineChars="200" w:firstLine="640"/>
        <w:rPr>
          <w:rFonts w:ascii="仿宋_GB2312" w:eastAsia="仿宋_GB2312" w:hAnsi="仿宋_GB2312" w:cs="仿宋_GB2312"/>
          <w:color w:val="000000" w:themeColor="text1"/>
          <w:sz w:val="32"/>
          <w:szCs w:val="32"/>
        </w:rPr>
      </w:pPr>
      <w:r w:rsidRPr="00183E76">
        <w:rPr>
          <w:rFonts w:ascii="黑体" w:eastAsia="黑体" w:hAnsi="黑体" w:cs="黑体" w:hint="eastAsia"/>
          <w:color w:val="000000" w:themeColor="text1"/>
          <w:sz w:val="32"/>
          <w:szCs w:val="32"/>
        </w:rPr>
        <w:t xml:space="preserve">第十一条  </w:t>
      </w:r>
      <w:r w:rsidRPr="00183E76">
        <w:rPr>
          <w:rFonts w:ascii="仿宋_GB2312" w:eastAsia="仿宋_GB2312" w:hAnsi="仿宋_GB2312" w:cs="仿宋_GB2312" w:hint="eastAsia"/>
          <w:color w:val="000000" w:themeColor="text1"/>
          <w:sz w:val="32"/>
          <w:szCs w:val="32"/>
        </w:rPr>
        <w:t>非居民用户的供热设施的更新、改造、维修、养护、清洗、除锈由产权人负责。</w:t>
      </w:r>
    </w:p>
    <w:p w:rsidR="0028303D" w:rsidRDefault="007E1D9A" w:rsidP="0028303D">
      <w:pPr>
        <w:spacing w:line="540" w:lineRule="exact"/>
        <w:ind w:firstLineChars="200" w:firstLine="640"/>
        <w:rPr>
          <w:rFonts w:ascii="仿宋_GB2312" w:eastAsia="仿宋_GB2312" w:hAnsi="仿宋_GB2312" w:cs="仿宋_GB2312"/>
          <w:color w:val="000000" w:themeColor="text1"/>
          <w:sz w:val="32"/>
          <w:szCs w:val="32"/>
        </w:rPr>
      </w:pPr>
      <w:r w:rsidRPr="00183E76">
        <w:rPr>
          <w:rFonts w:ascii="仿宋_GB2312" w:eastAsia="仿宋_GB2312" w:hAnsi="仿宋_GB2312" w:cs="仿宋_GB2312" w:hint="eastAsia"/>
          <w:color w:val="000000" w:themeColor="text1"/>
          <w:sz w:val="32"/>
          <w:szCs w:val="32"/>
        </w:rPr>
        <w:lastRenderedPageBreak/>
        <w:t>用户共用供热设施和居民用户入户管网的更新、改造、维修、养护、清洗、除锈由供热单位负责，其费用计入热费成本，供热单位不得另行收费。</w:t>
      </w:r>
    </w:p>
    <w:p w:rsidR="0028303D" w:rsidRDefault="007E1D9A" w:rsidP="0028303D">
      <w:pPr>
        <w:spacing w:line="540" w:lineRule="exact"/>
        <w:ind w:firstLineChars="200" w:firstLine="640"/>
        <w:rPr>
          <w:rFonts w:ascii="仿宋_GB2312" w:eastAsia="仿宋_GB2312" w:hAnsi="仿宋_GB2312" w:cs="仿宋_GB2312"/>
          <w:color w:val="000000" w:themeColor="text1"/>
          <w:sz w:val="32"/>
          <w:szCs w:val="32"/>
        </w:rPr>
      </w:pPr>
      <w:r w:rsidRPr="00183E76">
        <w:rPr>
          <w:rFonts w:ascii="仿宋_GB2312" w:eastAsia="仿宋_GB2312" w:hAnsi="仿宋_GB2312" w:cs="仿宋_GB2312" w:hint="eastAsia"/>
          <w:color w:val="000000" w:themeColor="text1"/>
          <w:sz w:val="32"/>
          <w:szCs w:val="32"/>
        </w:rPr>
        <w:t>居民用户应当对其室内供热设施履行保护义务。居民用户室内供热设施的维修、养护、清洗、除锈可以委托供热单位实施，供热单位不得拒绝。其费用已经计入热费成本的，供热单位不得另行收费。</w:t>
      </w:r>
    </w:p>
    <w:p w:rsidR="0028303D" w:rsidRDefault="007E1D9A" w:rsidP="0028303D">
      <w:pPr>
        <w:spacing w:line="540" w:lineRule="exact"/>
        <w:ind w:firstLineChars="200" w:firstLine="640"/>
        <w:rPr>
          <w:rFonts w:ascii="仿宋_GB2312" w:eastAsia="仿宋_GB2312" w:hAnsi="仿宋_GB2312" w:cs="仿宋_GB2312"/>
          <w:color w:val="000000" w:themeColor="text1"/>
          <w:sz w:val="32"/>
          <w:szCs w:val="32"/>
        </w:rPr>
      </w:pPr>
      <w:r w:rsidRPr="00183E76">
        <w:rPr>
          <w:rFonts w:ascii="仿宋_GB2312" w:eastAsia="仿宋_GB2312" w:hAnsi="仿宋_GB2312" w:cs="仿宋_GB2312" w:hint="eastAsia"/>
          <w:color w:val="000000" w:themeColor="text1"/>
          <w:sz w:val="32"/>
          <w:szCs w:val="32"/>
        </w:rPr>
        <w:t>供热单位不得以用户室内装修遮挡散热器、改动室内供热设施为由，拒绝为居民用户维修、养护室内供热设施。</w:t>
      </w:r>
    </w:p>
    <w:p w:rsidR="0028303D" w:rsidRDefault="007E1D9A" w:rsidP="0028303D">
      <w:pPr>
        <w:spacing w:line="540" w:lineRule="exact"/>
        <w:ind w:firstLineChars="200" w:firstLine="640"/>
        <w:rPr>
          <w:rFonts w:ascii="仿宋_GB2312" w:eastAsia="仿宋_GB2312" w:hAnsi="仿宋_GB2312" w:cs="仿宋_GB2312"/>
          <w:color w:val="000000" w:themeColor="text1"/>
          <w:sz w:val="32"/>
          <w:szCs w:val="32"/>
        </w:rPr>
      </w:pPr>
      <w:r w:rsidRPr="00183E76">
        <w:rPr>
          <w:rFonts w:ascii="仿宋_GB2312" w:eastAsia="仿宋_GB2312" w:hAnsi="仿宋_GB2312" w:cs="仿宋_GB2312" w:hint="eastAsia"/>
          <w:color w:val="000000" w:themeColor="text1"/>
          <w:sz w:val="32"/>
          <w:szCs w:val="32"/>
        </w:rPr>
        <w:t>在供热工程保修期内的更新、改造、维修和养护费用由建设单位承担。</w:t>
      </w:r>
    </w:p>
    <w:p w:rsidR="007E1D9A" w:rsidRPr="00183E76" w:rsidRDefault="00327599" w:rsidP="0028303D">
      <w:pPr>
        <w:spacing w:line="54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供热工程保修期满后，</w:t>
      </w:r>
      <w:r w:rsidR="007E1D9A" w:rsidRPr="00183E76">
        <w:rPr>
          <w:rFonts w:ascii="仿宋_GB2312" w:eastAsia="仿宋_GB2312" w:hAnsi="仿宋_GB2312" w:cs="仿宋_GB2312" w:hint="eastAsia"/>
          <w:color w:val="000000" w:themeColor="text1"/>
          <w:sz w:val="32"/>
          <w:szCs w:val="32"/>
        </w:rPr>
        <w:t>供热设施存在质量问题尚未解决的，建设单位应当继续履行保修责任。</w:t>
      </w:r>
    </w:p>
    <w:p w:rsidR="007E1D9A" w:rsidRPr="00183E76" w:rsidRDefault="007E1D9A" w:rsidP="0028303D">
      <w:pPr>
        <w:spacing w:line="540" w:lineRule="exact"/>
        <w:ind w:firstLine="640"/>
        <w:rPr>
          <w:rFonts w:ascii="仿宋_GB2312" w:eastAsia="仿宋_GB2312" w:hAnsi="仿宋" w:cs="仿宋"/>
          <w:color w:val="000000" w:themeColor="text1"/>
          <w:sz w:val="32"/>
          <w:szCs w:val="32"/>
        </w:rPr>
      </w:pPr>
      <w:r w:rsidRPr="00183E76">
        <w:rPr>
          <w:rFonts w:ascii="黑体" w:eastAsia="黑体" w:hAnsi="黑体" w:cs="黑体" w:hint="eastAsia"/>
          <w:color w:val="000000" w:themeColor="text1"/>
          <w:sz w:val="32"/>
          <w:szCs w:val="32"/>
        </w:rPr>
        <w:t xml:space="preserve">第十二条  </w:t>
      </w:r>
      <w:r w:rsidRPr="00183E76">
        <w:rPr>
          <w:rFonts w:ascii="仿宋_GB2312" w:eastAsia="仿宋_GB2312" w:hAnsi="仿宋" w:cs="仿宋" w:hint="eastAsia"/>
          <w:color w:val="000000" w:themeColor="text1"/>
          <w:sz w:val="32"/>
          <w:szCs w:val="32"/>
        </w:rPr>
        <w:t>供热主管部门应当建立供热信息平台管理制度和供热举报、投诉及争议解决</w:t>
      </w:r>
      <w:r w:rsidR="007C4901">
        <w:rPr>
          <w:rFonts w:ascii="仿宋_GB2312" w:eastAsia="仿宋_GB2312" w:hAnsi="仿宋" w:cs="仿宋" w:hint="eastAsia"/>
          <w:color w:val="000000" w:themeColor="text1"/>
          <w:sz w:val="32"/>
          <w:szCs w:val="32"/>
        </w:rPr>
        <w:t>机</w:t>
      </w:r>
      <w:r w:rsidRPr="00183E76">
        <w:rPr>
          <w:rFonts w:ascii="仿宋_GB2312" w:eastAsia="仿宋_GB2312" w:hAnsi="仿宋" w:cs="仿宋" w:hint="eastAsia"/>
          <w:color w:val="000000" w:themeColor="text1"/>
          <w:sz w:val="32"/>
          <w:szCs w:val="32"/>
        </w:rPr>
        <w:t>制，及时受理和解决用户诉求。</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仿宋_GB2312" w:eastAsia="仿宋_GB2312" w:hAnsi="仿宋" w:cs="仿宋" w:hint="eastAsia"/>
          <w:color w:val="000000" w:themeColor="text1"/>
          <w:sz w:val="32"/>
          <w:szCs w:val="32"/>
        </w:rPr>
        <w:t>供热单位应当向社会公开服务内容、服务标准、服务程序、收费标准和服务电话，停止供热可能对用户造成影响的，应当及时通知用户。</w:t>
      </w:r>
    </w:p>
    <w:p w:rsidR="007E1D9A" w:rsidRPr="00183E76" w:rsidRDefault="007E1D9A" w:rsidP="0028303D">
      <w:pPr>
        <w:spacing w:line="540" w:lineRule="exact"/>
        <w:ind w:firstLineChars="200" w:firstLine="640"/>
        <w:rPr>
          <w:rFonts w:ascii="仿宋_GB2312" w:eastAsia="仿宋_GB2312" w:hAnsi="仿宋" w:cs="仿宋"/>
          <w:color w:val="000000" w:themeColor="text1"/>
          <w:sz w:val="32"/>
          <w:szCs w:val="32"/>
        </w:rPr>
      </w:pPr>
      <w:r w:rsidRPr="00183E76">
        <w:rPr>
          <w:rFonts w:ascii="黑体" w:eastAsia="黑体" w:hAnsi="黑体" w:cs="黑体" w:hint="eastAsia"/>
          <w:color w:val="000000" w:themeColor="text1"/>
          <w:sz w:val="32"/>
          <w:szCs w:val="32"/>
        </w:rPr>
        <w:t xml:space="preserve">第十三条  </w:t>
      </w:r>
      <w:r w:rsidRPr="00183E76">
        <w:rPr>
          <w:rFonts w:ascii="仿宋_GB2312" w:eastAsia="仿宋_GB2312" w:hAnsi="仿宋_GB2312" w:cs="仿宋_GB2312" w:hint="eastAsia"/>
          <w:color w:val="000000" w:themeColor="text1"/>
          <w:sz w:val="32"/>
          <w:szCs w:val="32"/>
        </w:rPr>
        <w:t>本规定自</w:t>
      </w:r>
      <w:r w:rsidR="00C2043F">
        <w:rPr>
          <w:rFonts w:ascii="仿宋_GB2312" w:eastAsia="仿宋_GB2312" w:hAnsi="仿宋_GB2312" w:cs="仿宋_GB2312" w:hint="eastAsia"/>
          <w:color w:val="000000" w:themeColor="text1"/>
          <w:sz w:val="32"/>
          <w:szCs w:val="32"/>
        </w:rPr>
        <w:t>2022</w:t>
      </w:r>
      <w:r w:rsidRPr="00183E76">
        <w:rPr>
          <w:rFonts w:ascii="仿宋_GB2312" w:eastAsia="仿宋_GB2312" w:hAnsi="仿宋_GB2312" w:cs="仿宋_GB2312" w:hint="eastAsia"/>
          <w:color w:val="000000" w:themeColor="text1"/>
          <w:sz w:val="32"/>
          <w:szCs w:val="32"/>
        </w:rPr>
        <w:t>年</w:t>
      </w:r>
      <w:r w:rsidR="00C2043F">
        <w:rPr>
          <w:rFonts w:ascii="仿宋_GB2312" w:eastAsia="仿宋_GB2312" w:hAnsi="仿宋_GB2312" w:cs="仿宋_GB2312" w:hint="eastAsia"/>
          <w:color w:val="000000" w:themeColor="text1"/>
          <w:sz w:val="32"/>
          <w:szCs w:val="32"/>
        </w:rPr>
        <w:t>7</w:t>
      </w:r>
      <w:r w:rsidRPr="00183E76">
        <w:rPr>
          <w:rFonts w:ascii="仿宋_GB2312" w:eastAsia="仿宋_GB2312" w:hAnsi="仿宋_GB2312" w:cs="仿宋_GB2312" w:hint="eastAsia"/>
          <w:color w:val="000000" w:themeColor="text1"/>
          <w:sz w:val="32"/>
          <w:szCs w:val="32"/>
        </w:rPr>
        <w:t>月</w:t>
      </w:r>
      <w:r w:rsidR="00C2043F">
        <w:rPr>
          <w:rFonts w:ascii="仿宋_GB2312" w:eastAsia="仿宋_GB2312" w:hAnsi="仿宋_GB2312" w:cs="仿宋_GB2312" w:hint="eastAsia"/>
          <w:color w:val="000000" w:themeColor="text1"/>
          <w:sz w:val="32"/>
          <w:szCs w:val="32"/>
        </w:rPr>
        <w:t>1</w:t>
      </w:r>
      <w:r w:rsidRPr="00183E76">
        <w:rPr>
          <w:rFonts w:ascii="仿宋_GB2312" w:eastAsia="仿宋_GB2312" w:hAnsi="仿宋_GB2312" w:cs="仿宋_GB2312" w:hint="eastAsia"/>
          <w:color w:val="000000" w:themeColor="text1"/>
          <w:sz w:val="32"/>
          <w:szCs w:val="32"/>
        </w:rPr>
        <w:t>日起施行。</w:t>
      </w:r>
    </w:p>
    <w:p w:rsidR="00D15BF2" w:rsidRPr="007E1D9A" w:rsidRDefault="00D15BF2" w:rsidP="0028303D">
      <w:pPr>
        <w:spacing w:line="580" w:lineRule="exact"/>
        <w:rPr>
          <w:rFonts w:ascii="仿宋" w:eastAsia="仿宋" w:hAnsi="仿宋"/>
          <w:color w:val="000000" w:themeColor="text1"/>
          <w:sz w:val="32"/>
          <w:szCs w:val="32"/>
        </w:rPr>
      </w:pPr>
    </w:p>
    <w:p w:rsidR="00D15BF2" w:rsidRPr="009C5456" w:rsidRDefault="00D15BF2" w:rsidP="0028303D">
      <w:pPr>
        <w:spacing w:line="580" w:lineRule="exact"/>
        <w:rPr>
          <w:rFonts w:ascii="仿宋" w:eastAsia="仿宋" w:hAnsi="仿宋"/>
          <w:color w:val="000000" w:themeColor="text1"/>
          <w:sz w:val="32"/>
          <w:szCs w:val="32"/>
        </w:rPr>
      </w:pPr>
    </w:p>
    <w:p w:rsidR="00D15BF2" w:rsidRPr="009C5456" w:rsidRDefault="00D15BF2" w:rsidP="0028303D">
      <w:pPr>
        <w:spacing w:line="580" w:lineRule="exact"/>
        <w:rPr>
          <w:rFonts w:ascii="仿宋" w:eastAsia="仿宋" w:hAnsi="仿宋"/>
          <w:color w:val="000000" w:themeColor="text1"/>
          <w:sz w:val="32"/>
          <w:szCs w:val="32"/>
        </w:rPr>
      </w:pPr>
    </w:p>
    <w:p w:rsidR="00D15BF2" w:rsidRDefault="00D15BF2" w:rsidP="0028303D">
      <w:pPr>
        <w:spacing w:line="580" w:lineRule="exact"/>
        <w:rPr>
          <w:rFonts w:ascii="仿宋" w:eastAsia="仿宋" w:hAnsi="仿宋"/>
          <w:color w:val="000000" w:themeColor="text1"/>
          <w:sz w:val="32"/>
          <w:szCs w:val="32"/>
        </w:rPr>
      </w:pPr>
    </w:p>
    <w:p w:rsidR="000A2FAB" w:rsidRDefault="000A2FAB" w:rsidP="0028303D">
      <w:pPr>
        <w:spacing w:line="580" w:lineRule="exact"/>
        <w:rPr>
          <w:rFonts w:ascii="仿宋" w:eastAsia="仿宋" w:hAnsi="仿宋"/>
          <w:color w:val="000000" w:themeColor="text1"/>
          <w:sz w:val="32"/>
          <w:szCs w:val="32"/>
        </w:rPr>
      </w:pPr>
    </w:p>
    <w:sectPr w:rsidR="000A2FAB" w:rsidSect="009C5456">
      <w:footerReference w:type="even" r:id="rId7"/>
      <w:footerReference w:type="default" r:id="rId8"/>
      <w:footnotePr>
        <w:numFmt w:val="decimalHalfWidth"/>
      </w:footnotePr>
      <w:endnotePr>
        <w:numFmt w:val="chineseCounting"/>
      </w:endnotePr>
      <w:pgSz w:w="11905" w:h="16837" w:code="9"/>
      <w:pgMar w:top="1701" w:right="1418" w:bottom="1701" w:left="1418" w:header="567" w:footer="992" w:gutter="0"/>
      <w:cols w:space="720"/>
      <w:docGrid w:type="lines"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7B2" w:rsidRDefault="000707B2">
      <w:pPr>
        <w:spacing w:line="240" w:lineRule="auto"/>
      </w:pPr>
      <w:r>
        <w:separator/>
      </w:r>
    </w:p>
  </w:endnote>
  <w:endnote w:type="continuationSeparator" w:id="1">
    <w:p w:rsidR="000707B2" w:rsidRDefault="000707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8225957"/>
      <w:docPartObj>
        <w:docPartGallery w:val="Page Numbers (Bottom of Page)"/>
        <w:docPartUnique/>
      </w:docPartObj>
    </w:sdtPr>
    <w:sdtContent>
      <w:p w:rsidR="000A2FAB" w:rsidRDefault="000A2FAB" w:rsidP="000A2FAB">
        <w:pPr>
          <w:pStyle w:val="a5"/>
          <w:spacing w:line="240" w:lineRule="auto"/>
          <w:ind w:left="0"/>
        </w:pPr>
        <w:r>
          <w:rPr>
            <w:rFonts w:hint="eastAsia"/>
            <w:sz w:val="28"/>
            <w:szCs w:val="28"/>
          </w:rPr>
          <w:t>—</w:t>
        </w:r>
        <w:r>
          <w:rPr>
            <w:rFonts w:hint="eastAsia"/>
            <w:sz w:val="28"/>
            <w:szCs w:val="28"/>
          </w:rPr>
          <w:t xml:space="preserve"> </w:t>
        </w:r>
        <w:r w:rsidR="008D38D1" w:rsidRPr="000A2FAB">
          <w:rPr>
            <w:sz w:val="28"/>
            <w:szCs w:val="28"/>
          </w:rPr>
          <w:fldChar w:fldCharType="begin"/>
        </w:r>
        <w:r w:rsidRPr="000A2FAB">
          <w:rPr>
            <w:sz w:val="28"/>
            <w:szCs w:val="28"/>
          </w:rPr>
          <w:instrText xml:space="preserve"> PAGE   \* MERGEFORMAT </w:instrText>
        </w:r>
        <w:r w:rsidR="008D38D1" w:rsidRPr="000A2FAB">
          <w:rPr>
            <w:sz w:val="28"/>
            <w:szCs w:val="28"/>
          </w:rPr>
          <w:fldChar w:fldCharType="separate"/>
        </w:r>
        <w:r w:rsidR="00C2043F" w:rsidRPr="00C2043F">
          <w:rPr>
            <w:noProof/>
            <w:sz w:val="28"/>
            <w:szCs w:val="28"/>
            <w:lang w:val="zh-CN"/>
          </w:rPr>
          <w:t>2</w:t>
        </w:r>
        <w:r w:rsidR="008D38D1" w:rsidRPr="000A2FAB">
          <w:rPr>
            <w:sz w:val="28"/>
            <w:szCs w:val="28"/>
          </w:rPr>
          <w:fldChar w:fldCharType="end"/>
        </w:r>
        <w:r>
          <w:rPr>
            <w:rFonts w:hint="eastAsia"/>
            <w:sz w:val="28"/>
            <w:szCs w:val="28"/>
          </w:rPr>
          <w:t xml:space="preserve"> </w:t>
        </w:r>
        <w:r>
          <w:rPr>
            <w:rFonts w:hint="eastAsia"/>
            <w:sz w:val="28"/>
            <w:szCs w:val="28"/>
          </w:rPr>
          <w:t>—</w:t>
        </w:r>
      </w:p>
    </w:sdtContent>
  </w:sdt>
  <w:p w:rsidR="00284613" w:rsidRPr="000A2FAB" w:rsidRDefault="00284613" w:rsidP="000A2FAB">
    <w:pPr>
      <w:pStyle w:val="a5"/>
      <w:spacing w:line="240" w:lineRule="auto"/>
      <w:ind w:left="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8225949"/>
      <w:docPartObj>
        <w:docPartGallery w:val="Page Numbers (Bottom of Page)"/>
        <w:docPartUnique/>
      </w:docPartObj>
    </w:sdtPr>
    <w:sdtEndPr>
      <w:rPr>
        <w:sz w:val="28"/>
        <w:szCs w:val="28"/>
      </w:rPr>
    </w:sdtEndPr>
    <w:sdtContent>
      <w:p w:rsidR="000A2FAB" w:rsidRDefault="000A2FAB" w:rsidP="000A2FAB">
        <w:pPr>
          <w:pStyle w:val="a5"/>
          <w:spacing w:line="240" w:lineRule="auto"/>
          <w:ind w:left="0"/>
          <w:jc w:val="right"/>
        </w:pPr>
        <w:r>
          <w:rPr>
            <w:rFonts w:hint="eastAsia"/>
            <w:sz w:val="28"/>
            <w:szCs w:val="28"/>
          </w:rPr>
          <w:t>—</w:t>
        </w:r>
        <w:r>
          <w:rPr>
            <w:rFonts w:hint="eastAsia"/>
            <w:sz w:val="28"/>
            <w:szCs w:val="28"/>
          </w:rPr>
          <w:t xml:space="preserve"> </w:t>
        </w:r>
        <w:r w:rsidR="008D38D1" w:rsidRPr="000A2FAB">
          <w:rPr>
            <w:sz w:val="28"/>
            <w:szCs w:val="28"/>
          </w:rPr>
          <w:fldChar w:fldCharType="begin"/>
        </w:r>
        <w:r w:rsidRPr="000A2FAB">
          <w:rPr>
            <w:sz w:val="28"/>
            <w:szCs w:val="28"/>
          </w:rPr>
          <w:instrText xml:space="preserve"> PAGE   \* MERGEFORMAT </w:instrText>
        </w:r>
        <w:r w:rsidR="008D38D1" w:rsidRPr="000A2FAB">
          <w:rPr>
            <w:sz w:val="28"/>
            <w:szCs w:val="28"/>
          </w:rPr>
          <w:fldChar w:fldCharType="separate"/>
        </w:r>
        <w:r w:rsidR="00C2043F" w:rsidRPr="00C2043F">
          <w:rPr>
            <w:noProof/>
            <w:sz w:val="28"/>
            <w:szCs w:val="28"/>
            <w:lang w:val="zh-CN"/>
          </w:rPr>
          <w:t>1</w:t>
        </w:r>
        <w:r w:rsidR="008D38D1" w:rsidRPr="000A2FAB">
          <w:rPr>
            <w:sz w:val="28"/>
            <w:szCs w:val="28"/>
          </w:rPr>
          <w:fldChar w:fldCharType="end"/>
        </w:r>
        <w:r>
          <w:rPr>
            <w:rFonts w:hint="eastAsia"/>
            <w:sz w:val="28"/>
            <w:szCs w:val="28"/>
          </w:rPr>
          <w:t xml:space="preserve"> </w:t>
        </w:r>
        <w:r>
          <w:rPr>
            <w:rFonts w:hint="eastAsia"/>
            <w:sz w:val="28"/>
            <w:szCs w:val="28"/>
          </w:rPr>
          <w:t>—</w:t>
        </w:r>
      </w:p>
    </w:sdtContent>
  </w:sdt>
  <w:p w:rsidR="000A2FAB" w:rsidRPr="000A2FAB" w:rsidRDefault="000A2FAB" w:rsidP="000A2FAB">
    <w:pPr>
      <w:pStyle w:val="a5"/>
      <w:spacing w:line="240" w:lineRule="auto"/>
      <w:ind w:left="0"/>
      <w:rPr>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7B2" w:rsidRDefault="000707B2">
      <w:pPr>
        <w:spacing w:line="240" w:lineRule="auto"/>
      </w:pPr>
      <w:r>
        <w:separator/>
      </w:r>
    </w:p>
  </w:footnote>
  <w:footnote w:type="continuationSeparator" w:id="1">
    <w:p w:rsidR="000707B2" w:rsidRDefault="000707B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3490"/>
  </w:hdrShapeDefaults>
  <w:footnotePr>
    <w:numFmt w:val="decimalHalfWidth"/>
    <w:footnote w:id="0"/>
    <w:footnote w:id="1"/>
  </w:footnotePr>
  <w:endnotePr>
    <w:numFmt w:val="chineseCounting"/>
    <w:endnote w:id="0"/>
    <w:endnote w:id="1"/>
  </w:endnotePr>
  <w:compat>
    <w:spaceForUL/>
    <w:balanceSingleByteDoubleByteWidth/>
    <w:doNotLeaveBackslashAlone/>
    <w:ulTrailSpace/>
    <w:doNotExpandShiftReturn/>
    <w:adjustLineHeightInTable/>
    <w:useFELayout/>
  </w:compat>
  <w:rsids>
    <w:rsidRoot w:val="0000589F"/>
    <w:rsid w:val="0000589F"/>
    <w:rsid w:val="00005E81"/>
    <w:rsid w:val="00011B71"/>
    <w:rsid w:val="000345E5"/>
    <w:rsid w:val="0003571A"/>
    <w:rsid w:val="000707B2"/>
    <w:rsid w:val="0007720E"/>
    <w:rsid w:val="00093EB0"/>
    <w:rsid w:val="000A2FAB"/>
    <w:rsid w:val="000A4955"/>
    <w:rsid w:val="000D6D84"/>
    <w:rsid w:val="0013286E"/>
    <w:rsid w:val="00143A23"/>
    <w:rsid w:val="001501E4"/>
    <w:rsid w:val="001C02EE"/>
    <w:rsid w:val="001E1BF3"/>
    <w:rsid w:val="001F1853"/>
    <w:rsid w:val="0020705E"/>
    <w:rsid w:val="002245B8"/>
    <w:rsid w:val="00242C20"/>
    <w:rsid w:val="00247906"/>
    <w:rsid w:val="002755CF"/>
    <w:rsid w:val="0028303D"/>
    <w:rsid w:val="00284613"/>
    <w:rsid w:val="002A5133"/>
    <w:rsid w:val="002B7011"/>
    <w:rsid w:val="002C4D00"/>
    <w:rsid w:val="002D4C89"/>
    <w:rsid w:val="002F6D0B"/>
    <w:rsid w:val="0032323F"/>
    <w:rsid w:val="00324AFA"/>
    <w:rsid w:val="00327599"/>
    <w:rsid w:val="0035494F"/>
    <w:rsid w:val="00374133"/>
    <w:rsid w:val="003764AA"/>
    <w:rsid w:val="00387519"/>
    <w:rsid w:val="00391883"/>
    <w:rsid w:val="00461F32"/>
    <w:rsid w:val="00471B28"/>
    <w:rsid w:val="00482C72"/>
    <w:rsid w:val="004C4577"/>
    <w:rsid w:val="004E2C69"/>
    <w:rsid w:val="00532E02"/>
    <w:rsid w:val="00566F03"/>
    <w:rsid w:val="00572B5F"/>
    <w:rsid w:val="0058403D"/>
    <w:rsid w:val="005840E8"/>
    <w:rsid w:val="00584388"/>
    <w:rsid w:val="00590B83"/>
    <w:rsid w:val="005C2D79"/>
    <w:rsid w:val="005F28CA"/>
    <w:rsid w:val="0061762A"/>
    <w:rsid w:val="006178BA"/>
    <w:rsid w:val="006377EC"/>
    <w:rsid w:val="00666426"/>
    <w:rsid w:val="006729C8"/>
    <w:rsid w:val="006A669E"/>
    <w:rsid w:val="006F17BB"/>
    <w:rsid w:val="00711E4A"/>
    <w:rsid w:val="00716793"/>
    <w:rsid w:val="00716A7E"/>
    <w:rsid w:val="00730466"/>
    <w:rsid w:val="00745906"/>
    <w:rsid w:val="00762E2F"/>
    <w:rsid w:val="007742CE"/>
    <w:rsid w:val="007B1F5E"/>
    <w:rsid w:val="007B67CF"/>
    <w:rsid w:val="007C0920"/>
    <w:rsid w:val="007C4901"/>
    <w:rsid w:val="007D0413"/>
    <w:rsid w:val="007E1D9A"/>
    <w:rsid w:val="00832C83"/>
    <w:rsid w:val="00836270"/>
    <w:rsid w:val="00847445"/>
    <w:rsid w:val="00857BF2"/>
    <w:rsid w:val="00867D3F"/>
    <w:rsid w:val="00870CC0"/>
    <w:rsid w:val="00891C0E"/>
    <w:rsid w:val="008A270A"/>
    <w:rsid w:val="008C69D4"/>
    <w:rsid w:val="008D38D1"/>
    <w:rsid w:val="008D5911"/>
    <w:rsid w:val="0096039B"/>
    <w:rsid w:val="00977880"/>
    <w:rsid w:val="00993983"/>
    <w:rsid w:val="009C5456"/>
    <w:rsid w:val="00A03D30"/>
    <w:rsid w:val="00A2680E"/>
    <w:rsid w:val="00A31E4E"/>
    <w:rsid w:val="00A47741"/>
    <w:rsid w:val="00A47976"/>
    <w:rsid w:val="00A55D95"/>
    <w:rsid w:val="00A62DFA"/>
    <w:rsid w:val="00A71DDA"/>
    <w:rsid w:val="00A74580"/>
    <w:rsid w:val="00A82F2D"/>
    <w:rsid w:val="00AC6AD8"/>
    <w:rsid w:val="00AD2917"/>
    <w:rsid w:val="00AE3EC0"/>
    <w:rsid w:val="00AE6E44"/>
    <w:rsid w:val="00B033A0"/>
    <w:rsid w:val="00B81ACC"/>
    <w:rsid w:val="00B90DC0"/>
    <w:rsid w:val="00BA4337"/>
    <w:rsid w:val="00BE2AAF"/>
    <w:rsid w:val="00BE3494"/>
    <w:rsid w:val="00BF17D6"/>
    <w:rsid w:val="00BF7F0B"/>
    <w:rsid w:val="00C16402"/>
    <w:rsid w:val="00C2043F"/>
    <w:rsid w:val="00C75892"/>
    <w:rsid w:val="00C80E67"/>
    <w:rsid w:val="00CA2C18"/>
    <w:rsid w:val="00CA6B7A"/>
    <w:rsid w:val="00CB3420"/>
    <w:rsid w:val="00CC61B6"/>
    <w:rsid w:val="00CD2358"/>
    <w:rsid w:val="00CF6A9A"/>
    <w:rsid w:val="00CF7764"/>
    <w:rsid w:val="00D05C53"/>
    <w:rsid w:val="00D15BF2"/>
    <w:rsid w:val="00D272F5"/>
    <w:rsid w:val="00DA64AD"/>
    <w:rsid w:val="00DB2758"/>
    <w:rsid w:val="00DC18B0"/>
    <w:rsid w:val="00DC340D"/>
    <w:rsid w:val="00DC5722"/>
    <w:rsid w:val="00DD35F0"/>
    <w:rsid w:val="00DE1832"/>
    <w:rsid w:val="00E038FD"/>
    <w:rsid w:val="00E112ED"/>
    <w:rsid w:val="00E30826"/>
    <w:rsid w:val="00E4713E"/>
    <w:rsid w:val="00E506FC"/>
    <w:rsid w:val="00E817A6"/>
    <w:rsid w:val="00E82B8B"/>
    <w:rsid w:val="00E84A8F"/>
    <w:rsid w:val="00E9218A"/>
    <w:rsid w:val="00E9655B"/>
    <w:rsid w:val="00E969FA"/>
    <w:rsid w:val="00EC2903"/>
    <w:rsid w:val="00F4261B"/>
    <w:rsid w:val="00F46906"/>
    <w:rsid w:val="00F54514"/>
    <w:rsid w:val="00F626A6"/>
    <w:rsid w:val="00FD090D"/>
    <w:rsid w:val="00FE4121"/>
    <w:rsid w:val="05B7370A"/>
    <w:rsid w:val="07325867"/>
    <w:rsid w:val="08FD6830"/>
    <w:rsid w:val="09E0555D"/>
    <w:rsid w:val="1D6110AE"/>
    <w:rsid w:val="22B24ED4"/>
    <w:rsid w:val="26E840D2"/>
    <w:rsid w:val="309F2597"/>
    <w:rsid w:val="33252BFF"/>
    <w:rsid w:val="4319011D"/>
    <w:rsid w:val="444C41F6"/>
    <w:rsid w:val="49110038"/>
    <w:rsid w:val="550420E8"/>
    <w:rsid w:val="5B801BB6"/>
    <w:rsid w:val="665C7494"/>
    <w:rsid w:val="6ED36648"/>
    <w:rsid w:val="7A94465E"/>
    <w:rsid w:val="7D4562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7976"/>
    <w:pPr>
      <w:widowControl w:val="0"/>
      <w:spacing w:line="820" w:lineRule="atLeast"/>
      <w:ind w:left="1"/>
      <w:jc w:val="both"/>
      <w:textAlignment w:val="bottom"/>
    </w:pPr>
    <w:rPr>
      <w:rFonts w:ascii="Times New Roman" w:hAnsi="Times New Roman"/>
      <w:color w:val="000000"/>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47976"/>
  </w:style>
  <w:style w:type="paragraph" w:styleId="a4">
    <w:name w:val="header"/>
    <w:basedOn w:val="a"/>
    <w:rsid w:val="00A4797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link w:val="Char"/>
    <w:uiPriority w:val="99"/>
    <w:rsid w:val="00A47976"/>
    <w:pPr>
      <w:tabs>
        <w:tab w:val="center" w:pos="4153"/>
        <w:tab w:val="right" w:pos="8306"/>
      </w:tabs>
      <w:snapToGrid w:val="0"/>
      <w:jc w:val="left"/>
    </w:pPr>
    <w:rPr>
      <w:sz w:val="18"/>
      <w:szCs w:val="18"/>
    </w:rPr>
  </w:style>
  <w:style w:type="paragraph" w:customStyle="1" w:styleId="3">
    <w:name w:val="标题3"/>
    <w:basedOn w:val="a"/>
    <w:rsid w:val="00A71DDA"/>
    <w:pPr>
      <w:spacing w:afterLines="150" w:line="600" w:lineRule="exact"/>
      <w:ind w:left="0"/>
      <w:textAlignment w:val="auto"/>
    </w:pPr>
    <w:rPr>
      <w:rFonts w:eastAsia="华文中宋"/>
      <w:b/>
      <w:color w:val="auto"/>
      <w:kern w:val="2"/>
      <w:sz w:val="44"/>
      <w:szCs w:val="24"/>
    </w:rPr>
  </w:style>
  <w:style w:type="paragraph" w:customStyle="1" w:styleId="2">
    <w:name w:val="样式2"/>
    <w:basedOn w:val="a"/>
    <w:rsid w:val="00CC61B6"/>
    <w:pPr>
      <w:spacing w:line="240" w:lineRule="auto"/>
      <w:ind w:left="0"/>
      <w:textAlignment w:val="auto"/>
    </w:pPr>
    <w:rPr>
      <w:rFonts w:eastAsia="仿宋_GB2312"/>
      <w:color w:val="auto"/>
      <w:kern w:val="2"/>
      <w:sz w:val="32"/>
      <w:szCs w:val="24"/>
    </w:rPr>
  </w:style>
  <w:style w:type="paragraph" w:styleId="a6">
    <w:name w:val="Date"/>
    <w:basedOn w:val="a"/>
    <w:next w:val="a"/>
    <w:link w:val="Char0"/>
    <w:rsid w:val="007B67CF"/>
    <w:pPr>
      <w:ind w:leftChars="2500" w:left="100"/>
    </w:pPr>
  </w:style>
  <w:style w:type="character" w:customStyle="1" w:styleId="Char0">
    <w:name w:val="日期 Char"/>
    <w:basedOn w:val="a0"/>
    <w:link w:val="a6"/>
    <w:rsid w:val="007B67CF"/>
    <w:rPr>
      <w:rFonts w:ascii="Times New Roman" w:hAnsi="Times New Roman"/>
      <w:color w:val="000000"/>
      <w:sz w:val="21"/>
      <w:szCs w:val="22"/>
    </w:rPr>
  </w:style>
  <w:style w:type="paragraph" w:styleId="a7">
    <w:name w:val="Normal (Web)"/>
    <w:basedOn w:val="a"/>
    <w:uiPriority w:val="99"/>
    <w:unhideWhenUsed/>
    <w:qFormat/>
    <w:rsid w:val="004C4577"/>
    <w:pPr>
      <w:spacing w:before="100" w:beforeAutospacing="1" w:after="100" w:afterAutospacing="1" w:line="240" w:lineRule="auto"/>
      <w:ind w:left="0"/>
      <w:jc w:val="left"/>
      <w:textAlignment w:val="auto"/>
    </w:pPr>
    <w:rPr>
      <w:rFonts w:ascii="Calibri" w:hAnsi="Calibri"/>
      <w:color w:val="auto"/>
      <w:sz w:val="24"/>
      <w:szCs w:val="24"/>
    </w:rPr>
  </w:style>
  <w:style w:type="character" w:customStyle="1" w:styleId="Char">
    <w:name w:val="页脚 Char"/>
    <w:basedOn w:val="a0"/>
    <w:link w:val="a5"/>
    <w:uiPriority w:val="99"/>
    <w:rsid w:val="00284613"/>
    <w:rPr>
      <w:rFonts w:ascii="Times New Roman" w:hAnsi="Times New Roman"/>
      <w:color w:val="000000"/>
      <w:sz w:val="18"/>
      <w:szCs w:val="18"/>
    </w:rPr>
  </w:style>
  <w:style w:type="paragraph" w:customStyle="1" w:styleId="p0">
    <w:name w:val="p0"/>
    <w:basedOn w:val="a"/>
    <w:uiPriority w:val="99"/>
    <w:qFormat/>
    <w:rsid w:val="00977880"/>
    <w:pPr>
      <w:widowControl/>
      <w:spacing w:line="240" w:lineRule="auto"/>
      <w:ind w:left="0"/>
      <w:textAlignment w:val="auto"/>
    </w:pPr>
    <w:rPr>
      <w:rFonts w:ascii="Calibri" w:hAnsi="Calibri" w:cs="宋体"/>
      <w:color w:val="auto"/>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E97C4-510C-462B-BE6A-1BD174FF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217</Words>
  <Characters>1238</Characters>
  <Application>Microsoft Office Word</Application>
  <DocSecurity>0</DocSecurity>
  <Lines>10</Lines>
  <Paragraphs>2</Paragraphs>
  <ScaleCrop>false</ScaleCrop>
  <Company>china</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cp:lastPrinted>2021-12-01T06:15:00Z</cp:lastPrinted>
  <dcterms:created xsi:type="dcterms:W3CDTF">2021-12-10T02:01:00Z</dcterms:created>
  <dcterms:modified xsi:type="dcterms:W3CDTF">2021-12-22T06:09:00Z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