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napToGrid/>
        <w:spacing w:line="660" w:lineRule="exact"/>
        <w:jc w:val="center"/>
        <w:textAlignment w:val="auto"/>
        <w:outlineLvl w:val="9"/>
        <w:rPr>
          <w:rFonts w:hint="eastAsia"/>
          <w:sz w:val="44"/>
          <w:szCs w:val="44"/>
        </w:rPr>
      </w:pPr>
    </w:p>
    <w:p>
      <w:pPr>
        <w:keepNext w:val="0"/>
        <w:keepLines w:val="0"/>
        <w:pageBreakBefore w:val="0"/>
        <w:kinsoku/>
        <w:wordWrap/>
        <w:overflowPunct/>
        <w:topLinePunct w:val="0"/>
        <w:bidi w:val="0"/>
        <w:snapToGrid/>
        <w:spacing w:line="660" w:lineRule="exact"/>
        <w:jc w:val="center"/>
        <w:textAlignment w:val="auto"/>
        <w:outlineLvl w:val="9"/>
        <w:rPr>
          <w:rFonts w:hint="eastAsia"/>
          <w:sz w:val="44"/>
          <w:szCs w:val="44"/>
        </w:rPr>
      </w:pPr>
    </w:p>
    <w:p>
      <w:pPr>
        <w:keepNext w:val="0"/>
        <w:keepLines w:val="0"/>
        <w:pageBreakBefore w:val="0"/>
        <w:kinsoku/>
        <w:wordWrap/>
        <w:overflowPunct/>
        <w:topLinePunct w:val="0"/>
        <w:bidi w:val="0"/>
        <w:snapToGrid/>
        <w:spacing w:line="660" w:lineRule="exact"/>
        <w:jc w:val="center"/>
        <w:textAlignment w:val="auto"/>
        <w:outlineLvl w:val="9"/>
        <w:rPr>
          <w:rFonts w:ascii="仿宋" w:hAnsi="仿宋" w:eastAsia="仿宋"/>
          <w:sz w:val="32"/>
          <w:szCs w:val="32"/>
        </w:rPr>
      </w:pPr>
      <w:bookmarkStart w:id="8" w:name="_GoBack"/>
      <w:bookmarkEnd w:id="8"/>
      <w:r>
        <w:rPr>
          <w:rFonts w:hint="eastAsia"/>
          <w:sz w:val="44"/>
          <w:szCs w:val="44"/>
        </w:rPr>
        <w:t>黑龙江省人民代表大会常务委员会</w:t>
      </w:r>
    </w:p>
    <w:p>
      <w:pPr>
        <w:keepNext w:val="0"/>
        <w:keepLines w:val="0"/>
        <w:pageBreakBefore w:val="0"/>
        <w:kinsoku/>
        <w:wordWrap/>
        <w:overflowPunct/>
        <w:topLinePunct w:val="0"/>
        <w:bidi w:val="0"/>
        <w:snapToGrid/>
        <w:spacing w:line="660" w:lineRule="exact"/>
        <w:jc w:val="center"/>
        <w:textAlignment w:val="auto"/>
        <w:outlineLvl w:val="9"/>
        <w:rPr>
          <w:rFonts w:asciiTheme="majorEastAsia" w:hAnsiTheme="majorEastAsia" w:eastAsiaTheme="majorEastAsia"/>
          <w:sz w:val="44"/>
          <w:szCs w:val="44"/>
        </w:rPr>
      </w:pPr>
      <w:r>
        <w:rPr>
          <w:rFonts w:hint="eastAsia" w:asciiTheme="majorEastAsia" w:hAnsiTheme="majorEastAsia" w:eastAsiaTheme="majorEastAsia"/>
          <w:sz w:val="44"/>
          <w:szCs w:val="44"/>
        </w:rPr>
        <w:t>关于加强老年人保健产品等消费领域</w:t>
      </w:r>
    </w:p>
    <w:p>
      <w:pPr>
        <w:keepNext w:val="0"/>
        <w:keepLines w:val="0"/>
        <w:pageBreakBefore w:val="0"/>
        <w:kinsoku/>
        <w:wordWrap/>
        <w:overflowPunct/>
        <w:topLinePunct w:val="0"/>
        <w:bidi w:val="0"/>
        <w:snapToGrid/>
        <w:spacing w:line="660" w:lineRule="exact"/>
        <w:jc w:val="center"/>
        <w:textAlignment w:val="auto"/>
        <w:outlineLvl w:val="9"/>
        <w:rPr>
          <w:rFonts w:asciiTheme="majorEastAsia" w:hAnsiTheme="majorEastAsia" w:eastAsiaTheme="majorEastAsia"/>
          <w:sz w:val="44"/>
          <w:szCs w:val="44"/>
        </w:rPr>
      </w:pPr>
      <w:r>
        <w:rPr>
          <w:rFonts w:hint="eastAsia" w:asciiTheme="majorEastAsia" w:hAnsiTheme="majorEastAsia" w:eastAsiaTheme="majorEastAsia"/>
          <w:sz w:val="44"/>
          <w:szCs w:val="44"/>
        </w:rPr>
        <w:t>消费者权益保护工作的决议</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hint="eastAsia" w:ascii="仿宋" w:hAnsi="仿宋" w:eastAsia="仿宋"/>
          <w:sz w:val="32"/>
          <w:szCs w:val="32"/>
          <w:lang w:val="en-US" w:eastAsia="zh-CN"/>
        </w:rPr>
      </w:pP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（2018年10月26日黑龙江省第十三届人民代表大会常务委员会第七次会议通过）</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ascii="仿宋" w:hAnsi="仿宋" w:eastAsia="仿宋"/>
          <w:sz w:val="32"/>
          <w:szCs w:val="32"/>
        </w:rPr>
        <w:t>黑龙江省</w:t>
      </w:r>
      <w:r>
        <w:rPr>
          <w:rFonts w:hint="eastAsia" w:ascii="仿宋" w:hAnsi="仿宋" w:eastAsia="仿宋"/>
          <w:sz w:val="32"/>
          <w:szCs w:val="32"/>
        </w:rPr>
        <w:t>十三届</w:t>
      </w:r>
      <w:r>
        <w:rPr>
          <w:rFonts w:ascii="仿宋" w:hAnsi="仿宋" w:eastAsia="仿宋"/>
          <w:sz w:val="32"/>
          <w:szCs w:val="32"/>
        </w:rPr>
        <w:t>人大常委会第</w:t>
      </w:r>
      <w:r>
        <w:rPr>
          <w:rFonts w:hint="eastAsia" w:ascii="仿宋" w:hAnsi="仿宋" w:eastAsia="仿宋"/>
          <w:sz w:val="32"/>
          <w:szCs w:val="32"/>
        </w:rPr>
        <w:t>七</w:t>
      </w:r>
      <w:r>
        <w:rPr>
          <w:rFonts w:ascii="仿宋" w:hAnsi="仿宋" w:eastAsia="仿宋"/>
          <w:sz w:val="32"/>
          <w:szCs w:val="32"/>
        </w:rPr>
        <w:t>次会议，听取并审议了省</w:t>
      </w:r>
      <w:r>
        <w:rPr>
          <w:rFonts w:ascii="仿宋" w:hAnsi="仿宋" w:eastAsia="仿宋"/>
          <w:bCs/>
          <w:color w:val="000000"/>
          <w:sz w:val="32"/>
          <w:szCs w:val="32"/>
        </w:rPr>
        <w:t>人大常委会</w:t>
      </w:r>
      <w:r>
        <w:rPr>
          <w:rFonts w:hint="eastAsia" w:ascii="仿宋" w:hAnsi="仿宋" w:eastAsia="仿宋"/>
          <w:bCs/>
          <w:color w:val="000000"/>
          <w:sz w:val="32"/>
          <w:szCs w:val="32"/>
        </w:rPr>
        <w:t>执法检查组</w:t>
      </w:r>
      <w:r>
        <w:rPr>
          <w:rFonts w:ascii="仿宋" w:hAnsi="仿宋" w:eastAsia="仿宋"/>
          <w:sz w:val="32"/>
          <w:szCs w:val="32"/>
        </w:rPr>
        <w:t>《关于检查〈</w:t>
      </w:r>
      <w:r>
        <w:rPr>
          <w:rFonts w:hint="eastAsia" w:ascii="仿宋" w:hAnsi="仿宋" w:eastAsia="仿宋"/>
          <w:sz w:val="32"/>
          <w:szCs w:val="32"/>
        </w:rPr>
        <w:t>黑龙江省消费者权益保护条例</w:t>
      </w:r>
      <w:r>
        <w:rPr>
          <w:rFonts w:ascii="仿宋" w:hAnsi="仿宋" w:eastAsia="仿宋"/>
          <w:sz w:val="32"/>
          <w:szCs w:val="32"/>
        </w:rPr>
        <w:t>〉实施情况的报告》。</w:t>
      </w:r>
      <w:r>
        <w:rPr>
          <w:rFonts w:hint="eastAsia" w:ascii="仿宋" w:hAnsi="仿宋" w:eastAsia="仿宋"/>
          <w:sz w:val="32"/>
          <w:szCs w:val="32"/>
        </w:rPr>
        <w:t>会议</w:t>
      </w:r>
      <w:r>
        <w:rPr>
          <w:rFonts w:ascii="仿宋" w:hAnsi="仿宋" w:eastAsia="仿宋"/>
          <w:sz w:val="32"/>
          <w:szCs w:val="32"/>
        </w:rPr>
        <w:t>同意这个报告</w:t>
      </w:r>
      <w:r>
        <w:rPr>
          <w:rFonts w:hint="eastAsia" w:ascii="仿宋" w:hAnsi="仿宋" w:eastAsia="仿宋"/>
          <w:sz w:val="32"/>
          <w:szCs w:val="32"/>
        </w:rPr>
        <w:t>，并</w:t>
      </w:r>
      <w:bookmarkStart w:id="0" w:name="_Hlk525894430"/>
      <w:r>
        <w:rPr>
          <w:rFonts w:hint="eastAsia" w:ascii="仿宋" w:hAnsi="仿宋" w:eastAsia="仿宋"/>
          <w:sz w:val="32"/>
          <w:szCs w:val="32"/>
        </w:rPr>
        <w:t>要求全省以这次检查为契机，坚持问题导向，重点加强对老年人保健产品消费、单用途商业预付卡（以下简称预付卡）消费和移动通信消费领域消费者权益的保护工作，</w:t>
      </w:r>
      <w:bookmarkEnd w:id="0"/>
      <w:bookmarkStart w:id="1" w:name="_Hlk525894374"/>
      <w:r>
        <w:rPr>
          <w:rFonts w:hint="eastAsia" w:ascii="仿宋" w:hAnsi="仿宋" w:eastAsia="仿宋"/>
          <w:sz w:val="32"/>
          <w:szCs w:val="32"/>
        </w:rPr>
        <w:t>进一步加强社会诚信建设，维护消费市场秩序，改善营商环境，保护消费者权益，激发消费者消费潜力</w:t>
      </w:r>
      <w:bookmarkEnd w:id="1"/>
      <w:r>
        <w:rPr>
          <w:rFonts w:hint="eastAsia" w:ascii="仿宋" w:hAnsi="仿宋" w:eastAsia="仿宋"/>
          <w:sz w:val="32"/>
          <w:szCs w:val="32"/>
        </w:rPr>
        <w:t>。为此，作出以下决议。</w:t>
      </w:r>
    </w:p>
    <w:p>
      <w:pPr>
        <w:keepNext w:val="0"/>
        <w:keepLines w:val="0"/>
        <w:pageBreakBefore w:val="0"/>
        <w:kinsoku/>
        <w:wordWrap/>
        <w:overflowPunct/>
        <w:topLinePunct w:val="0"/>
        <w:bidi w:val="0"/>
        <w:snapToGrid/>
        <w:spacing w:line="660" w:lineRule="exact"/>
        <w:ind w:left="105" w:leftChars="50" w:firstLine="480" w:firstLineChars="150"/>
        <w:jc w:val="left"/>
        <w:textAlignment w:val="auto"/>
        <w:outlineLvl w:val="9"/>
        <w:rPr>
          <w:rFonts w:ascii="黑体" w:hAnsi="黑体" w:eastAsia="黑体"/>
          <w:sz w:val="32"/>
          <w:szCs w:val="32"/>
        </w:rPr>
      </w:pPr>
      <w:bookmarkStart w:id="2" w:name="OLE_LINK1"/>
      <w:r>
        <w:rPr>
          <w:rFonts w:hint="eastAsia" w:ascii="黑体" w:hAnsi="黑体" w:eastAsia="黑体"/>
          <w:sz w:val="32"/>
          <w:szCs w:val="32"/>
        </w:rPr>
        <w:t>一、</w:t>
      </w:r>
      <w:bookmarkStart w:id="3" w:name="_Hlk525894486"/>
      <w:r>
        <w:rPr>
          <w:rFonts w:hint="eastAsia" w:ascii="黑体" w:hAnsi="黑体" w:eastAsia="黑体"/>
          <w:sz w:val="32"/>
          <w:szCs w:val="32"/>
        </w:rPr>
        <w:t>依法打击整治向老年人欺诈销售保健产品的违法犯罪行为</w:t>
      </w:r>
    </w:p>
    <w:bookmarkEnd w:id="3"/>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（一）</w:t>
      </w:r>
      <w:bookmarkStart w:id="4" w:name="_Hlk525894516"/>
      <w:r>
        <w:rPr>
          <w:rFonts w:hint="eastAsia" w:ascii="仿宋" w:hAnsi="仿宋" w:eastAsia="仿宋"/>
          <w:sz w:val="32"/>
          <w:szCs w:val="32"/>
        </w:rPr>
        <w:t>以会议营销等方式向老年人欺诈销售保健产品，严重侵害老年人的权益，严重影响老年消费市场的健康发展。司法机关要坚持专项治理与系统治理、依法治理、综合治理、源头治理相结合，依法</w:t>
      </w:r>
      <w:r>
        <w:rPr>
          <w:rFonts w:hint="eastAsia" w:ascii="仿宋" w:hAnsi="仿宋" w:eastAsia="仿宋" w:cs="宋体"/>
          <w:color w:val="000000"/>
          <w:kern w:val="0"/>
          <w:sz w:val="32"/>
          <w:szCs w:val="32"/>
        </w:rPr>
        <w:t>打击整治</w:t>
      </w:r>
      <w:r>
        <w:rPr>
          <w:rFonts w:hint="eastAsia" w:ascii="仿宋" w:hAnsi="仿宋" w:eastAsia="仿宋"/>
          <w:sz w:val="32"/>
          <w:szCs w:val="32"/>
        </w:rPr>
        <w:t>向老年人欺诈销售保健产品的违法犯罪行为。</w:t>
      </w:r>
    </w:p>
    <w:bookmarkEnd w:id="4"/>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shd w:val="pct10" w:color="auto" w:fill="FFFFFF"/>
        </w:rPr>
      </w:pPr>
      <w:r>
        <w:rPr>
          <w:rFonts w:hint="eastAsia" w:ascii="仿宋" w:hAnsi="仿宋" w:eastAsia="仿宋"/>
          <w:sz w:val="32"/>
          <w:szCs w:val="32"/>
        </w:rPr>
        <w:t>（二）</w:t>
      </w:r>
      <w:bookmarkStart w:id="5" w:name="_Hlk525894535"/>
      <w:r>
        <w:rPr>
          <w:rFonts w:hint="eastAsia" w:ascii="仿宋" w:hAnsi="仿宋" w:eastAsia="仿宋"/>
          <w:sz w:val="32"/>
          <w:szCs w:val="32"/>
        </w:rPr>
        <w:t>省人民政府市场监督管理、卫生健康、广播电视和公安部门，</w:t>
      </w:r>
      <w:r>
        <w:rPr>
          <w:rFonts w:hint="eastAsia" w:ascii="仿宋" w:hAnsi="仿宋" w:eastAsia="仿宋" w:cs="宋体"/>
          <w:color w:val="000000"/>
          <w:kern w:val="0"/>
          <w:sz w:val="32"/>
          <w:szCs w:val="32"/>
        </w:rPr>
        <w:t>要</w:t>
      </w:r>
      <w:r>
        <w:rPr>
          <w:rFonts w:hint="eastAsia" w:ascii="仿宋" w:hAnsi="仿宋" w:eastAsia="仿宋"/>
          <w:sz w:val="32"/>
          <w:szCs w:val="32"/>
        </w:rPr>
        <w:t>加大联合执法力度，组织开展对老年人保健产品消费领域侵权行为的专项整治行动。</w:t>
      </w:r>
      <w:bookmarkEnd w:id="5"/>
      <w:r>
        <w:rPr>
          <w:rFonts w:hint="eastAsia" w:ascii="仿宋" w:hAnsi="仿宋" w:eastAsia="仿宋" w:cs="宋体"/>
          <w:kern w:val="0"/>
          <w:sz w:val="32"/>
          <w:szCs w:val="32"/>
        </w:rPr>
        <w:t>严厉查处</w:t>
      </w:r>
      <w:r>
        <w:rPr>
          <w:rFonts w:hint="eastAsia" w:ascii="仿宋" w:hAnsi="仿宋" w:eastAsia="仿宋"/>
          <w:sz w:val="32"/>
          <w:szCs w:val="32"/>
        </w:rPr>
        <w:t>以会议营销、集中授课、健康讲座、专家义诊、免费检查、免费体验、奖励免费或低价旅游以及电话推销、上门推销、网络销售等形式，向老年人欺诈销售保健产品的违法行为。</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cs="宋体"/>
          <w:kern w:val="0"/>
          <w:sz w:val="32"/>
          <w:szCs w:val="32"/>
        </w:rPr>
      </w:pPr>
      <w:r>
        <w:rPr>
          <w:rFonts w:hint="eastAsia" w:ascii="仿宋" w:hAnsi="仿宋" w:eastAsia="仿宋"/>
          <w:sz w:val="32"/>
          <w:szCs w:val="32"/>
        </w:rPr>
        <w:t>（三）</w:t>
      </w:r>
      <w:r>
        <w:rPr>
          <w:rFonts w:hint="eastAsia" w:ascii="仿宋" w:hAnsi="仿宋" w:eastAsia="仿宋" w:cs="宋体"/>
          <w:kern w:val="0"/>
          <w:sz w:val="32"/>
          <w:szCs w:val="32"/>
        </w:rPr>
        <w:t>人民检察院履行职责中发现</w:t>
      </w:r>
      <w:r>
        <w:rPr>
          <w:rFonts w:hint="eastAsia" w:ascii="仿宋" w:hAnsi="仿宋" w:eastAsia="仿宋"/>
          <w:sz w:val="32"/>
          <w:szCs w:val="32"/>
        </w:rPr>
        <w:t>老年人保健食品消费</w:t>
      </w:r>
      <w:r>
        <w:rPr>
          <w:rFonts w:hint="eastAsia" w:ascii="仿宋" w:hAnsi="仿宋" w:eastAsia="仿宋" w:cs="宋体"/>
          <w:kern w:val="0"/>
          <w:sz w:val="32"/>
          <w:szCs w:val="32"/>
        </w:rPr>
        <w:t>领域侵害众多消费者权益的行为，在没有适格主体或者适格主体不提起诉讼的情况下，可以向人民法院提起民事公益诉讼。</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cs="宋体"/>
          <w:kern w:val="0"/>
          <w:sz w:val="32"/>
          <w:szCs w:val="32"/>
        </w:rPr>
      </w:pPr>
      <w:r>
        <w:rPr>
          <w:rFonts w:hint="eastAsia" w:ascii="仿宋" w:hAnsi="仿宋" w:eastAsia="仿宋" w:cs="宋体"/>
          <w:kern w:val="0"/>
          <w:sz w:val="32"/>
          <w:szCs w:val="32"/>
        </w:rPr>
        <w:t>人民检察院在履行职责中发现对老年人保健食品</w:t>
      </w:r>
      <w:r>
        <w:rPr>
          <w:rFonts w:hint="eastAsia" w:ascii="仿宋" w:hAnsi="仿宋" w:eastAsia="仿宋"/>
          <w:sz w:val="32"/>
          <w:szCs w:val="32"/>
        </w:rPr>
        <w:t>消费</w:t>
      </w:r>
      <w:r>
        <w:rPr>
          <w:rFonts w:hint="eastAsia" w:ascii="仿宋" w:hAnsi="仿宋" w:eastAsia="仿宋" w:cs="宋体"/>
          <w:kern w:val="0"/>
          <w:sz w:val="32"/>
          <w:szCs w:val="32"/>
        </w:rPr>
        <w:t>领域负有监督管理职责的行政机关违法行使职权或者不作为，致使国家利益或者社会公共利益受到侵害的，应当向行政机关提出检察建议，督促其依法履行职责。行政机关不依法履行职责的，人民检察院依法向人民法院提起诉讼。</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四）鼓励社区工作人员、消费者、业内从业者和广大群众积极举报向老年人欺诈销售保健产品违法行为线索，提供违法行为证据。对举报内容属实的，根据所举报违法行为的社会危害程度，给予不同标准奖励。奖金由财政列支，具体奖励办法由省人民政府制定。</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（五）六十周岁以上老年人通过会议营销、集中授课、健康讲座、专家义诊、免费检查、免费体验、奖励免费或低价旅游以及电话推销、上门推销、网络销售等形式购买的保健产品，七日内有权无理由退货。</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退货的商品应当完好。消费者基于查验需要打开商品包装，或者为确认商品品质、功能而进行合理的调试，不影响商品的完好。</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bookmarkStart w:id="6" w:name="_Hlk525894620"/>
      <w:r>
        <w:rPr>
          <w:rFonts w:hint="eastAsia" w:ascii="仿宋" w:hAnsi="仿宋" w:eastAsia="仿宋"/>
          <w:sz w:val="32"/>
          <w:szCs w:val="32"/>
        </w:rPr>
        <w:t>（六）保健产品的经营者利用临时场地开展集中式体验、宣传、销售活动的，场地提供者应当核查经营者的名称、地址和有效联系方式等信息，并向查询经营者情况的消费者提供上述真实信息。</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（七）各级人民政府、消费者权益保护组织、新闻媒体要广泛开展以老年人识骗防骗为主要内容的护老宣传教育活动，</w:t>
      </w:r>
      <w:r>
        <w:rPr>
          <w:rFonts w:hint="eastAsia" w:ascii="仿宋" w:hAnsi="仿宋" w:eastAsia="仿宋" w:cs="宋体"/>
          <w:color w:val="000000"/>
          <w:kern w:val="0"/>
          <w:sz w:val="32"/>
          <w:szCs w:val="32"/>
        </w:rPr>
        <w:t>提升老年群众抵御违法犯罪分子以打“健康牌、亲情牌、礼品牌”等手段欺诈销售的意识和能力。要及时跟踪报道专项整治行动工作动态、典型案例，指导老年群众科学健康养生，热情提供健康咨询服务和消费法律帮助，做好老年群众消费维权服务工作，积极保障老年群众的健康诉求和消费权益，为老年群众创造安全放心的消费环境</w:t>
      </w:r>
      <w:r>
        <w:rPr>
          <w:rFonts w:hint="eastAsia" w:ascii="仿宋" w:hAnsi="仿宋" w:eastAsia="仿宋"/>
          <w:sz w:val="32"/>
          <w:szCs w:val="32"/>
        </w:rPr>
        <w:t>。</w:t>
      </w:r>
      <w:bookmarkEnd w:id="6"/>
    </w:p>
    <w:bookmarkEnd w:id="2"/>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黑体" w:hAnsi="黑体" w:eastAsia="黑体"/>
          <w:sz w:val="32"/>
          <w:szCs w:val="32"/>
        </w:rPr>
      </w:pPr>
      <w:r>
        <w:rPr>
          <w:rFonts w:hint="eastAsia" w:ascii="黑体" w:hAnsi="黑体" w:eastAsia="黑体"/>
          <w:sz w:val="32"/>
          <w:szCs w:val="32"/>
        </w:rPr>
        <w:t>二、加强预付卡消费领域监督管理</w:t>
      </w:r>
    </w:p>
    <w:p>
      <w:pPr>
        <w:pStyle w:val="4"/>
        <w:keepNext w:val="0"/>
        <w:keepLines w:val="0"/>
        <w:pageBreakBefore w:val="0"/>
        <w:kinsoku/>
        <w:wordWrap/>
        <w:overflowPunct/>
        <w:topLinePunct w:val="0"/>
        <w:bidi w:val="0"/>
        <w:snapToGrid/>
        <w:spacing w:before="0" w:beforeAutospacing="0" w:after="0" w:afterAutospacing="0" w:line="660" w:lineRule="exact"/>
        <w:ind w:firstLine="640" w:firstLineChars="200"/>
        <w:textAlignment w:val="auto"/>
        <w:outlineLvl w:val="9"/>
        <w:rPr>
          <w:rFonts w:ascii="仿宋" w:hAnsi="仿宋" w:eastAsia="仿宋"/>
          <w:spacing w:val="8"/>
          <w:sz w:val="32"/>
          <w:szCs w:val="32"/>
        </w:rPr>
      </w:pPr>
      <w:r>
        <w:rPr>
          <w:rFonts w:hint="eastAsia" w:ascii="仿宋" w:hAnsi="仿宋" w:eastAsia="仿宋"/>
          <w:sz w:val="32"/>
          <w:szCs w:val="32"/>
        </w:rPr>
        <w:t>（八）</w:t>
      </w:r>
      <w:r>
        <w:rPr>
          <w:rFonts w:hint="eastAsia" w:ascii="仿宋" w:hAnsi="仿宋" w:eastAsia="仿宋"/>
          <w:spacing w:val="8"/>
          <w:sz w:val="32"/>
          <w:szCs w:val="32"/>
        </w:rPr>
        <w:t>省人民政府要</w:t>
      </w:r>
      <w:bookmarkStart w:id="7" w:name="_Hlk525894744"/>
      <w:r>
        <w:rPr>
          <w:rFonts w:hint="eastAsia" w:ascii="仿宋" w:hAnsi="仿宋" w:eastAsia="仿宋"/>
          <w:spacing w:val="8"/>
          <w:sz w:val="32"/>
          <w:szCs w:val="32"/>
        </w:rPr>
        <w:t>加强</w:t>
      </w:r>
      <w:r>
        <w:rPr>
          <w:rFonts w:hint="eastAsia" w:ascii="仿宋" w:hAnsi="仿宋" w:eastAsia="仿宋"/>
          <w:sz w:val="32"/>
          <w:szCs w:val="32"/>
        </w:rPr>
        <w:t>预付卡消费领域</w:t>
      </w:r>
      <w:r>
        <w:rPr>
          <w:rFonts w:hint="eastAsia" w:ascii="仿宋" w:hAnsi="仿宋" w:eastAsia="仿宋"/>
          <w:spacing w:val="8"/>
          <w:sz w:val="32"/>
          <w:szCs w:val="32"/>
        </w:rPr>
        <w:t>经营活动监督管理工作的领导，采取信息共享和分类监管等措施，明确预付卡消费领域经营活动的监督管理部门，建立、健全</w:t>
      </w:r>
      <w:r>
        <w:rPr>
          <w:rFonts w:hint="eastAsia" w:ascii="仿宋" w:hAnsi="仿宋" w:eastAsia="仿宋"/>
          <w:sz w:val="32"/>
          <w:szCs w:val="32"/>
        </w:rPr>
        <w:t>预付卡消费领域</w:t>
      </w:r>
      <w:r>
        <w:rPr>
          <w:rFonts w:hint="eastAsia" w:ascii="仿宋" w:hAnsi="仿宋" w:eastAsia="仿宋"/>
          <w:spacing w:val="8"/>
          <w:sz w:val="32"/>
          <w:szCs w:val="32"/>
        </w:rPr>
        <w:t>长效监管和服务机制，协调、督促有关部门做好</w:t>
      </w:r>
      <w:r>
        <w:rPr>
          <w:rFonts w:hint="eastAsia" w:ascii="仿宋" w:hAnsi="仿宋" w:eastAsia="仿宋"/>
          <w:sz w:val="32"/>
          <w:szCs w:val="32"/>
        </w:rPr>
        <w:t>预付卡消费领域</w:t>
      </w:r>
      <w:r>
        <w:rPr>
          <w:rFonts w:hint="eastAsia" w:ascii="仿宋" w:hAnsi="仿宋" w:eastAsia="仿宋"/>
          <w:spacing w:val="8"/>
          <w:sz w:val="32"/>
          <w:szCs w:val="32"/>
        </w:rPr>
        <w:t>监督管理和服务工作。</w:t>
      </w:r>
    </w:p>
    <w:p>
      <w:pPr>
        <w:pStyle w:val="4"/>
        <w:keepNext w:val="0"/>
        <w:keepLines w:val="0"/>
        <w:pageBreakBefore w:val="0"/>
        <w:kinsoku/>
        <w:wordWrap/>
        <w:overflowPunct/>
        <w:topLinePunct w:val="0"/>
        <w:bidi w:val="0"/>
        <w:snapToGrid/>
        <w:spacing w:before="0" w:beforeAutospacing="0" w:after="0" w:afterAutospacing="0" w:line="660" w:lineRule="exact"/>
        <w:ind w:firstLine="672" w:firstLineChars="200"/>
        <w:textAlignment w:val="auto"/>
        <w:outlineLvl w:val="9"/>
        <w:rPr>
          <w:rFonts w:ascii="仿宋" w:hAnsi="仿宋" w:eastAsia="仿宋"/>
          <w:spacing w:val="8"/>
          <w:sz w:val="32"/>
          <w:szCs w:val="32"/>
        </w:rPr>
      </w:pPr>
      <w:r>
        <w:rPr>
          <w:rFonts w:hint="eastAsia" w:ascii="仿宋" w:hAnsi="仿宋" w:eastAsia="仿宋"/>
          <w:spacing w:val="8"/>
          <w:sz w:val="32"/>
          <w:szCs w:val="32"/>
        </w:rPr>
        <w:t>省人民政府要按照省委关于“数字龙江”建设指导意见要求，学习借鉴省外经验，逐步建设统一的</w:t>
      </w:r>
      <w:r>
        <w:rPr>
          <w:rFonts w:hint="eastAsia" w:ascii="仿宋" w:hAnsi="仿宋" w:eastAsia="仿宋"/>
          <w:sz w:val="32"/>
          <w:szCs w:val="32"/>
        </w:rPr>
        <w:t>预付卡消费</w:t>
      </w:r>
      <w:r>
        <w:rPr>
          <w:rFonts w:hint="eastAsia" w:ascii="仿宋" w:hAnsi="仿宋" w:eastAsia="仿宋"/>
          <w:spacing w:val="8"/>
          <w:sz w:val="32"/>
          <w:szCs w:val="32"/>
        </w:rPr>
        <w:t>协同监管服务平台，归集经营者预付卡发行、兑付、预收资金等信息，建立预收资金余额风险警示制度，并通过协同监管服务平台对经营者予以分类监管，向消费者公示，警示消费风险。</w:t>
      </w:r>
    </w:p>
    <w:bookmarkEnd w:id="7"/>
    <w:p>
      <w:pPr>
        <w:pStyle w:val="4"/>
        <w:keepNext w:val="0"/>
        <w:keepLines w:val="0"/>
        <w:pageBreakBefore w:val="0"/>
        <w:kinsoku/>
        <w:wordWrap/>
        <w:overflowPunct/>
        <w:topLinePunct w:val="0"/>
        <w:bidi w:val="0"/>
        <w:snapToGrid/>
        <w:spacing w:before="0" w:beforeAutospacing="0" w:after="0" w:afterAutospacing="0" w:line="660" w:lineRule="exact"/>
        <w:ind w:firstLine="640" w:firstLineChars="200"/>
        <w:textAlignment w:val="auto"/>
        <w:outlineLvl w:val="9"/>
        <w:rPr>
          <w:rFonts w:ascii="仿宋" w:hAnsi="仿宋" w:eastAsia="仿宋"/>
          <w:sz w:val="32"/>
          <w:szCs w:val="32"/>
        </w:rPr>
      </w:pPr>
      <w:r>
        <w:rPr>
          <w:rFonts w:hint="eastAsia" w:ascii="仿宋" w:hAnsi="仿宋" w:eastAsia="仿宋"/>
          <w:sz w:val="32"/>
          <w:szCs w:val="32"/>
        </w:rPr>
        <w:t>（九）</w:t>
      </w:r>
      <w:r>
        <w:rPr>
          <w:rFonts w:ascii="仿宋" w:hAnsi="仿宋" w:eastAsia="仿宋"/>
          <w:sz w:val="32"/>
          <w:szCs w:val="32"/>
        </w:rPr>
        <w:t>经营者自</w:t>
      </w:r>
      <w:r>
        <w:rPr>
          <w:rFonts w:hint="eastAsia" w:ascii="仿宋" w:hAnsi="仿宋" w:eastAsia="仿宋"/>
          <w:sz w:val="32"/>
          <w:szCs w:val="32"/>
        </w:rPr>
        <w:t>设立</w:t>
      </w:r>
      <w:r>
        <w:rPr>
          <w:rFonts w:ascii="仿宋" w:hAnsi="仿宋" w:eastAsia="仿宋"/>
          <w:sz w:val="32"/>
          <w:szCs w:val="32"/>
        </w:rPr>
        <w:t>登记之日起</w:t>
      </w:r>
      <w:r>
        <w:rPr>
          <w:rFonts w:hint="eastAsia" w:ascii="仿宋" w:hAnsi="仿宋" w:eastAsia="仿宋"/>
          <w:sz w:val="32"/>
          <w:szCs w:val="32"/>
        </w:rPr>
        <w:t>六</w:t>
      </w:r>
      <w:r>
        <w:rPr>
          <w:rFonts w:ascii="仿宋" w:hAnsi="仿宋" w:eastAsia="仿宋"/>
          <w:sz w:val="32"/>
          <w:szCs w:val="32"/>
        </w:rPr>
        <w:t xml:space="preserve">个月后，方可发放预付卡。预付卡包括磁条卡、芯片卡、纸券等实体预付卡，或者以密码、串码、图形、生物特征信息、电子数据等为载体的虚拟预付卡。 </w:t>
      </w:r>
    </w:p>
    <w:p>
      <w:pPr>
        <w:pStyle w:val="4"/>
        <w:keepNext w:val="0"/>
        <w:keepLines w:val="0"/>
        <w:pageBreakBefore w:val="0"/>
        <w:kinsoku/>
        <w:wordWrap/>
        <w:overflowPunct/>
        <w:topLinePunct w:val="0"/>
        <w:bidi w:val="0"/>
        <w:snapToGrid/>
        <w:spacing w:before="0" w:beforeAutospacing="0" w:after="0" w:afterAutospacing="0" w:line="660" w:lineRule="exact"/>
        <w:ind w:firstLine="630"/>
        <w:textAlignment w:val="auto"/>
        <w:outlineLvl w:val="9"/>
        <w:rPr>
          <w:rFonts w:ascii="仿宋" w:hAnsi="仿宋" w:eastAsia="仿宋"/>
          <w:sz w:val="32"/>
          <w:szCs w:val="32"/>
        </w:rPr>
      </w:pPr>
      <w:r>
        <w:rPr>
          <w:rFonts w:ascii="仿宋" w:hAnsi="仿宋" w:eastAsia="仿宋"/>
          <w:sz w:val="32"/>
          <w:szCs w:val="32"/>
        </w:rPr>
        <w:t>企业法人</w:t>
      </w:r>
      <w:r>
        <w:rPr>
          <w:rFonts w:hint="eastAsia" w:ascii="仿宋" w:hAnsi="仿宋" w:eastAsia="仿宋"/>
          <w:sz w:val="32"/>
          <w:szCs w:val="32"/>
        </w:rPr>
        <w:t>及分支机构</w:t>
      </w:r>
      <w:r>
        <w:rPr>
          <w:rFonts w:ascii="仿宋" w:hAnsi="仿宋" w:eastAsia="仿宋"/>
          <w:sz w:val="32"/>
          <w:szCs w:val="32"/>
        </w:rPr>
        <w:t>提供的单张记名预付卡金额不得超过</w:t>
      </w:r>
      <w:r>
        <w:rPr>
          <w:rFonts w:hint="eastAsia" w:ascii="仿宋" w:hAnsi="仿宋" w:eastAsia="仿宋"/>
          <w:sz w:val="32"/>
          <w:szCs w:val="32"/>
        </w:rPr>
        <w:t>五千</w:t>
      </w:r>
      <w:r>
        <w:rPr>
          <w:rFonts w:ascii="仿宋" w:hAnsi="仿宋" w:eastAsia="仿宋"/>
          <w:sz w:val="32"/>
          <w:szCs w:val="32"/>
        </w:rPr>
        <w:t>元，单张不记名预付卡金额不得超过</w:t>
      </w:r>
      <w:r>
        <w:rPr>
          <w:rFonts w:hint="eastAsia" w:ascii="仿宋" w:hAnsi="仿宋" w:eastAsia="仿宋"/>
          <w:sz w:val="32"/>
          <w:szCs w:val="32"/>
        </w:rPr>
        <w:t>一千</w:t>
      </w:r>
      <w:r>
        <w:rPr>
          <w:rFonts w:ascii="仿宋" w:hAnsi="仿宋" w:eastAsia="仿宋"/>
          <w:sz w:val="32"/>
          <w:szCs w:val="32"/>
        </w:rPr>
        <w:t>元；其他经营者对同一消费者提供的记名预付卡金额不得超过</w:t>
      </w:r>
      <w:r>
        <w:rPr>
          <w:rFonts w:hint="eastAsia" w:ascii="仿宋" w:hAnsi="仿宋" w:eastAsia="仿宋"/>
          <w:sz w:val="32"/>
          <w:szCs w:val="32"/>
        </w:rPr>
        <w:t>二千</w:t>
      </w:r>
      <w:r>
        <w:rPr>
          <w:rFonts w:ascii="仿宋" w:hAnsi="仿宋" w:eastAsia="仿宋"/>
          <w:sz w:val="32"/>
          <w:szCs w:val="32"/>
        </w:rPr>
        <w:t>元，单张不记名预付卡金额不得超过</w:t>
      </w:r>
      <w:r>
        <w:rPr>
          <w:rFonts w:hint="eastAsia" w:ascii="仿宋" w:hAnsi="仿宋" w:eastAsia="仿宋"/>
          <w:sz w:val="32"/>
          <w:szCs w:val="32"/>
        </w:rPr>
        <w:t>五百</w:t>
      </w:r>
      <w:r>
        <w:rPr>
          <w:rFonts w:ascii="仿宋" w:hAnsi="仿宋" w:eastAsia="仿宋"/>
          <w:sz w:val="32"/>
          <w:szCs w:val="32"/>
        </w:rPr>
        <w:t xml:space="preserve">元。但是，预付款存入第三方支付平台并且凭消费者指令支付的除外。预付卡金额超过最高限额的，消费者有权要求退还超过限额部分的款额，经营者不得因此减少或者取消已经承诺的优惠。 </w:t>
      </w:r>
    </w:p>
    <w:p>
      <w:pPr>
        <w:pStyle w:val="4"/>
        <w:keepNext w:val="0"/>
        <w:keepLines w:val="0"/>
        <w:pageBreakBefore w:val="0"/>
        <w:kinsoku/>
        <w:wordWrap/>
        <w:overflowPunct/>
        <w:topLinePunct w:val="0"/>
        <w:bidi w:val="0"/>
        <w:snapToGrid/>
        <w:spacing w:before="0" w:beforeAutospacing="0" w:after="0" w:afterAutospacing="0" w:line="660" w:lineRule="exact"/>
        <w:ind w:firstLine="630"/>
        <w:textAlignment w:val="auto"/>
        <w:outlineLvl w:val="9"/>
        <w:rPr>
          <w:rFonts w:ascii="仿宋" w:hAnsi="仿宋" w:eastAsia="仿宋"/>
          <w:sz w:val="32"/>
          <w:szCs w:val="32"/>
        </w:rPr>
      </w:pPr>
      <w:r>
        <w:rPr>
          <w:rFonts w:hint="eastAsia" w:ascii="仿宋" w:hAnsi="仿宋" w:eastAsia="仿宋" w:cs="华文仿宋"/>
          <w:sz w:val="32"/>
          <w:szCs w:val="32"/>
        </w:rPr>
        <w:t>预付卡应当按消费者实际支付金额等值发行</w:t>
      </w:r>
      <w:r>
        <w:rPr>
          <w:rFonts w:ascii="仿宋" w:hAnsi="仿宋" w:eastAsia="仿宋" w:cs="华文仿宋"/>
          <w:sz w:val="32"/>
          <w:szCs w:val="32"/>
        </w:rPr>
        <w:t>,不得折价或</w:t>
      </w:r>
      <w:r>
        <w:rPr>
          <w:rFonts w:hint="eastAsia" w:ascii="仿宋" w:hAnsi="仿宋" w:eastAsia="仿宋" w:cs="华文仿宋"/>
          <w:sz w:val="32"/>
          <w:szCs w:val="32"/>
        </w:rPr>
        <w:t>者溢价发行，发卡经营者可根据消费者实际购买金额数量情况提供相应的优惠。</w:t>
      </w:r>
    </w:p>
    <w:p>
      <w:pPr>
        <w:pStyle w:val="4"/>
        <w:keepNext w:val="0"/>
        <w:keepLines w:val="0"/>
        <w:pageBreakBefore w:val="0"/>
        <w:kinsoku/>
        <w:wordWrap/>
        <w:overflowPunct/>
        <w:topLinePunct w:val="0"/>
        <w:bidi w:val="0"/>
        <w:snapToGrid/>
        <w:spacing w:before="0" w:beforeAutospacing="0" w:after="0" w:afterAutospacing="0" w:line="660" w:lineRule="exact"/>
        <w:ind w:firstLine="630"/>
        <w:textAlignment w:val="auto"/>
        <w:outlineLvl w:val="9"/>
        <w:rPr>
          <w:rFonts w:ascii="仿宋" w:hAnsi="仿宋" w:eastAsia="仿宋"/>
          <w:sz w:val="32"/>
          <w:szCs w:val="32"/>
        </w:rPr>
      </w:pPr>
      <w:r>
        <w:rPr>
          <w:rFonts w:hint="eastAsia" w:ascii="仿宋" w:hAnsi="仿宋" w:eastAsia="仿宋"/>
          <w:sz w:val="32"/>
          <w:szCs w:val="32"/>
        </w:rPr>
        <w:t>（十）经营者应当在经营场所、网站首页公示或者向消费者提供</w:t>
      </w:r>
      <w:r>
        <w:rPr>
          <w:rFonts w:ascii="仿宋" w:hAnsi="仿宋" w:eastAsia="仿宋"/>
          <w:sz w:val="32"/>
          <w:szCs w:val="32"/>
        </w:rPr>
        <w:t>预付卡</w:t>
      </w:r>
      <w:r>
        <w:rPr>
          <w:rFonts w:hint="eastAsia" w:ascii="仿宋" w:hAnsi="仿宋" w:eastAsia="仿宋"/>
          <w:sz w:val="32"/>
          <w:szCs w:val="32"/>
        </w:rPr>
        <w:t>使用章程，告知章程的主要内容。</w:t>
      </w:r>
      <w:r>
        <w:rPr>
          <w:rFonts w:ascii="仿宋" w:hAnsi="仿宋" w:eastAsia="仿宋"/>
          <w:sz w:val="32"/>
          <w:szCs w:val="32"/>
        </w:rPr>
        <w:t>预付卡</w:t>
      </w:r>
      <w:r>
        <w:rPr>
          <w:rFonts w:hint="eastAsia" w:ascii="仿宋" w:hAnsi="仿宋" w:eastAsia="仿宋"/>
          <w:sz w:val="32"/>
          <w:szCs w:val="32"/>
        </w:rPr>
        <w:t>使用章程应当包括</w:t>
      </w:r>
      <w:r>
        <w:rPr>
          <w:rFonts w:ascii="仿宋" w:hAnsi="仿宋" w:eastAsia="仿宋"/>
          <w:sz w:val="32"/>
          <w:szCs w:val="32"/>
        </w:rPr>
        <w:t>预付卡</w:t>
      </w:r>
      <w:r>
        <w:rPr>
          <w:rFonts w:hint="eastAsia" w:ascii="仿宋" w:hAnsi="仿宋" w:eastAsia="仿宋"/>
          <w:sz w:val="32"/>
          <w:szCs w:val="32"/>
        </w:rPr>
        <w:t>使用范围、预收资金用途和管理方式、余额查询渠道、退卡方式等内容。省预付卡监督管理部门应当会同相关行业主管部门制定</w:t>
      </w:r>
      <w:r>
        <w:rPr>
          <w:rFonts w:ascii="仿宋" w:hAnsi="仿宋" w:eastAsia="仿宋"/>
          <w:sz w:val="32"/>
          <w:szCs w:val="32"/>
        </w:rPr>
        <w:t>预付卡</w:t>
      </w:r>
      <w:r>
        <w:rPr>
          <w:rFonts w:hint="eastAsia" w:ascii="仿宋" w:hAnsi="仿宋" w:eastAsia="仿宋"/>
          <w:sz w:val="32"/>
          <w:szCs w:val="32"/>
        </w:rPr>
        <w:t>使用章程示范文本。</w:t>
      </w:r>
    </w:p>
    <w:p>
      <w:pPr>
        <w:pStyle w:val="4"/>
        <w:keepNext w:val="0"/>
        <w:keepLines w:val="0"/>
        <w:pageBreakBefore w:val="0"/>
        <w:kinsoku/>
        <w:wordWrap/>
        <w:overflowPunct/>
        <w:topLinePunct w:val="0"/>
        <w:bidi w:val="0"/>
        <w:snapToGrid/>
        <w:spacing w:before="0" w:beforeAutospacing="0" w:after="0" w:afterAutospacing="0" w:line="660" w:lineRule="exact"/>
        <w:ind w:firstLine="630"/>
        <w:textAlignment w:val="auto"/>
        <w:outlineLvl w:val="9"/>
        <w:rPr>
          <w:rFonts w:ascii="仿宋" w:hAnsi="仿宋" w:eastAsia="仿宋"/>
          <w:sz w:val="32"/>
          <w:szCs w:val="32"/>
        </w:rPr>
      </w:pPr>
      <w:r>
        <w:rPr>
          <w:rFonts w:hint="eastAsia" w:ascii="仿宋" w:hAnsi="仿宋" w:eastAsia="仿宋"/>
          <w:sz w:val="32"/>
          <w:szCs w:val="32"/>
        </w:rPr>
        <w:t>消费者要求签订书面</w:t>
      </w:r>
      <w:r>
        <w:rPr>
          <w:rFonts w:ascii="仿宋" w:hAnsi="仿宋" w:eastAsia="仿宋"/>
          <w:sz w:val="32"/>
          <w:szCs w:val="32"/>
        </w:rPr>
        <w:t>预付卡</w:t>
      </w:r>
      <w:r>
        <w:rPr>
          <w:rFonts w:hint="eastAsia" w:ascii="仿宋" w:hAnsi="仿宋" w:eastAsia="仿宋"/>
          <w:sz w:val="32"/>
          <w:szCs w:val="32"/>
        </w:rPr>
        <w:t>使用合同的，经营者应当与消费者签订。省预付卡监督管理、市场监督管理部门应当会同相关行业主管部门制定</w:t>
      </w:r>
      <w:r>
        <w:rPr>
          <w:rFonts w:ascii="仿宋" w:hAnsi="仿宋" w:eastAsia="仿宋"/>
          <w:sz w:val="32"/>
          <w:szCs w:val="32"/>
        </w:rPr>
        <w:t>预付卡</w:t>
      </w:r>
      <w:r>
        <w:rPr>
          <w:rFonts w:hint="eastAsia" w:ascii="仿宋" w:hAnsi="仿宋" w:eastAsia="仿宋"/>
          <w:sz w:val="32"/>
          <w:szCs w:val="32"/>
        </w:rPr>
        <w:t>使用合同示范文本。</w:t>
      </w:r>
    </w:p>
    <w:p>
      <w:pPr>
        <w:pStyle w:val="4"/>
        <w:keepNext w:val="0"/>
        <w:keepLines w:val="0"/>
        <w:pageBreakBefore w:val="0"/>
        <w:kinsoku/>
        <w:wordWrap/>
        <w:overflowPunct/>
        <w:topLinePunct w:val="0"/>
        <w:bidi w:val="0"/>
        <w:snapToGrid/>
        <w:spacing w:before="0" w:beforeAutospacing="0" w:after="0" w:afterAutospacing="0" w:line="660" w:lineRule="exact"/>
        <w:textAlignment w:val="auto"/>
        <w:outlineLvl w:val="9"/>
        <w:rPr>
          <w:rFonts w:ascii="仿宋" w:hAnsi="仿宋" w:eastAsia="仿宋"/>
          <w:sz w:val="32"/>
          <w:szCs w:val="32"/>
        </w:rPr>
      </w:pPr>
      <w:r>
        <w:rPr>
          <w:rFonts w:ascii="仿宋" w:hAnsi="仿宋" w:eastAsia="仿宋"/>
          <w:sz w:val="32"/>
          <w:szCs w:val="32"/>
        </w:rPr>
        <w:t>　　在设定的使用期限内不限制消费次数的年卡、季卡等记名预付卡，消费者因居住地变化、身体健康等原因需要转让的，经营者应当允许，并不得收取费用。消费者因</w:t>
      </w:r>
      <w:r>
        <w:rPr>
          <w:rFonts w:hint="eastAsia" w:ascii="仿宋" w:hAnsi="仿宋" w:eastAsia="仿宋"/>
          <w:sz w:val="32"/>
          <w:szCs w:val="32"/>
        </w:rPr>
        <w:t>记名</w:t>
      </w:r>
      <w:r>
        <w:rPr>
          <w:rFonts w:ascii="仿宋" w:hAnsi="仿宋" w:eastAsia="仿宋"/>
          <w:sz w:val="32"/>
          <w:szCs w:val="32"/>
        </w:rPr>
        <w:t xml:space="preserve">预付卡遗失要求挂失的，经营者不得拒绝。 </w:t>
      </w:r>
    </w:p>
    <w:p>
      <w:pPr>
        <w:pStyle w:val="4"/>
        <w:keepNext w:val="0"/>
        <w:keepLines w:val="0"/>
        <w:pageBreakBefore w:val="0"/>
        <w:kinsoku/>
        <w:wordWrap/>
        <w:overflowPunct/>
        <w:topLinePunct w:val="0"/>
        <w:bidi w:val="0"/>
        <w:snapToGrid/>
        <w:spacing w:before="0" w:beforeAutospacing="0" w:after="0" w:afterAutospacing="0" w:line="660" w:lineRule="exact"/>
        <w:textAlignment w:val="auto"/>
        <w:outlineLvl w:val="9"/>
        <w:rPr>
          <w:rFonts w:ascii="仿宋" w:hAnsi="仿宋" w:eastAsia="仿宋"/>
          <w:sz w:val="32"/>
          <w:szCs w:val="32"/>
        </w:rPr>
      </w:pPr>
      <w:r>
        <w:rPr>
          <w:rFonts w:ascii="仿宋" w:hAnsi="仿宋" w:eastAsia="仿宋"/>
          <w:sz w:val="32"/>
          <w:szCs w:val="32"/>
        </w:rPr>
        <w:t xml:space="preserve">　　以消费者实际购买的商品或者接受的服务扣付费用并设定使用期限的预付卡，在设定的使用期限届满后，经营者应当退还预付卡余额或者延长期限，并不得收取费用。 </w:t>
      </w:r>
    </w:p>
    <w:p>
      <w:pPr>
        <w:pStyle w:val="4"/>
        <w:keepNext w:val="0"/>
        <w:keepLines w:val="0"/>
        <w:pageBreakBefore w:val="0"/>
        <w:kinsoku/>
        <w:wordWrap/>
        <w:overflowPunct/>
        <w:topLinePunct w:val="0"/>
        <w:bidi w:val="0"/>
        <w:snapToGrid/>
        <w:spacing w:before="0" w:beforeAutospacing="0" w:after="0" w:afterAutospacing="0" w:line="660" w:lineRule="exact"/>
        <w:textAlignment w:val="auto"/>
        <w:outlineLvl w:val="9"/>
        <w:rPr>
          <w:rFonts w:ascii="仿宋" w:hAnsi="仿宋" w:eastAsia="仿宋"/>
          <w:sz w:val="32"/>
          <w:szCs w:val="32"/>
        </w:rPr>
      </w:pPr>
      <w:r>
        <w:rPr>
          <w:rFonts w:ascii="仿宋" w:hAnsi="仿宋" w:eastAsia="仿宋"/>
          <w:sz w:val="32"/>
          <w:szCs w:val="32"/>
        </w:rPr>
        <w:t xml:space="preserve">　　经营者未按约定提供商品或者服务的，消费者有权要求退还预付卡余额，并要求依法赔偿损失；消费者已享受的折扣等优惠，经营者不得在消费者的预付卡余额中扣减。 </w:t>
      </w:r>
    </w:p>
    <w:p>
      <w:pPr>
        <w:pStyle w:val="4"/>
        <w:keepNext w:val="0"/>
        <w:keepLines w:val="0"/>
        <w:pageBreakBefore w:val="0"/>
        <w:kinsoku/>
        <w:wordWrap/>
        <w:overflowPunct/>
        <w:topLinePunct w:val="0"/>
        <w:bidi w:val="0"/>
        <w:snapToGrid/>
        <w:spacing w:before="0" w:beforeAutospacing="0" w:after="0" w:afterAutospacing="0" w:line="660" w:lineRule="exact"/>
        <w:textAlignment w:val="auto"/>
        <w:outlineLvl w:val="9"/>
        <w:rPr>
          <w:rFonts w:ascii="仿宋" w:hAnsi="仿宋" w:eastAsia="仿宋"/>
          <w:sz w:val="32"/>
          <w:szCs w:val="32"/>
        </w:rPr>
      </w:pPr>
      <w:r>
        <w:rPr>
          <w:rFonts w:ascii="仿宋" w:hAnsi="仿宋" w:eastAsia="仿宋"/>
          <w:sz w:val="32"/>
          <w:szCs w:val="32"/>
        </w:rPr>
        <w:t>　　经营者</w:t>
      </w:r>
      <w:r>
        <w:rPr>
          <w:rFonts w:hint="eastAsia" w:ascii="仿宋" w:hAnsi="仿宋" w:eastAsia="仿宋"/>
          <w:sz w:val="32"/>
          <w:szCs w:val="32"/>
        </w:rPr>
        <w:t>停业、歇业</w:t>
      </w:r>
      <w:r>
        <w:rPr>
          <w:rFonts w:hint="eastAsia" w:ascii="仿宋" w:hAnsi="仿宋" w:eastAsia="仿宋"/>
          <w:color w:val="333333"/>
          <w:spacing w:val="8"/>
          <w:sz w:val="32"/>
          <w:szCs w:val="32"/>
        </w:rPr>
        <w:t>或者经营场所迁移</w:t>
      </w:r>
      <w:r>
        <w:rPr>
          <w:rFonts w:ascii="仿宋" w:hAnsi="仿宋" w:eastAsia="仿宋"/>
          <w:sz w:val="32"/>
          <w:szCs w:val="32"/>
        </w:rPr>
        <w:t>的，应当提前</w:t>
      </w:r>
      <w:r>
        <w:rPr>
          <w:rFonts w:hint="eastAsia" w:ascii="仿宋" w:hAnsi="仿宋" w:eastAsia="仿宋"/>
          <w:sz w:val="32"/>
          <w:szCs w:val="32"/>
        </w:rPr>
        <w:t>三十</w:t>
      </w:r>
      <w:r>
        <w:rPr>
          <w:rFonts w:ascii="仿宋" w:hAnsi="仿宋" w:eastAsia="仿宋"/>
          <w:sz w:val="32"/>
          <w:szCs w:val="32"/>
        </w:rPr>
        <w:t>日</w:t>
      </w:r>
      <w:r>
        <w:rPr>
          <w:rFonts w:hint="eastAsia" w:ascii="仿宋" w:hAnsi="仿宋" w:eastAsia="仿宋"/>
          <w:sz w:val="32"/>
          <w:szCs w:val="32"/>
        </w:rPr>
        <w:t>在当地主流媒体</w:t>
      </w:r>
      <w:r>
        <w:rPr>
          <w:rFonts w:ascii="仿宋" w:hAnsi="仿宋" w:eastAsia="仿宋"/>
          <w:sz w:val="32"/>
          <w:szCs w:val="32"/>
        </w:rPr>
        <w:t>发布告示，并以电话、短信、电子邮件等形式</w:t>
      </w:r>
      <w:r>
        <w:rPr>
          <w:rFonts w:hint="eastAsia" w:ascii="仿宋" w:hAnsi="仿宋" w:eastAsia="仿宋"/>
          <w:sz w:val="32"/>
          <w:szCs w:val="32"/>
        </w:rPr>
        <w:t>通知记名卡</w:t>
      </w:r>
      <w:r>
        <w:rPr>
          <w:rFonts w:ascii="仿宋" w:hAnsi="仿宋" w:eastAsia="仿宋"/>
          <w:sz w:val="32"/>
          <w:szCs w:val="32"/>
        </w:rPr>
        <w:t>消费者</w:t>
      </w:r>
      <w:r>
        <w:rPr>
          <w:rFonts w:hint="eastAsia" w:ascii="仿宋" w:hAnsi="仿宋" w:eastAsia="仿宋"/>
          <w:sz w:val="32"/>
          <w:szCs w:val="32"/>
        </w:rPr>
        <w:t>。</w:t>
      </w:r>
      <w:r>
        <w:rPr>
          <w:rFonts w:hint="eastAsia" w:ascii="仿宋" w:hAnsi="仿宋" w:eastAsia="仿宋"/>
          <w:spacing w:val="8"/>
          <w:sz w:val="32"/>
          <w:szCs w:val="32"/>
        </w:rPr>
        <w:t>消费者有权按照章程或者合同约定要求继续履行或者退还预付卡余额。</w:t>
      </w:r>
      <w:r>
        <w:rPr>
          <w:rFonts w:ascii="仿宋" w:hAnsi="仿宋" w:eastAsia="仿宋"/>
          <w:sz w:val="32"/>
          <w:szCs w:val="32"/>
        </w:rPr>
        <w:t xml:space="preserve"> </w:t>
      </w:r>
    </w:p>
    <w:p>
      <w:pPr>
        <w:pStyle w:val="4"/>
        <w:keepNext w:val="0"/>
        <w:keepLines w:val="0"/>
        <w:pageBreakBefore w:val="0"/>
        <w:kinsoku/>
        <w:wordWrap/>
        <w:overflowPunct/>
        <w:topLinePunct w:val="0"/>
        <w:bidi w:val="0"/>
        <w:snapToGrid/>
        <w:spacing w:before="0" w:beforeAutospacing="0" w:after="0" w:afterAutospacing="0" w:line="660" w:lineRule="exact"/>
        <w:ind w:firstLine="645"/>
        <w:textAlignment w:val="auto"/>
        <w:outlineLvl w:val="9"/>
        <w:rPr>
          <w:rFonts w:ascii="仿宋" w:hAnsi="仿宋" w:eastAsia="仿宋"/>
          <w:sz w:val="32"/>
          <w:szCs w:val="32"/>
        </w:rPr>
      </w:pPr>
      <w:r>
        <w:rPr>
          <w:rFonts w:ascii="仿宋" w:hAnsi="仿宋" w:eastAsia="仿宋"/>
          <w:sz w:val="32"/>
          <w:szCs w:val="32"/>
        </w:rPr>
        <w:t xml:space="preserve">消费者要求退还预付卡余额的，经营者应当自消费者要求退款之日起五日内予以退还。 </w:t>
      </w:r>
    </w:p>
    <w:p>
      <w:pPr>
        <w:pStyle w:val="4"/>
        <w:keepNext w:val="0"/>
        <w:keepLines w:val="0"/>
        <w:pageBreakBefore w:val="0"/>
        <w:kinsoku/>
        <w:wordWrap/>
        <w:overflowPunct/>
        <w:topLinePunct w:val="0"/>
        <w:bidi w:val="0"/>
        <w:snapToGrid/>
        <w:spacing w:before="0" w:beforeAutospacing="0" w:after="0" w:afterAutospacing="0" w:line="660" w:lineRule="exact"/>
        <w:ind w:firstLine="480" w:firstLineChars="150"/>
        <w:textAlignment w:val="auto"/>
        <w:outlineLvl w:val="9"/>
        <w:rPr>
          <w:rFonts w:ascii="仿宋" w:hAnsi="仿宋" w:eastAsia="仿宋" w:cs="Arial"/>
          <w:color w:val="1A1A1A"/>
          <w:sz w:val="32"/>
          <w:szCs w:val="32"/>
        </w:rPr>
      </w:pPr>
      <w:r>
        <w:rPr>
          <w:rFonts w:hint="eastAsia" w:ascii="仿宋" w:hAnsi="仿宋" w:eastAsia="仿宋"/>
          <w:sz w:val="32"/>
          <w:szCs w:val="32"/>
        </w:rPr>
        <w:t>（十一）</w:t>
      </w:r>
      <w:r>
        <w:rPr>
          <w:rFonts w:ascii="仿宋" w:hAnsi="仿宋" w:eastAsia="仿宋" w:cs="Arial"/>
          <w:color w:val="1A1A1A"/>
          <w:sz w:val="32"/>
          <w:szCs w:val="32"/>
        </w:rPr>
        <w:t>经营者有违反本</w:t>
      </w:r>
      <w:r>
        <w:rPr>
          <w:rFonts w:hint="eastAsia" w:ascii="仿宋" w:hAnsi="仿宋" w:eastAsia="仿宋" w:cs="Arial"/>
          <w:color w:val="1A1A1A"/>
          <w:sz w:val="32"/>
          <w:szCs w:val="32"/>
        </w:rPr>
        <w:t>决议</w:t>
      </w:r>
      <w:r>
        <w:rPr>
          <w:rFonts w:ascii="仿宋" w:hAnsi="仿宋" w:eastAsia="仿宋" w:cs="Arial"/>
          <w:color w:val="1A1A1A"/>
          <w:sz w:val="32"/>
          <w:szCs w:val="32"/>
        </w:rPr>
        <w:t>第</w:t>
      </w:r>
      <w:r>
        <w:rPr>
          <w:rFonts w:hint="eastAsia" w:ascii="仿宋" w:hAnsi="仿宋" w:eastAsia="仿宋" w:cs="Arial"/>
          <w:color w:val="1A1A1A"/>
          <w:sz w:val="32"/>
          <w:szCs w:val="32"/>
        </w:rPr>
        <w:t>（九）</w:t>
      </w:r>
      <w:r>
        <w:rPr>
          <w:rFonts w:ascii="仿宋" w:hAnsi="仿宋" w:eastAsia="仿宋" w:cs="Arial"/>
          <w:color w:val="1A1A1A"/>
          <w:sz w:val="32"/>
          <w:szCs w:val="32"/>
        </w:rPr>
        <w:t>、第</w:t>
      </w:r>
      <w:r>
        <w:rPr>
          <w:rFonts w:hint="eastAsia" w:ascii="仿宋" w:hAnsi="仿宋" w:eastAsia="仿宋" w:cs="Arial"/>
          <w:color w:val="1A1A1A"/>
          <w:sz w:val="32"/>
          <w:szCs w:val="32"/>
        </w:rPr>
        <w:t>（十）项</w:t>
      </w:r>
      <w:r>
        <w:rPr>
          <w:rFonts w:ascii="仿宋" w:hAnsi="仿宋" w:eastAsia="仿宋" w:cs="Arial"/>
          <w:color w:val="1A1A1A"/>
          <w:sz w:val="32"/>
          <w:szCs w:val="32"/>
        </w:rPr>
        <w:t>规定行为的，</w:t>
      </w:r>
      <w:r>
        <w:rPr>
          <w:rFonts w:ascii="仿宋" w:hAnsi="仿宋" w:eastAsia="仿宋" w:cs="Arial"/>
          <w:sz w:val="32"/>
          <w:szCs w:val="32"/>
        </w:rPr>
        <w:t>由</w:t>
      </w:r>
      <w:r>
        <w:rPr>
          <w:rFonts w:hint="eastAsia" w:ascii="仿宋" w:hAnsi="仿宋" w:eastAsia="仿宋"/>
          <w:color w:val="333333"/>
          <w:spacing w:val="8"/>
          <w:sz w:val="32"/>
          <w:szCs w:val="32"/>
        </w:rPr>
        <w:t>预付卡监督管理部门</w:t>
      </w:r>
      <w:r>
        <w:rPr>
          <w:rFonts w:ascii="仿宋" w:hAnsi="仿宋" w:eastAsia="仿宋" w:cs="Arial"/>
          <w:sz w:val="32"/>
          <w:szCs w:val="32"/>
        </w:rPr>
        <w:t>责令改正；经营者拒不改正的，处</w:t>
      </w:r>
      <w:r>
        <w:rPr>
          <w:rFonts w:hint="eastAsia" w:ascii="仿宋" w:hAnsi="仿宋" w:eastAsia="仿宋" w:cs="Arial"/>
          <w:sz w:val="32"/>
          <w:szCs w:val="32"/>
        </w:rPr>
        <w:t>二</w:t>
      </w:r>
      <w:r>
        <w:rPr>
          <w:rFonts w:ascii="仿宋" w:hAnsi="仿宋" w:eastAsia="仿宋" w:cs="Arial"/>
          <w:sz w:val="32"/>
          <w:szCs w:val="32"/>
        </w:rPr>
        <w:t>万元以上十万元以下的罚款。</w:t>
      </w:r>
    </w:p>
    <w:p>
      <w:pPr>
        <w:keepNext w:val="0"/>
        <w:keepLines w:val="0"/>
        <w:pageBreakBefore w:val="0"/>
        <w:kinsoku/>
        <w:wordWrap/>
        <w:overflowPunct/>
        <w:topLinePunct w:val="0"/>
        <w:autoSpaceDE w:val="0"/>
        <w:autoSpaceDN w:val="0"/>
        <w:bidi w:val="0"/>
        <w:adjustRightInd w:val="0"/>
        <w:snapToGrid/>
        <w:spacing w:line="660" w:lineRule="exact"/>
        <w:ind w:firstLine="504" w:firstLineChars="150"/>
        <w:textAlignment w:val="auto"/>
        <w:outlineLvl w:val="9"/>
        <w:rPr>
          <w:rFonts w:ascii="Times New Roman" w:hAnsi="Times New Roman" w:eastAsia="仿宋" w:cs="Times New Roman"/>
          <w:spacing w:val="8"/>
          <w:kern w:val="0"/>
          <w:sz w:val="32"/>
          <w:szCs w:val="32"/>
        </w:rPr>
      </w:pPr>
      <w:r>
        <w:rPr>
          <w:rFonts w:hint="eastAsia" w:ascii="仿宋" w:eastAsia="仿宋" w:cs="仿宋"/>
          <w:spacing w:val="8"/>
          <w:kern w:val="0"/>
          <w:sz w:val="32"/>
          <w:szCs w:val="32"/>
        </w:rPr>
        <w:t>（十二）</w:t>
      </w:r>
      <w:r>
        <w:rPr>
          <w:rFonts w:hint="eastAsia" w:ascii="仿宋" w:eastAsia="仿宋" w:cs="仿宋"/>
          <w:spacing w:val="8"/>
          <w:kern w:val="0"/>
          <w:sz w:val="32"/>
          <w:szCs w:val="32"/>
          <w:lang w:val="zh-CN"/>
        </w:rPr>
        <w:t>经营者有下列行为之一的，应当将其列入严重失信主体名单，并通过信用信息共享平台标明对该严重失信行为负有责任的法定代表人、主要负责人和其他直接责任人的信息：</w:t>
      </w:r>
    </w:p>
    <w:p>
      <w:pPr>
        <w:keepNext w:val="0"/>
        <w:keepLines w:val="0"/>
        <w:pageBreakBefore w:val="0"/>
        <w:kinsoku/>
        <w:wordWrap/>
        <w:overflowPunct/>
        <w:topLinePunct w:val="0"/>
        <w:autoSpaceDE w:val="0"/>
        <w:autoSpaceDN w:val="0"/>
        <w:bidi w:val="0"/>
        <w:adjustRightInd w:val="0"/>
        <w:snapToGrid/>
        <w:spacing w:line="660" w:lineRule="exact"/>
        <w:ind w:firstLine="672" w:firstLineChars="200"/>
        <w:textAlignment w:val="auto"/>
        <w:outlineLvl w:val="9"/>
        <w:rPr>
          <w:rFonts w:ascii="仿宋" w:hAnsi="Times New Roman" w:eastAsia="仿宋" w:cs="仿宋"/>
          <w:spacing w:val="8"/>
          <w:kern w:val="0"/>
          <w:sz w:val="32"/>
          <w:szCs w:val="32"/>
          <w:lang w:val="zh-CN"/>
        </w:rPr>
      </w:pPr>
      <w:r>
        <w:rPr>
          <w:rFonts w:hint="eastAsia" w:ascii="仿宋" w:hAnsi="Times New Roman" w:eastAsia="仿宋" w:cs="仿宋"/>
          <w:spacing w:val="8"/>
          <w:kern w:val="0"/>
          <w:sz w:val="32"/>
          <w:szCs w:val="32"/>
          <w:lang w:val="zh-CN"/>
        </w:rPr>
        <w:t>1.因停业、歇业或者经营场所迁移等原因未对预付卡兑付、退卡等事项作出妥善安排，未提供有效联系方式且无法联络的。</w:t>
      </w:r>
    </w:p>
    <w:p>
      <w:pPr>
        <w:keepNext w:val="0"/>
        <w:keepLines w:val="0"/>
        <w:pageBreakBefore w:val="0"/>
        <w:kinsoku/>
        <w:wordWrap/>
        <w:overflowPunct/>
        <w:topLinePunct w:val="0"/>
        <w:autoSpaceDE w:val="0"/>
        <w:autoSpaceDN w:val="0"/>
        <w:bidi w:val="0"/>
        <w:adjustRightInd w:val="0"/>
        <w:snapToGrid/>
        <w:spacing w:line="660" w:lineRule="exact"/>
        <w:ind w:firstLine="672" w:firstLineChars="200"/>
        <w:textAlignment w:val="auto"/>
        <w:outlineLvl w:val="9"/>
        <w:rPr>
          <w:rFonts w:ascii="仿宋" w:hAnsi="Times New Roman" w:eastAsia="仿宋" w:cs="仿宋"/>
          <w:spacing w:val="8"/>
          <w:kern w:val="0"/>
          <w:sz w:val="32"/>
          <w:szCs w:val="32"/>
          <w:lang w:val="zh-CN"/>
        </w:rPr>
      </w:pPr>
      <w:r>
        <w:rPr>
          <w:rFonts w:hint="eastAsia" w:ascii="仿宋" w:hAnsi="Times New Roman" w:eastAsia="仿宋" w:cs="仿宋"/>
          <w:spacing w:val="8"/>
          <w:kern w:val="0"/>
          <w:sz w:val="32"/>
          <w:szCs w:val="32"/>
          <w:lang w:val="zh-CN"/>
        </w:rPr>
        <w:t>2.一年内因违反预付卡管理规定受到两次以上行政处罚的。</w:t>
      </w:r>
    </w:p>
    <w:p>
      <w:pPr>
        <w:keepNext w:val="0"/>
        <w:keepLines w:val="0"/>
        <w:pageBreakBefore w:val="0"/>
        <w:kinsoku/>
        <w:wordWrap/>
        <w:overflowPunct/>
        <w:topLinePunct w:val="0"/>
        <w:autoSpaceDE w:val="0"/>
        <w:autoSpaceDN w:val="0"/>
        <w:bidi w:val="0"/>
        <w:adjustRightInd w:val="0"/>
        <w:snapToGrid/>
        <w:spacing w:line="660" w:lineRule="exact"/>
        <w:ind w:firstLine="672" w:firstLineChars="200"/>
        <w:textAlignment w:val="auto"/>
        <w:outlineLvl w:val="9"/>
        <w:rPr>
          <w:rFonts w:ascii="Times New Roman" w:hAnsi="Times New Roman" w:eastAsia="仿宋" w:cs="Times New Roman"/>
          <w:spacing w:val="8"/>
          <w:kern w:val="0"/>
          <w:sz w:val="32"/>
          <w:szCs w:val="32"/>
        </w:rPr>
      </w:pPr>
      <w:r>
        <w:rPr>
          <w:rFonts w:ascii="Times New Roman" w:hAnsi="Times New Roman" w:eastAsia="仿宋" w:cs="Times New Roman"/>
          <w:spacing w:val="8"/>
          <w:kern w:val="0"/>
          <w:sz w:val="32"/>
          <w:szCs w:val="32"/>
        </w:rPr>
        <w:t>3.</w:t>
      </w:r>
      <w:r>
        <w:rPr>
          <w:rFonts w:hint="eastAsia" w:ascii="仿宋" w:hAnsi="Times New Roman" w:eastAsia="仿宋" w:cs="仿宋"/>
          <w:spacing w:val="8"/>
          <w:kern w:val="0"/>
          <w:sz w:val="32"/>
          <w:szCs w:val="32"/>
          <w:lang w:val="zh-CN"/>
        </w:rPr>
        <w:t>利用发行预付卡非法吸收公众存款或者集资诈骗受到刑事追究的。</w:t>
      </w:r>
    </w:p>
    <w:p>
      <w:pPr>
        <w:keepNext w:val="0"/>
        <w:keepLines w:val="0"/>
        <w:pageBreakBefore w:val="0"/>
        <w:kinsoku/>
        <w:wordWrap/>
        <w:overflowPunct/>
        <w:topLinePunct w:val="0"/>
        <w:autoSpaceDE w:val="0"/>
        <w:autoSpaceDN w:val="0"/>
        <w:bidi w:val="0"/>
        <w:adjustRightInd w:val="0"/>
        <w:snapToGrid/>
        <w:spacing w:line="660" w:lineRule="exact"/>
        <w:ind w:firstLine="672" w:firstLineChars="200"/>
        <w:textAlignment w:val="auto"/>
        <w:outlineLvl w:val="9"/>
        <w:rPr>
          <w:rFonts w:ascii="Times New Roman" w:hAnsi="Times New Roman" w:eastAsia="仿宋" w:cs="Times New Roman"/>
          <w:spacing w:val="8"/>
          <w:kern w:val="0"/>
          <w:sz w:val="32"/>
          <w:szCs w:val="32"/>
        </w:rPr>
      </w:pPr>
      <w:r>
        <w:rPr>
          <w:rFonts w:hint="eastAsia" w:ascii="仿宋" w:hAnsi="Times New Roman" w:eastAsia="仿宋" w:cs="仿宋"/>
          <w:spacing w:val="8"/>
          <w:kern w:val="0"/>
          <w:sz w:val="32"/>
          <w:szCs w:val="32"/>
          <w:lang w:val="zh-CN"/>
        </w:rPr>
        <w:t>4.其他严重侵犯消费者财产权益的行为。</w:t>
      </w:r>
    </w:p>
    <w:p>
      <w:pPr>
        <w:keepNext w:val="0"/>
        <w:keepLines w:val="0"/>
        <w:pageBreakBefore w:val="0"/>
        <w:kinsoku/>
        <w:wordWrap/>
        <w:overflowPunct/>
        <w:topLinePunct w:val="0"/>
        <w:bidi w:val="0"/>
        <w:snapToGrid/>
        <w:spacing w:line="660" w:lineRule="exact"/>
        <w:ind w:firstLine="672" w:firstLineChars="200"/>
        <w:jc w:val="left"/>
        <w:textAlignment w:val="auto"/>
        <w:outlineLvl w:val="9"/>
        <w:rPr>
          <w:rFonts w:ascii="仿宋" w:hAnsi="Times New Roman" w:eastAsia="仿宋" w:cs="仿宋"/>
          <w:spacing w:val="8"/>
          <w:kern w:val="0"/>
          <w:sz w:val="32"/>
          <w:szCs w:val="32"/>
          <w:lang w:val="zh-CN"/>
        </w:rPr>
      </w:pPr>
      <w:r>
        <w:rPr>
          <w:rFonts w:hint="eastAsia" w:ascii="仿宋" w:hAnsi="Times New Roman" w:eastAsia="仿宋" w:cs="仿宋"/>
          <w:spacing w:val="8"/>
          <w:kern w:val="0"/>
          <w:sz w:val="32"/>
          <w:szCs w:val="32"/>
          <w:lang w:val="zh-CN"/>
        </w:rPr>
        <w:t>对严重失信主体的惩戒措施，由省人民政府依照法律、法规作出规定。</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黑体" w:hAnsi="黑体" w:eastAsia="黑体"/>
          <w:sz w:val="32"/>
          <w:szCs w:val="32"/>
        </w:rPr>
      </w:pPr>
      <w:r>
        <w:rPr>
          <w:rFonts w:hint="eastAsia" w:ascii="黑体" w:hAnsi="黑体" w:eastAsia="黑体"/>
          <w:sz w:val="32"/>
          <w:szCs w:val="32"/>
        </w:rPr>
        <w:t>三、切实维护移动通信消费领域消费者权益</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十三）移动通信企业应当遵循合法、公平、诚信原则，考虑消费者的不同需求，提供单项和组合电信业务等多种资费方案供消费者选择。除已有书面合同作出特别约定外，在同一移动电话归属地内，移动通信企业应当保证本企业同一网络的原有用户，可以在不改变号码的情况下，自主选择使用本企业公众类所有在售资费方案。</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移动通信企业应当以显著方式明示服务的种类、范围、资费标准和时限等内容。实际使用量达到套餐限量，移动通信企业应当及时通知消费者，并告知消费者超出套餐外继续使用该业务的收费标准和收费查询方式。</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移动通信企业在为消费者开通、变更包月付费或者需要用户支付功能费的服务项目时，应当征得消费者同意。未征得消费者同意而擅自开通的服务项目，不得向消费者收取相应费用；已经收取的，消费者有权要求退还。</w:t>
      </w:r>
    </w:p>
    <w:p>
      <w:pPr>
        <w:keepNext w:val="0"/>
        <w:keepLines w:val="0"/>
        <w:pageBreakBefore w:val="0"/>
        <w:widowControl w:val="0"/>
        <w:kinsoku/>
        <w:wordWrap/>
        <w:overflowPunct/>
        <w:topLinePunct w:val="0"/>
        <w:autoSpaceDE/>
        <w:autoSpaceDN/>
        <w:bidi w:val="0"/>
        <w:adjustRightInd/>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（十四）移动通信企业应当加强营销网点和营销人员的监督管理，对违反本决议第（十三）项规定的营销行为，应当及时纠正，不得听之任之、默认放纵。</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移动通信企业的营销人员、工作人员，在提供本企业商品或者服务时，对商品或者服务的介绍、承诺以及对消费者询问、投诉的答复，视为本企业行为。</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十五）电信管理机构应当加强对移动通信企业服务和收费行为的拨测检查，加大对移动通信消费领域违法行为的查处力度。对移动通信企业违反本决议第（十三）项规定的行为，由电信管理机构依照有关法律、法规给予处罚。</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（十六）各级人民政府、人民法院、消费者权益保护组织、新闻媒体，应当通过以案说法等形式，大力宣传消费者权益保护法律、法规，使维护消费者权益成为全社会的共同意识和自觉行动。</w:t>
      </w:r>
    </w:p>
    <w:p>
      <w:pPr>
        <w:keepNext w:val="0"/>
        <w:keepLines w:val="0"/>
        <w:pageBreakBefore w:val="0"/>
        <w:shd w:val="clear" w:color="auto" w:fill="FFFFFF"/>
        <w:kinsoku/>
        <w:wordWrap/>
        <w:overflowPunct/>
        <w:topLinePunct w:val="0"/>
        <w:bidi w:val="0"/>
        <w:snapToGrid/>
        <w:spacing w:line="660" w:lineRule="exact"/>
        <w:ind w:firstLine="640" w:firstLineChars="200"/>
        <w:textAlignment w:val="auto"/>
        <w:outlineLvl w:val="9"/>
        <w:rPr>
          <w:rFonts w:ascii="仿宋" w:hAnsi="仿宋" w:eastAsia="仿宋" w:cs="Arial"/>
          <w:kern w:val="0"/>
          <w:sz w:val="32"/>
          <w:szCs w:val="32"/>
        </w:rPr>
      </w:pPr>
      <w:r>
        <w:rPr>
          <w:rFonts w:hint="eastAsia" w:ascii="仿宋" w:hAnsi="仿宋" w:eastAsia="仿宋"/>
          <w:sz w:val="32"/>
          <w:szCs w:val="32"/>
        </w:rPr>
        <w:t>（十七）</w:t>
      </w:r>
      <w:r>
        <w:rPr>
          <w:rFonts w:ascii="仿宋" w:hAnsi="仿宋" w:eastAsia="仿宋" w:cs="Arial"/>
          <w:kern w:val="0"/>
          <w:sz w:val="32"/>
          <w:szCs w:val="32"/>
        </w:rPr>
        <w:t>对侵害众多消费者权益的行为，省消费者</w:t>
      </w:r>
      <w:r>
        <w:rPr>
          <w:rFonts w:hint="eastAsia" w:ascii="仿宋" w:hAnsi="仿宋" w:eastAsia="仿宋" w:cs="Arial"/>
          <w:kern w:val="0"/>
          <w:sz w:val="32"/>
          <w:szCs w:val="32"/>
        </w:rPr>
        <w:t>权益保护组织</w:t>
      </w:r>
      <w:r>
        <w:rPr>
          <w:rFonts w:ascii="仿宋" w:hAnsi="仿宋" w:eastAsia="仿宋" w:cs="Arial"/>
          <w:kern w:val="0"/>
          <w:sz w:val="32"/>
          <w:szCs w:val="32"/>
        </w:rPr>
        <w:t>可以向人民法院提起诉讼。</w:t>
      </w:r>
    </w:p>
    <w:p>
      <w:pPr>
        <w:keepNext w:val="0"/>
        <w:keepLines w:val="0"/>
        <w:pageBreakBefore w:val="0"/>
        <w:kinsoku/>
        <w:wordWrap/>
        <w:overflowPunct/>
        <w:topLinePunct w:val="0"/>
        <w:bidi w:val="0"/>
        <w:snapToGrid/>
        <w:spacing w:line="660" w:lineRule="exact"/>
        <w:ind w:firstLine="640" w:firstLineChars="200"/>
        <w:jc w:val="left"/>
        <w:textAlignment w:val="auto"/>
        <w:outlineLvl w:val="9"/>
        <w:rPr>
          <w:rFonts w:ascii="仿宋" w:hAnsi="仿宋" w:eastAsia="仿宋"/>
          <w:sz w:val="32"/>
          <w:szCs w:val="32"/>
        </w:rPr>
      </w:pPr>
      <w:r>
        <w:rPr>
          <w:rFonts w:hint="eastAsia" w:ascii="仿宋" w:hAnsi="仿宋" w:eastAsia="仿宋"/>
          <w:sz w:val="32"/>
          <w:szCs w:val="32"/>
        </w:rPr>
        <w:t>（十八）本决议自通过之日起施行。</w:t>
      </w:r>
    </w:p>
    <w:p>
      <w:pPr>
        <w:keepNext w:val="0"/>
        <w:keepLines w:val="0"/>
        <w:pageBreakBefore w:val="0"/>
        <w:kinsoku/>
        <w:wordWrap/>
        <w:overflowPunct/>
        <w:topLinePunct w:val="0"/>
        <w:bidi w:val="0"/>
        <w:snapToGrid/>
        <w:spacing w:line="660" w:lineRule="exact"/>
        <w:textAlignment w:val="auto"/>
        <w:outlineLvl w:val="9"/>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87D48"/>
    <w:rsid w:val="3E087D48"/>
    <w:rsid w:val="57CA3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2018-10-29T01:03:00Z</dcterms:created>
  <dc:creator>和为贵</dc:creator>
  <cp:lastModifiedBy>和为贵</cp:lastModifiedBy>
  <dcterms:modified xsi:type="dcterms:W3CDTF">2018-10-29T03:18:28Z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