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640" w:lineRule="exact"/>
        <w:contextualSpacing/>
        <w:jc w:val="center"/>
        <w:rPr>
          <w:rFonts w:hint="eastAsia" w:ascii="方正小标宋简体" w:hAnsi="宋体" w:eastAsia="方正小标宋简体"/>
          <w:sz w:val="44"/>
          <w:szCs w:val="44"/>
        </w:rPr>
      </w:pPr>
      <w:r>
        <w:rPr>
          <w:rFonts w:hint="eastAsia" w:ascii="方正小标宋简体" w:hAnsi="宋体" w:eastAsia="方正小标宋简体"/>
          <w:sz w:val="44"/>
          <w:szCs w:val="44"/>
        </w:rPr>
        <w:t>黑龙江省反间谍安全防范条例</w:t>
      </w:r>
    </w:p>
    <w:p>
      <w:pPr>
        <w:pStyle w:val="2"/>
      </w:pPr>
    </w:p>
    <w:p>
      <w:pPr>
        <w:ind w:left="420"/>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年</w:t>
      </w:r>
      <w:r>
        <w:rPr>
          <w:rFonts w:hint="eastAsia" w:ascii="仿宋_GB2312" w:hAnsi="仿宋_GB2312" w:cs="仿宋_GB2312"/>
          <w:sz w:val="32"/>
          <w:szCs w:val="32"/>
          <w:lang w:val="en-US" w:eastAsia="zh-CN"/>
        </w:rPr>
        <w:t>10</w:t>
      </w:r>
      <w:r>
        <w:rPr>
          <w:rFonts w:hint="eastAsia" w:ascii="仿宋_GB2312" w:hAnsi="仿宋_GB2312" w:eastAsia="仿宋_GB2312" w:cs="仿宋_GB2312"/>
          <w:sz w:val="32"/>
          <w:szCs w:val="32"/>
        </w:rPr>
        <w:t>月</w:t>
      </w:r>
      <w:r>
        <w:rPr>
          <w:rFonts w:hint="eastAsia" w:ascii="仿宋_GB2312" w:hAnsi="仿宋_GB2312" w:cs="仿宋_GB2312"/>
          <w:sz w:val="32"/>
          <w:szCs w:val="32"/>
          <w:lang w:val="en-US" w:eastAsia="zh-CN"/>
        </w:rPr>
        <w:t>18</w:t>
      </w:r>
      <w:r>
        <w:rPr>
          <w:rFonts w:hint="eastAsia" w:ascii="仿宋_GB2312" w:hAnsi="仿宋_GB2312" w:eastAsia="仿宋_GB2312" w:cs="仿宋_GB2312"/>
          <w:sz w:val="32"/>
          <w:szCs w:val="32"/>
        </w:rPr>
        <w:t>日黑龙江省第十</w:t>
      </w:r>
      <w:r>
        <w:rPr>
          <w:rFonts w:hint="eastAsia" w:ascii="仿宋_GB2312" w:hAnsi="仿宋_GB2312" w:eastAsia="仿宋_GB2312" w:cs="仿宋_GB2312"/>
          <w:sz w:val="32"/>
          <w:szCs w:val="32"/>
          <w:lang w:eastAsia="zh-CN"/>
        </w:rPr>
        <w:t>三</w:t>
      </w:r>
      <w:r>
        <w:rPr>
          <w:rFonts w:hint="eastAsia" w:ascii="仿宋_GB2312" w:hAnsi="仿宋_GB2312" w:eastAsia="仿宋_GB2312" w:cs="仿宋_GB2312"/>
          <w:sz w:val="32"/>
          <w:szCs w:val="32"/>
        </w:rPr>
        <w:t>届人民代表大会</w:t>
      </w:r>
    </w:p>
    <w:p>
      <w:pPr>
        <w:spacing w:line="640" w:lineRule="exact"/>
        <w:jc w:val="cente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常务委员会第</w:t>
      </w:r>
      <w:r>
        <w:rPr>
          <w:rFonts w:hint="eastAsia" w:ascii="仿宋_GB2312" w:hAnsi="仿宋_GB2312" w:eastAsia="仿宋_GB2312" w:cs="仿宋_GB2312"/>
          <w:sz w:val="32"/>
          <w:szCs w:val="32"/>
          <w:lang w:val="en-US" w:eastAsia="zh-CN"/>
        </w:rPr>
        <w:t>十</w:t>
      </w:r>
      <w:r>
        <w:rPr>
          <w:rFonts w:hint="eastAsia" w:ascii="仿宋_GB2312" w:hAnsi="仿宋_GB2312" w:cs="仿宋_GB2312"/>
          <w:sz w:val="32"/>
          <w:szCs w:val="32"/>
          <w:lang w:val="en-US" w:eastAsia="zh-CN"/>
        </w:rPr>
        <w:t>四</w:t>
      </w:r>
      <w:r>
        <w:rPr>
          <w:rFonts w:hint="eastAsia" w:ascii="仿宋_GB2312" w:hAnsi="仿宋_GB2312" w:eastAsia="仿宋_GB2312" w:cs="仿宋_GB2312"/>
          <w:sz w:val="32"/>
          <w:szCs w:val="32"/>
        </w:rPr>
        <w:t>次会议通过）</w:t>
      </w:r>
    </w:p>
    <w:p>
      <w:pPr>
        <w:spacing w:line="580" w:lineRule="exact"/>
        <w:contextualSpacing/>
        <w:rPr>
          <w:rFonts w:ascii="仿宋_GB2312"/>
          <w:szCs w:val="32"/>
        </w:rPr>
      </w:pPr>
    </w:p>
    <w:p>
      <w:pPr>
        <w:spacing w:line="580" w:lineRule="exact"/>
        <w:contextualSpacing/>
        <w:jc w:val="center"/>
        <w:rPr>
          <w:rFonts w:ascii="黑体" w:hAnsi="黑体" w:eastAsia="黑体"/>
          <w:szCs w:val="32"/>
        </w:rPr>
      </w:pPr>
      <w:r>
        <w:rPr>
          <w:rFonts w:hint="eastAsia" w:ascii="黑体" w:hAnsi="黑体" w:eastAsia="黑体"/>
          <w:szCs w:val="32"/>
        </w:rPr>
        <w:t>第一章    总  则</w:t>
      </w:r>
    </w:p>
    <w:p>
      <w:pPr>
        <w:spacing w:line="580" w:lineRule="exact"/>
      </w:pPr>
    </w:p>
    <w:p>
      <w:pPr>
        <w:spacing w:line="580" w:lineRule="exact"/>
        <w:ind w:firstLine="640"/>
        <w:contextualSpacing/>
        <w:rPr>
          <w:rFonts w:ascii="仿宋_GB2312"/>
          <w:szCs w:val="32"/>
        </w:rPr>
      </w:pPr>
      <w:r>
        <w:rPr>
          <w:rFonts w:hint="eastAsia" w:ascii="黑体" w:hAnsi="黑体" w:eastAsia="黑体"/>
          <w:szCs w:val="32"/>
        </w:rPr>
        <w:t xml:space="preserve">第一条 </w:t>
      </w:r>
      <w:r>
        <w:rPr>
          <w:rFonts w:hint="eastAsia" w:ascii="仿宋_GB2312"/>
          <w:szCs w:val="32"/>
        </w:rPr>
        <w:t>为了维护国家安全，加强和规范反间谍安全防范工作，依据《中华人民共和国国家安全法》《中华人民共和国反间谍法》等法律规定，结合本省实际，制定本条例。</w:t>
      </w:r>
    </w:p>
    <w:p>
      <w:pPr>
        <w:spacing w:line="580" w:lineRule="exact"/>
        <w:ind w:firstLine="640"/>
        <w:contextualSpacing/>
        <w:rPr>
          <w:rFonts w:ascii="仿宋_GB2312"/>
          <w:szCs w:val="32"/>
        </w:rPr>
      </w:pPr>
      <w:r>
        <w:rPr>
          <w:rFonts w:hint="eastAsia" w:ascii="黑体" w:hAnsi="黑体" w:eastAsia="黑体"/>
          <w:szCs w:val="32"/>
        </w:rPr>
        <w:t xml:space="preserve">第二条 </w:t>
      </w:r>
      <w:r>
        <w:rPr>
          <w:rFonts w:hint="eastAsia" w:ascii="仿宋_GB2312"/>
          <w:szCs w:val="32"/>
        </w:rPr>
        <w:t>本省行政区域内的机关、人民团体、企业事业组织、其他社会组织和公民履行反间谍安全防范责任和义</w:t>
      </w:r>
      <w:bookmarkStart w:id="0" w:name="_GoBack"/>
      <w:bookmarkEnd w:id="0"/>
      <w:r>
        <w:rPr>
          <w:rFonts w:hint="eastAsia" w:ascii="仿宋_GB2312"/>
          <w:szCs w:val="32"/>
        </w:rPr>
        <w:t>务，参与反间谍安全防范活动，适用本条例。</w:t>
      </w:r>
    </w:p>
    <w:p>
      <w:pPr>
        <w:spacing w:line="580" w:lineRule="exact"/>
        <w:ind w:firstLine="636"/>
        <w:contextualSpacing/>
      </w:pPr>
      <w:r>
        <w:rPr>
          <w:rFonts w:hint="eastAsia" w:ascii="黑体" w:hAnsi="黑体" w:eastAsia="黑体"/>
          <w:szCs w:val="32"/>
        </w:rPr>
        <w:t xml:space="preserve">第三条 </w:t>
      </w:r>
      <w:r>
        <w:rPr>
          <w:rFonts w:hint="eastAsia" w:ascii="仿宋_GB2312"/>
          <w:szCs w:val="32"/>
        </w:rPr>
        <w:t>反间谍安全防范是指在各级党委、政府领导下，国家安全机关协调、指导，其他机关、人民团体、企业事业组织、其他社会组织和公民共同参与的预防和制止间谍行为及其他危害国家安全行为的活动</w:t>
      </w:r>
      <w:r>
        <w:rPr>
          <w:rFonts w:hint="eastAsia" w:ascii="仿宋_GB2312"/>
          <w:spacing w:val="-4"/>
          <w:szCs w:val="32"/>
        </w:rPr>
        <w:t>。</w:t>
      </w:r>
    </w:p>
    <w:p>
      <w:pPr>
        <w:spacing w:line="580" w:lineRule="exact"/>
        <w:ind w:firstLine="636"/>
        <w:contextualSpacing/>
        <w:rPr>
          <w:rFonts w:ascii="仿宋_GB2312"/>
          <w:szCs w:val="32"/>
        </w:rPr>
      </w:pPr>
      <w:r>
        <w:rPr>
          <w:rFonts w:hint="eastAsia" w:ascii="黑体" w:hAnsi="黑体" w:eastAsia="黑体"/>
          <w:szCs w:val="32"/>
        </w:rPr>
        <w:t xml:space="preserve">第四条 </w:t>
      </w:r>
      <w:r>
        <w:rPr>
          <w:rFonts w:hint="eastAsia" w:ascii="仿宋_GB2312"/>
          <w:szCs w:val="32"/>
        </w:rPr>
        <w:t>反间谍安全防范工作应当坚持</w:t>
      </w:r>
      <w:r>
        <w:rPr>
          <w:rFonts w:hint="eastAsia" w:ascii="仿宋_GB2312"/>
          <w:spacing w:val="-4"/>
          <w:szCs w:val="32"/>
        </w:rPr>
        <w:t>党的领导，坚持总体国家安全观，坚持专门工作与群众路线相结合，突出重点，积极防御，依法进行。</w:t>
      </w:r>
    </w:p>
    <w:p>
      <w:pPr>
        <w:spacing w:line="580" w:lineRule="exact"/>
        <w:ind w:firstLine="640" w:firstLineChars="200"/>
        <w:contextualSpacing/>
        <w:rPr>
          <w:rFonts w:ascii="仿宋_GB2312"/>
          <w:szCs w:val="32"/>
        </w:rPr>
      </w:pPr>
      <w:r>
        <w:rPr>
          <w:rFonts w:hint="eastAsia" w:ascii="黑体" w:hAnsi="黑体" w:eastAsia="黑体"/>
          <w:szCs w:val="32"/>
        </w:rPr>
        <w:t xml:space="preserve">第五条 </w:t>
      </w:r>
      <w:r>
        <w:rPr>
          <w:rFonts w:hint="eastAsia" w:ascii="仿宋_GB2312" w:hAnsi="仿宋_GB2312" w:cs="仿宋_GB2312"/>
          <w:szCs w:val="32"/>
        </w:rPr>
        <w:t>全省各级</w:t>
      </w:r>
      <w:r>
        <w:rPr>
          <w:rFonts w:hint="eastAsia" w:ascii="仿宋_GB2312"/>
          <w:szCs w:val="32"/>
        </w:rPr>
        <w:t>国家安全机关是反间谍安全防范工作的主管机关，负责组织、指导实施反间谍安全防范法律法规。</w:t>
      </w:r>
    </w:p>
    <w:p>
      <w:pPr>
        <w:spacing w:line="580" w:lineRule="exact"/>
        <w:ind w:firstLine="640" w:firstLineChars="200"/>
        <w:contextualSpacing/>
        <w:rPr>
          <w:rFonts w:ascii="仿宋_GB2312"/>
          <w:szCs w:val="32"/>
        </w:rPr>
      </w:pPr>
      <w:r>
        <w:rPr>
          <w:rFonts w:hint="eastAsia" w:ascii="黑体" w:hAnsi="黑体" w:eastAsia="黑体"/>
          <w:szCs w:val="32"/>
        </w:rPr>
        <w:t xml:space="preserve">第六条 </w:t>
      </w:r>
      <w:r>
        <w:rPr>
          <w:rFonts w:hint="eastAsia" w:ascii="仿宋_GB2312"/>
          <w:szCs w:val="32"/>
        </w:rPr>
        <w:t>公安、保密行政管理等有关部门应当按照职责分工，与国家安全机关密切配合，加强协调，依法履行反间谍安全防范工作职责。</w:t>
      </w:r>
    </w:p>
    <w:p>
      <w:pPr>
        <w:spacing w:line="580" w:lineRule="exact"/>
        <w:contextualSpacing/>
        <w:jc w:val="center"/>
        <w:rPr>
          <w:rFonts w:ascii="仿宋_GB2312"/>
          <w:szCs w:val="32"/>
        </w:rPr>
      </w:pPr>
    </w:p>
    <w:p>
      <w:pPr>
        <w:spacing w:line="580" w:lineRule="exact"/>
        <w:contextualSpacing/>
        <w:jc w:val="center"/>
        <w:rPr>
          <w:rFonts w:ascii="黑体" w:hAnsi="黑体" w:eastAsia="黑体"/>
          <w:szCs w:val="32"/>
        </w:rPr>
      </w:pPr>
      <w:r>
        <w:rPr>
          <w:rFonts w:hint="eastAsia" w:ascii="黑体" w:hAnsi="黑体" w:eastAsia="黑体"/>
          <w:szCs w:val="32"/>
        </w:rPr>
        <w:t>第二章  国家安全机关职责</w:t>
      </w:r>
    </w:p>
    <w:p>
      <w:pPr>
        <w:spacing w:line="580" w:lineRule="exact"/>
      </w:pPr>
    </w:p>
    <w:p>
      <w:pPr>
        <w:spacing w:line="580" w:lineRule="exact"/>
        <w:ind w:firstLine="640" w:firstLineChars="200"/>
        <w:contextualSpacing/>
        <w:rPr>
          <w:rFonts w:ascii="仿宋_GB2312"/>
          <w:szCs w:val="32"/>
        </w:rPr>
      </w:pPr>
      <w:r>
        <w:rPr>
          <w:rFonts w:hint="eastAsia" w:ascii="黑体" w:hAnsi="黑体" w:eastAsia="黑体"/>
          <w:szCs w:val="32"/>
        </w:rPr>
        <w:t xml:space="preserve">第七条 </w:t>
      </w:r>
      <w:r>
        <w:rPr>
          <w:rFonts w:hint="eastAsia" w:ascii="仿宋_GB2312"/>
          <w:szCs w:val="32"/>
        </w:rPr>
        <w:t>国家安全机关应当制定反间谍安全防范工作规划、计划，协调、指导机关、人民团体、重点企业事业组织等建立国家安全人民防线组织，制定工作制度，指导、检查其开展工作，会同有关部门对其工作情况进行考核。</w:t>
      </w:r>
    </w:p>
    <w:p>
      <w:pPr>
        <w:spacing w:line="600" w:lineRule="exact"/>
        <w:ind w:firstLine="636"/>
        <w:contextualSpacing/>
        <w:rPr>
          <w:rFonts w:ascii="仿宋_GB2312"/>
          <w:szCs w:val="32"/>
        </w:rPr>
      </w:pPr>
      <w:r>
        <w:rPr>
          <w:rFonts w:hint="eastAsia" w:ascii="黑体" w:hAnsi="黑体" w:eastAsia="黑体"/>
          <w:szCs w:val="32"/>
        </w:rPr>
        <w:t xml:space="preserve">第八条 </w:t>
      </w:r>
      <w:r>
        <w:rPr>
          <w:rFonts w:hint="eastAsia" w:ascii="仿宋_GB2312"/>
          <w:szCs w:val="32"/>
        </w:rPr>
        <w:t>国家安全机关应当会同有关部门，研究确定反间谍安全防范工作重点地区和重点单位</w:t>
      </w:r>
      <w:r>
        <w:rPr>
          <w:rFonts w:hint="eastAsia" w:ascii="仿宋_GB2312"/>
          <w:szCs w:val="32"/>
          <w:lang w:val="en-US" w:eastAsia="zh-CN"/>
        </w:rPr>
        <w:t>范围</w:t>
      </w:r>
      <w:r>
        <w:rPr>
          <w:rFonts w:hint="eastAsia" w:ascii="仿宋_GB2312"/>
          <w:szCs w:val="32"/>
          <w:shd w:val="clear" w:color="auto" w:fill="auto"/>
        </w:rPr>
        <w:t>，</w:t>
      </w:r>
      <w:r>
        <w:rPr>
          <w:rFonts w:hint="eastAsia" w:ascii="仿宋_GB2312"/>
          <w:szCs w:val="32"/>
        </w:rPr>
        <w:t>支持和帮助</w:t>
      </w:r>
      <w:r>
        <w:rPr>
          <w:rFonts w:hint="eastAsia" w:ascii="仿宋_GB2312"/>
          <w:szCs w:val="32"/>
          <w:lang w:val="en-US" w:eastAsia="zh-CN"/>
        </w:rPr>
        <w:t>重点地区、</w:t>
      </w:r>
      <w:r>
        <w:rPr>
          <w:rFonts w:hint="eastAsia" w:ascii="仿宋_GB2312"/>
          <w:szCs w:val="32"/>
        </w:rPr>
        <w:t>重点单位</w:t>
      </w:r>
      <w:r>
        <w:rPr>
          <w:rFonts w:hint="eastAsia" w:ascii="仿宋_GB2312"/>
          <w:szCs w:val="32"/>
          <w:lang w:val="en-US" w:eastAsia="zh-CN"/>
        </w:rPr>
        <w:t>开展反间谍安全防范工作</w:t>
      </w:r>
      <w:r>
        <w:rPr>
          <w:rFonts w:hint="eastAsia" w:ascii="仿宋_GB2312"/>
          <w:szCs w:val="32"/>
        </w:rPr>
        <w:t>。</w:t>
      </w:r>
    </w:p>
    <w:p>
      <w:pPr>
        <w:spacing w:line="600" w:lineRule="exact"/>
        <w:ind w:firstLine="640" w:firstLineChars="200"/>
        <w:contextualSpacing/>
        <w:rPr>
          <w:rFonts w:ascii="仿宋_GB2312"/>
          <w:szCs w:val="32"/>
        </w:rPr>
      </w:pPr>
      <w:r>
        <w:rPr>
          <w:rFonts w:hint="eastAsia" w:ascii="黑体" w:hAnsi="黑体" w:eastAsia="黑体"/>
          <w:szCs w:val="32"/>
          <w:lang w:val="en-US" w:eastAsia="zh-CN"/>
        </w:rPr>
        <w:t>第九条</w:t>
      </w:r>
      <w:r>
        <w:rPr>
          <w:rFonts w:hint="eastAsia" w:ascii="黑体" w:hAnsi="黑体" w:eastAsia="黑体"/>
          <w:szCs w:val="32"/>
        </w:rPr>
        <w:t xml:space="preserve"> </w:t>
      </w:r>
      <w:r>
        <w:rPr>
          <w:rFonts w:hint="eastAsia" w:ascii="仿宋_GB2312"/>
          <w:szCs w:val="32"/>
        </w:rPr>
        <w:t>设区的市或者县级国家安全机关，应当对重点地区和重点单位所在的乡镇人民政府、街道办事处、居民委员会、村民委员会开展群众性反间谍安全防范工作给予指导。</w:t>
      </w:r>
    </w:p>
    <w:p>
      <w:pPr>
        <w:spacing w:line="600" w:lineRule="exact"/>
        <w:ind w:firstLine="640" w:firstLineChars="200"/>
        <w:contextualSpacing/>
        <w:rPr>
          <w:rFonts w:ascii="仿宋_GB2312"/>
          <w:szCs w:val="32"/>
        </w:rPr>
      </w:pPr>
      <w:r>
        <w:rPr>
          <w:rFonts w:hint="eastAsia" w:ascii="黑体" w:hAnsi="黑体" w:eastAsia="黑体"/>
          <w:szCs w:val="32"/>
        </w:rPr>
        <w:t xml:space="preserve">第十条 </w:t>
      </w:r>
      <w:r>
        <w:rPr>
          <w:rFonts w:hint="eastAsia" w:ascii="仿宋_GB2312"/>
          <w:szCs w:val="32"/>
        </w:rPr>
        <w:t>国家安全机关应当定期协调、指导有关部门对本单位、本系统、本行业反间谍安全防范工作进行检查，及时发现、消除安全隐患。</w:t>
      </w:r>
    </w:p>
    <w:p>
      <w:pPr>
        <w:spacing w:line="600" w:lineRule="exact"/>
        <w:ind w:firstLine="640" w:firstLineChars="200"/>
        <w:contextualSpacing/>
        <w:rPr>
          <w:rFonts w:ascii="仿宋_GB2312"/>
          <w:szCs w:val="32"/>
        </w:rPr>
      </w:pPr>
      <w:r>
        <w:rPr>
          <w:rFonts w:hint="eastAsia" w:ascii="黑体" w:hAnsi="黑体" w:eastAsia="黑体"/>
          <w:szCs w:val="32"/>
        </w:rPr>
        <w:t xml:space="preserve">第十一条 </w:t>
      </w:r>
      <w:r>
        <w:rPr>
          <w:rFonts w:hint="eastAsia" w:ascii="仿宋_GB2312"/>
          <w:szCs w:val="32"/>
        </w:rPr>
        <w:t>国家安全机关应当对重点单位反间谍安全防范的技术、网络、设施设备、周边环境等情况，定期进行风险评估，根据评估结果提出整改意见。</w:t>
      </w:r>
    </w:p>
    <w:p>
      <w:pPr>
        <w:pStyle w:val="2"/>
        <w:ind w:left="0" w:leftChars="0"/>
      </w:pPr>
      <w:r>
        <w:rPr>
          <w:rFonts w:hint="eastAsia" w:ascii="黑体" w:hAnsi="黑体" w:eastAsia="黑体" w:cs="黑体"/>
        </w:rPr>
        <w:t xml:space="preserve">    </w:t>
      </w:r>
      <w:r>
        <w:rPr>
          <w:rFonts w:hint="eastAsia" w:ascii="黑体" w:hAnsi="黑体" w:eastAsia="黑体" w:cstheme="minorBidi"/>
          <w:kern w:val="2"/>
          <w:sz w:val="32"/>
          <w:szCs w:val="32"/>
          <w:lang w:val="en-US" w:eastAsia="zh-CN" w:bidi="ar-SA"/>
        </w:rPr>
        <w:t>第十二条</w:t>
      </w:r>
      <w:r>
        <w:rPr>
          <w:rFonts w:hint="eastAsia" w:ascii="黑体" w:hAnsi="黑体" w:eastAsia="黑体" w:cs="黑体"/>
        </w:rPr>
        <w:t xml:space="preserve"> </w:t>
      </w:r>
      <w:r>
        <w:rPr>
          <w:rFonts w:hint="eastAsia"/>
        </w:rPr>
        <w:t>国家安全机关应当利用综合治理工作信息化平台，加强反间谍安全防范平台建设，推进反间谍安全防范工作的信息化、智能化。</w:t>
      </w:r>
    </w:p>
    <w:p>
      <w:pPr>
        <w:spacing w:line="600" w:lineRule="exact"/>
        <w:ind w:firstLine="640" w:firstLineChars="200"/>
        <w:contextualSpacing/>
        <w:rPr>
          <w:rFonts w:ascii="仿宋_GB2312"/>
          <w:szCs w:val="32"/>
        </w:rPr>
      </w:pPr>
    </w:p>
    <w:p>
      <w:pPr>
        <w:spacing w:line="600" w:lineRule="exact"/>
        <w:contextualSpacing/>
        <w:jc w:val="center"/>
        <w:rPr>
          <w:rFonts w:ascii="黑体" w:hAnsi="黑体" w:eastAsia="黑体"/>
          <w:szCs w:val="32"/>
        </w:rPr>
      </w:pPr>
      <w:r>
        <w:rPr>
          <w:rFonts w:hint="eastAsia" w:ascii="黑体" w:hAnsi="黑体" w:eastAsia="黑体"/>
          <w:szCs w:val="32"/>
        </w:rPr>
        <w:t>第三章 组织和公民的责任和义务</w:t>
      </w:r>
    </w:p>
    <w:p>
      <w:pPr>
        <w:pStyle w:val="2"/>
        <w:ind w:left="640"/>
      </w:pPr>
    </w:p>
    <w:p>
      <w:pPr>
        <w:spacing w:line="600" w:lineRule="exact"/>
        <w:ind w:firstLine="640" w:firstLineChars="200"/>
        <w:contextualSpacing/>
        <w:rPr>
          <w:rFonts w:ascii="仿宋_GB2312"/>
          <w:szCs w:val="32"/>
        </w:rPr>
      </w:pPr>
      <w:r>
        <w:rPr>
          <w:rFonts w:hint="eastAsia" w:ascii="黑体" w:hAnsi="黑体" w:eastAsia="黑体"/>
          <w:szCs w:val="32"/>
        </w:rPr>
        <w:t xml:space="preserve">第十三条 </w:t>
      </w:r>
      <w:r>
        <w:rPr>
          <w:rFonts w:hint="eastAsia" w:ascii="仿宋_GB2312"/>
          <w:szCs w:val="32"/>
        </w:rPr>
        <w:t>机关、人民团体、企业事业组织、其他社会组织和公民，应当履行维护国家安全的责任和义务。</w:t>
      </w:r>
    </w:p>
    <w:p>
      <w:pPr>
        <w:spacing w:line="600" w:lineRule="exact"/>
        <w:ind w:firstLine="640" w:firstLineChars="200"/>
        <w:contextualSpacing/>
        <w:rPr>
          <w:rFonts w:ascii="仿宋_GB2312"/>
          <w:szCs w:val="32"/>
        </w:rPr>
      </w:pPr>
      <w:r>
        <w:rPr>
          <w:rFonts w:hint="eastAsia" w:ascii="黑体" w:hAnsi="黑体" w:eastAsia="黑体"/>
          <w:szCs w:val="32"/>
        </w:rPr>
        <w:t xml:space="preserve">第十四条 </w:t>
      </w:r>
      <w:r>
        <w:rPr>
          <w:rFonts w:hint="eastAsia" w:ascii="仿宋_GB2312"/>
          <w:szCs w:val="32"/>
        </w:rPr>
        <w:t>机关、人民团体、企业事业组织、其他社会组织和个人，在国家安全机关调查了解有关反间谍安全防范情况时，应当积极配合，不得隐瞒、推诿、拒绝。</w:t>
      </w:r>
    </w:p>
    <w:p>
      <w:pPr>
        <w:spacing w:line="600" w:lineRule="exact"/>
        <w:ind w:firstLine="640" w:firstLineChars="200"/>
        <w:contextualSpacing/>
        <w:rPr>
          <w:rFonts w:ascii="仿宋_GB2312"/>
          <w:szCs w:val="32"/>
        </w:rPr>
      </w:pPr>
      <w:r>
        <w:rPr>
          <w:rFonts w:hint="eastAsia" w:ascii="黑体" w:hAnsi="黑体" w:eastAsia="黑体"/>
          <w:szCs w:val="32"/>
        </w:rPr>
        <w:t xml:space="preserve">第十五条 </w:t>
      </w:r>
      <w:r>
        <w:rPr>
          <w:rFonts w:hint="eastAsia" w:ascii="仿宋_GB2312"/>
          <w:szCs w:val="32"/>
        </w:rPr>
        <w:t>机关、人民团体、企业事业组织、其他社会组织和公民，发现有关间谍行为、可疑装置等线索，应当及时通过12339举报电话、国家安全机关举报受理平台、信件等方式向国家安全机关进行举报，或者向所在地的公安机关、居民委员会、村民委员会等有关单位报告，有关单位应当立即移送或者报告国家安全机关处理。</w:t>
      </w:r>
    </w:p>
    <w:p>
      <w:pPr>
        <w:spacing w:line="600" w:lineRule="exact"/>
        <w:ind w:firstLine="640" w:firstLineChars="200"/>
        <w:contextualSpacing/>
        <w:rPr>
          <w:rFonts w:ascii="仿宋_GB2312"/>
          <w:szCs w:val="32"/>
        </w:rPr>
      </w:pPr>
      <w:r>
        <w:rPr>
          <w:rFonts w:hint="eastAsia" w:ascii="黑体" w:hAnsi="黑体" w:eastAsia="黑体"/>
          <w:szCs w:val="32"/>
        </w:rPr>
        <w:t xml:space="preserve">第十六条 </w:t>
      </w:r>
      <w:r>
        <w:rPr>
          <w:rFonts w:hint="eastAsia" w:ascii="仿宋_GB2312"/>
          <w:szCs w:val="32"/>
        </w:rPr>
        <w:t>机关、人民团体、企业事业组织、其他社会组织和公民，应当保守所知悉的有关反间谍安全防范工作的国家秘密。</w:t>
      </w:r>
    </w:p>
    <w:p>
      <w:pPr>
        <w:spacing w:line="600" w:lineRule="exact"/>
        <w:contextualSpacing/>
        <w:rPr>
          <w:rFonts w:ascii="仿宋_GB2312"/>
          <w:szCs w:val="32"/>
        </w:rPr>
      </w:pPr>
    </w:p>
    <w:p>
      <w:pPr>
        <w:spacing w:line="600" w:lineRule="exact"/>
        <w:contextualSpacing/>
        <w:jc w:val="center"/>
        <w:rPr>
          <w:rFonts w:ascii="黑体" w:hAnsi="黑体" w:eastAsia="黑体"/>
          <w:szCs w:val="32"/>
        </w:rPr>
      </w:pPr>
      <w:r>
        <w:rPr>
          <w:rFonts w:hint="eastAsia" w:ascii="黑体" w:hAnsi="黑体" w:eastAsia="黑体"/>
          <w:szCs w:val="32"/>
        </w:rPr>
        <w:t>第四章 防范措施</w:t>
      </w:r>
    </w:p>
    <w:p>
      <w:pPr>
        <w:pStyle w:val="2"/>
        <w:ind w:left="640"/>
      </w:pPr>
    </w:p>
    <w:p>
      <w:pPr>
        <w:spacing w:line="600" w:lineRule="exact"/>
        <w:ind w:firstLine="640" w:firstLineChars="200"/>
        <w:contextualSpacing/>
        <w:rPr>
          <w:rFonts w:ascii="仿宋_GB2312" w:eastAsia="黑体"/>
          <w:bCs/>
          <w:szCs w:val="32"/>
        </w:rPr>
      </w:pPr>
      <w:r>
        <w:rPr>
          <w:rFonts w:hint="eastAsia" w:ascii="黑体" w:hAnsi="黑体" w:eastAsia="黑体"/>
          <w:szCs w:val="32"/>
        </w:rPr>
        <w:t xml:space="preserve">第十七条 </w:t>
      </w:r>
      <w:r>
        <w:rPr>
          <w:rFonts w:hint="eastAsia"/>
        </w:rPr>
        <w:t>机关、人民团体、</w:t>
      </w:r>
      <w:r>
        <w:rPr>
          <w:rFonts w:hint="eastAsia" w:ascii="仿宋_GB2312"/>
          <w:szCs w:val="32"/>
        </w:rPr>
        <w:t>企业事业组织应当按照国家安全机关的要求，为反间谍安全防范工作提供必要支持、协助和便利条件。</w:t>
      </w:r>
    </w:p>
    <w:p>
      <w:pPr>
        <w:spacing w:line="600" w:lineRule="exact"/>
        <w:ind w:firstLine="640" w:firstLineChars="200"/>
        <w:contextualSpacing/>
        <w:rPr>
          <w:rFonts w:ascii="仿宋_GB2312"/>
          <w:szCs w:val="32"/>
        </w:rPr>
      </w:pPr>
      <w:r>
        <w:rPr>
          <w:rFonts w:hint="eastAsia" w:ascii="仿宋_GB2312"/>
          <w:bCs/>
          <w:szCs w:val="32"/>
        </w:rPr>
        <w:t>组织（人事）、外事、边防、科技、工业和信息化、军民融合、教育、商务、文化和旅游、</w:t>
      </w:r>
      <w:r>
        <w:rPr>
          <w:rFonts w:hint="eastAsia"/>
        </w:rPr>
        <w:t>网信、交通运输、金融、邮政、海关、通信、保险、民政、税务、住房城乡建设、市场监管、民族宗教</w:t>
      </w:r>
      <w:r>
        <w:rPr>
          <w:rFonts w:hint="eastAsia" w:ascii="仿宋_GB2312"/>
          <w:bCs/>
          <w:szCs w:val="32"/>
        </w:rPr>
        <w:t>等部门，应当与国家安全机关建立反间谍安全防范工作的联动机制，按照国家安全机关的工作要求，及时提供反间谍安全防范工作所需要的情况。</w:t>
      </w:r>
    </w:p>
    <w:p>
      <w:pPr>
        <w:spacing w:line="600" w:lineRule="exact"/>
        <w:ind w:firstLine="640" w:firstLineChars="200"/>
        <w:contextualSpacing/>
        <w:rPr>
          <w:rFonts w:ascii="仿宋_GB2312"/>
          <w:bCs/>
          <w:szCs w:val="32"/>
        </w:rPr>
      </w:pPr>
      <w:r>
        <w:rPr>
          <w:rFonts w:hint="eastAsia" w:ascii="黑体" w:hAnsi="黑体" w:eastAsia="黑体"/>
          <w:szCs w:val="32"/>
        </w:rPr>
        <w:t xml:space="preserve">第十八条 </w:t>
      </w:r>
      <w:r>
        <w:rPr>
          <w:rFonts w:hint="eastAsia" w:ascii="仿宋_GB2312" w:hAnsi="仿宋_GB2312" w:eastAsia="仿宋_GB2312" w:cs="仿宋_GB2312"/>
          <w:szCs w:val="32"/>
          <w:lang w:val="en-US" w:eastAsia="zh-CN"/>
        </w:rPr>
        <w:t>反间谍安全防范责任落实情况应当纳入对各级党委（党组）和领导干部贯彻落实国家安全责任制以及平安建设责任制的督查考核范围</w:t>
      </w:r>
      <w:r>
        <w:rPr>
          <w:rFonts w:hint="eastAsia" w:ascii="仿宋_GB2312"/>
          <w:szCs w:val="32"/>
        </w:rPr>
        <w:t>，考核结果作为领导班子和领导干部综合考核评价的内容。</w:t>
      </w:r>
    </w:p>
    <w:p>
      <w:pPr>
        <w:spacing w:line="600" w:lineRule="exact"/>
        <w:ind w:firstLine="640" w:firstLineChars="200"/>
        <w:contextualSpacing/>
        <w:rPr>
          <w:rFonts w:ascii="仿宋_GB2312"/>
          <w:szCs w:val="32"/>
        </w:rPr>
      </w:pPr>
      <w:r>
        <w:rPr>
          <w:rFonts w:hint="eastAsia" w:ascii="黑体" w:hAnsi="黑体" w:eastAsia="黑体"/>
          <w:szCs w:val="32"/>
        </w:rPr>
        <w:t xml:space="preserve">第十九条 </w:t>
      </w:r>
      <w:r>
        <w:rPr>
          <w:rFonts w:hint="eastAsia" w:ascii="仿宋_GB2312"/>
          <w:szCs w:val="32"/>
        </w:rPr>
        <w:t xml:space="preserve">机关、人民团体、重点企业事业组织在反间谍安全防范工作中应当采取下列措施： </w:t>
      </w:r>
    </w:p>
    <w:p>
      <w:pPr>
        <w:numPr>
          <w:ilvl w:val="0"/>
          <w:numId w:val="1"/>
        </w:numPr>
        <w:spacing w:line="600" w:lineRule="exact"/>
        <w:ind w:firstLine="640" w:firstLineChars="200"/>
        <w:contextualSpacing/>
        <w:rPr>
          <w:rFonts w:ascii="仿宋_GB2312"/>
          <w:szCs w:val="32"/>
        </w:rPr>
      </w:pPr>
      <w:r>
        <w:rPr>
          <w:rFonts w:hint="eastAsia" w:ascii="仿宋_GB2312"/>
          <w:szCs w:val="32"/>
        </w:rPr>
        <w:t>建立国家安全人民防线组织,党组织负责人和行政负责人应当是该组织的成员，下设日常办事机构，配备专职或者兼职工作人员，确定与国家安全机关联系的工作人员；</w:t>
      </w:r>
    </w:p>
    <w:p>
      <w:pPr>
        <w:numPr>
          <w:ilvl w:val="0"/>
          <w:numId w:val="1"/>
        </w:numPr>
        <w:spacing w:line="600" w:lineRule="exact"/>
        <w:ind w:firstLine="640" w:firstLineChars="200"/>
        <w:contextualSpacing/>
        <w:rPr>
          <w:rFonts w:ascii="仿宋_GB2312"/>
          <w:szCs w:val="32"/>
        </w:rPr>
      </w:pPr>
      <w:r>
        <w:rPr>
          <w:rFonts w:hint="eastAsia" w:ascii="仿宋_GB2312"/>
          <w:szCs w:val="32"/>
        </w:rPr>
        <w:t>建立反间谍安全防范责任制，形成分级责任体系，主要负责人为第一责任人;</w:t>
      </w:r>
    </w:p>
    <w:p>
      <w:pPr>
        <w:spacing w:line="600" w:lineRule="exact"/>
        <w:ind w:firstLine="640" w:firstLineChars="200"/>
        <w:contextualSpacing/>
        <w:rPr>
          <w:rFonts w:ascii="仿宋_GB2312"/>
          <w:szCs w:val="32"/>
        </w:rPr>
      </w:pPr>
      <w:r>
        <w:rPr>
          <w:rFonts w:hint="eastAsia" w:ascii="仿宋_GB2312"/>
          <w:szCs w:val="32"/>
        </w:rPr>
        <w:t>（三）对拟招录到涉密涉外等重点岗位的人员进行安全审查和考核，通过后，方可上岗；</w:t>
      </w:r>
    </w:p>
    <w:p>
      <w:pPr>
        <w:spacing w:line="600" w:lineRule="exact"/>
        <w:ind w:firstLine="640" w:firstLineChars="200"/>
        <w:contextualSpacing/>
        <w:rPr>
          <w:rFonts w:ascii="仿宋_GB2312"/>
          <w:szCs w:val="32"/>
        </w:rPr>
      </w:pPr>
      <w:r>
        <w:rPr>
          <w:rFonts w:hint="eastAsia" w:ascii="仿宋_GB2312"/>
          <w:szCs w:val="32"/>
        </w:rPr>
        <w:t>（四）对本单位人员进行常态化、制度化的反间谍安全防范教育培训；</w:t>
      </w:r>
    </w:p>
    <w:p>
      <w:pPr>
        <w:spacing w:line="600" w:lineRule="exact"/>
        <w:ind w:firstLine="645"/>
        <w:contextualSpacing/>
        <w:rPr>
          <w:rFonts w:ascii="仿宋_GB2312" w:hAnsi="仿宋_GB2312" w:cs="仿宋_GB2312"/>
          <w:szCs w:val="32"/>
        </w:rPr>
      </w:pPr>
      <w:r>
        <w:rPr>
          <w:rFonts w:hint="eastAsia" w:ascii="仿宋_GB2312"/>
          <w:szCs w:val="32"/>
        </w:rPr>
        <w:t>（五）</w:t>
      </w:r>
      <w:r>
        <w:rPr>
          <w:rFonts w:hint="eastAsia" w:ascii="仿宋_GB2312" w:hAnsi="仿宋_GB2312" w:cs="仿宋_GB2312"/>
          <w:szCs w:val="32"/>
        </w:rPr>
        <w:t>建立涉密涉外等重点岗位涉及国家安全有关事项报告制度，</w:t>
      </w:r>
      <w:r>
        <w:rPr>
          <w:rFonts w:hint="eastAsia" w:ascii="仿宋_GB2312" w:hAnsi="仿宋_GB2312" w:cs="仿宋_GB2312"/>
          <w:szCs w:val="32"/>
          <w:lang w:val="en-US" w:eastAsia="zh-CN"/>
        </w:rPr>
        <w:t>根据</w:t>
      </w:r>
      <w:r>
        <w:rPr>
          <w:rFonts w:hint="eastAsia" w:ascii="仿宋_GB2312" w:hAnsi="仿宋_GB2312" w:cs="仿宋_GB2312"/>
          <w:szCs w:val="32"/>
        </w:rPr>
        <w:t>国家安全机关</w:t>
      </w:r>
      <w:r>
        <w:rPr>
          <w:rFonts w:hint="eastAsia" w:ascii="仿宋_GB2312" w:hAnsi="仿宋_GB2312" w:cs="仿宋_GB2312"/>
          <w:szCs w:val="32"/>
          <w:lang w:val="en-US" w:eastAsia="zh-CN"/>
        </w:rPr>
        <w:t>工作需要，提供相关情况</w:t>
      </w:r>
      <w:r>
        <w:rPr>
          <w:rFonts w:hint="eastAsia" w:ascii="仿宋_GB2312" w:hAnsi="仿宋_GB2312" w:cs="仿宋_GB2312"/>
          <w:szCs w:val="32"/>
        </w:rPr>
        <w:t>；</w:t>
      </w:r>
    </w:p>
    <w:p>
      <w:pPr>
        <w:pStyle w:val="2"/>
        <w:ind w:left="0" w:leftChars="0" w:firstLine="640" w:firstLineChars="200"/>
      </w:pPr>
      <w:r>
        <w:rPr>
          <w:rFonts w:hint="eastAsia"/>
        </w:rPr>
        <w:t>（六）制定涉外交流合作中的反间谍安全防范工作预案，落实防范措施；</w:t>
      </w:r>
    </w:p>
    <w:p>
      <w:pPr>
        <w:spacing w:line="600" w:lineRule="exact"/>
        <w:ind w:firstLine="645"/>
        <w:contextualSpacing/>
        <w:rPr>
          <w:rFonts w:ascii="仿宋_GB2312"/>
          <w:szCs w:val="32"/>
        </w:rPr>
      </w:pPr>
      <w:r>
        <w:rPr>
          <w:rFonts w:hint="eastAsia" w:ascii="仿宋_GB2312"/>
          <w:bCs/>
          <w:szCs w:val="32"/>
        </w:rPr>
        <w:t>（七）</w:t>
      </w:r>
      <w:r>
        <w:rPr>
          <w:rFonts w:hint="eastAsia" w:ascii="仿宋_GB2312"/>
          <w:szCs w:val="32"/>
        </w:rPr>
        <w:t>在国家安全机关指导下，配置必要的反间谍安全防范设施、设备，对安全隐患及时整改；</w:t>
      </w:r>
    </w:p>
    <w:p>
      <w:pPr>
        <w:spacing w:line="600" w:lineRule="exact"/>
        <w:ind w:firstLine="645"/>
        <w:contextualSpacing/>
        <w:rPr>
          <w:rFonts w:ascii="仿宋_GB2312"/>
          <w:bCs/>
          <w:szCs w:val="32"/>
        </w:rPr>
      </w:pPr>
      <w:r>
        <w:rPr>
          <w:rFonts w:hint="eastAsia" w:ascii="仿宋_GB2312"/>
          <w:szCs w:val="32"/>
        </w:rPr>
        <w:t>（八）建立反间谍安全防范工作档案；</w:t>
      </w:r>
    </w:p>
    <w:p>
      <w:pPr>
        <w:spacing w:line="600" w:lineRule="exact"/>
        <w:ind w:firstLine="645"/>
        <w:contextualSpacing/>
        <w:rPr>
          <w:rFonts w:ascii="仿宋_GB2312"/>
          <w:szCs w:val="32"/>
        </w:rPr>
      </w:pPr>
      <w:r>
        <w:rPr>
          <w:rFonts w:hint="eastAsia" w:ascii="仿宋_GB2312"/>
          <w:szCs w:val="32"/>
        </w:rPr>
        <w:t>（九）其他应当采取的反间谍安全防范措施。</w:t>
      </w:r>
    </w:p>
    <w:p>
      <w:pPr>
        <w:pStyle w:val="2"/>
        <w:ind w:left="0" w:leftChars="0" w:firstLine="640" w:firstLineChars="200"/>
        <w:rPr>
          <w:szCs w:val="32"/>
        </w:rPr>
      </w:pPr>
      <w:r>
        <w:rPr>
          <w:rFonts w:hint="eastAsia" w:ascii="仿宋_GB2312" w:hAnsi="仿宋_GB2312" w:cs="仿宋_GB2312"/>
          <w:szCs w:val="32"/>
        </w:rPr>
        <w:t>机关、人民团体、重点企业事业组织，应当对本单位和以本单位人员为主的出国（境）团组、长期驻外人员，开展行前国家安全教育，签订安全防范承诺书；建立国（境）外管理团长负责制，加强安全防范提醒，指定专人负责安全防范工作；开展归国访谈工作，了解掌握在国(境)外期间遵守安全防范规定的情况。两年内再次出国(境)的，可以不重复开展行前教育。</w:t>
      </w:r>
    </w:p>
    <w:p>
      <w:pPr>
        <w:spacing w:line="600" w:lineRule="exact"/>
        <w:ind w:firstLine="640" w:firstLineChars="200"/>
        <w:contextualSpacing/>
        <w:rPr>
          <w:rFonts w:ascii="仿宋_GB2312"/>
          <w:szCs w:val="32"/>
        </w:rPr>
      </w:pPr>
      <w:r>
        <w:rPr>
          <w:rFonts w:hint="eastAsia" w:ascii="黑体" w:hAnsi="黑体" w:eastAsia="黑体"/>
          <w:szCs w:val="32"/>
        </w:rPr>
        <w:t xml:space="preserve">第二十条 </w:t>
      </w:r>
      <w:r>
        <w:rPr>
          <w:rFonts w:hint="eastAsia" w:ascii="仿宋_GB2312" w:hAnsi="仿宋_GB2312" w:cs="仿宋_GB2312"/>
          <w:szCs w:val="32"/>
        </w:rPr>
        <w:t>除机关、人民团体、重点企业事业组织外</w:t>
      </w:r>
      <w:r>
        <w:rPr>
          <w:rFonts w:hint="eastAsia" w:ascii="仿宋_GB2312"/>
          <w:szCs w:val="32"/>
        </w:rPr>
        <w:t>的单位，应当根据国家安全机关的要求，确定工作联系人，配合国家安全机关工作。</w:t>
      </w:r>
    </w:p>
    <w:p>
      <w:pPr>
        <w:spacing w:line="600" w:lineRule="exact"/>
        <w:ind w:firstLine="645"/>
        <w:contextualSpacing/>
        <w:rPr>
          <w:szCs w:val="32"/>
        </w:rPr>
      </w:pPr>
      <w:r>
        <w:rPr>
          <w:rFonts w:hint="eastAsia" w:ascii="黑体" w:hAnsi="黑体" w:eastAsia="黑体"/>
          <w:szCs w:val="32"/>
        </w:rPr>
        <w:t xml:space="preserve">第二十一条 </w:t>
      </w:r>
      <w:r>
        <w:rPr>
          <w:rFonts w:hint="eastAsia" w:ascii="仿宋_GB2312"/>
          <w:szCs w:val="32"/>
        </w:rPr>
        <w:t>国防科研生产单位、其他科研机构、高等院校等反间谍安全防范重点单位，除采取本条例第</w:t>
      </w:r>
      <w:r>
        <w:rPr>
          <w:rFonts w:hint="eastAsia" w:ascii="仿宋_GB2312"/>
          <w:szCs w:val="32"/>
          <w:lang w:val="en-US" w:eastAsia="zh-CN"/>
        </w:rPr>
        <w:t>十九</w:t>
      </w:r>
      <w:r>
        <w:rPr>
          <w:rFonts w:hint="eastAsia" w:ascii="仿宋_GB2312"/>
          <w:szCs w:val="32"/>
        </w:rPr>
        <w:t>条规定的措施外，应当将反间谍安全防范工作情况纳入本单位绩效考核管理；建立因公出国（境）、涉外活动、周边环境安全巡查、技术安全防范措施、要害部门管理、外来人员安全管理、国（境）外背景经历人员引进等方面的制度。</w:t>
      </w:r>
      <w:r>
        <w:rPr>
          <w:rFonts w:hint="eastAsia"/>
          <w:szCs w:val="32"/>
        </w:rPr>
        <w:t>对</w:t>
      </w:r>
      <w:r>
        <w:rPr>
          <w:szCs w:val="32"/>
        </w:rPr>
        <w:t>本单位核心涉密专家人身安全、科研项目安全、试验场所安全等方面制定</w:t>
      </w:r>
      <w:r>
        <w:rPr>
          <w:rFonts w:hint="eastAsia"/>
          <w:szCs w:val="32"/>
        </w:rPr>
        <w:t>安全规划并采取保护</w:t>
      </w:r>
      <w:r>
        <w:rPr>
          <w:szCs w:val="32"/>
        </w:rPr>
        <w:t>措施</w:t>
      </w:r>
      <w:r>
        <w:rPr>
          <w:rFonts w:hint="eastAsia"/>
          <w:szCs w:val="32"/>
        </w:rPr>
        <w:t>，</w:t>
      </w:r>
      <w:r>
        <w:rPr>
          <w:szCs w:val="32"/>
        </w:rPr>
        <w:t>了解可能影响专家安全的</w:t>
      </w:r>
      <w:r>
        <w:rPr>
          <w:rFonts w:hint="eastAsia"/>
          <w:szCs w:val="32"/>
        </w:rPr>
        <w:t>有关</w:t>
      </w:r>
      <w:r>
        <w:rPr>
          <w:szCs w:val="32"/>
        </w:rPr>
        <w:t>情况</w:t>
      </w:r>
      <w:r>
        <w:rPr>
          <w:rFonts w:hint="eastAsia"/>
          <w:szCs w:val="32"/>
        </w:rPr>
        <w:t>；必要时，</w:t>
      </w:r>
      <w:r>
        <w:rPr>
          <w:szCs w:val="32"/>
        </w:rPr>
        <w:t>可</w:t>
      </w:r>
      <w:r>
        <w:rPr>
          <w:rFonts w:hint="eastAsia"/>
          <w:szCs w:val="32"/>
        </w:rPr>
        <w:t>以</w:t>
      </w:r>
      <w:r>
        <w:rPr>
          <w:szCs w:val="32"/>
        </w:rPr>
        <w:t>提请国家安全机关或者公安机关配合开展</w:t>
      </w:r>
      <w:r>
        <w:rPr>
          <w:rFonts w:hint="eastAsia"/>
          <w:szCs w:val="32"/>
        </w:rPr>
        <w:t>安全保护工作</w:t>
      </w:r>
      <w:r>
        <w:rPr>
          <w:szCs w:val="32"/>
        </w:rPr>
        <w:t>。</w:t>
      </w:r>
    </w:p>
    <w:p>
      <w:pPr>
        <w:spacing w:line="600" w:lineRule="exact"/>
        <w:ind w:firstLine="645"/>
        <w:contextualSpacing/>
        <w:rPr>
          <w:rFonts w:ascii="仿宋_GB2312"/>
          <w:szCs w:val="32"/>
        </w:rPr>
      </w:pPr>
      <w:r>
        <w:rPr>
          <w:rFonts w:hint="eastAsia" w:ascii="仿宋_GB2312"/>
          <w:szCs w:val="32"/>
        </w:rPr>
        <w:t>国防科技工业管理部门应当</w:t>
      </w:r>
      <w:r>
        <w:rPr>
          <w:rFonts w:hint="eastAsia" w:ascii="仿宋_GB2312"/>
          <w:szCs w:val="32"/>
          <w:lang w:val="en-US" w:eastAsia="zh-CN"/>
        </w:rPr>
        <w:t>督促武器装备科研生产单位</w:t>
      </w:r>
      <w:r>
        <w:rPr>
          <w:rFonts w:hint="eastAsia" w:ascii="仿宋_GB2312"/>
          <w:szCs w:val="32"/>
        </w:rPr>
        <w:t>等涉军企</w:t>
      </w:r>
      <w:r>
        <w:rPr>
          <w:rFonts w:hint="eastAsia" w:ascii="仿宋_GB2312"/>
          <w:szCs w:val="32"/>
          <w:lang w:val="en-US" w:eastAsia="zh-CN"/>
        </w:rPr>
        <w:t>业</w:t>
      </w:r>
      <w:r>
        <w:rPr>
          <w:rFonts w:hint="eastAsia" w:ascii="仿宋_GB2312"/>
          <w:szCs w:val="32"/>
        </w:rPr>
        <w:t>事业组织采取反间谍安全防范措施。</w:t>
      </w:r>
    </w:p>
    <w:p>
      <w:pPr>
        <w:spacing w:line="600" w:lineRule="exact"/>
        <w:ind w:firstLine="645"/>
        <w:contextualSpacing/>
        <w:rPr>
          <w:rFonts w:ascii="黑体" w:hAnsi="黑体" w:eastAsia="黑体"/>
          <w:szCs w:val="32"/>
        </w:rPr>
      </w:pPr>
      <w:r>
        <w:rPr>
          <w:rFonts w:hint="eastAsia" w:ascii="黑体" w:hAnsi="黑体" w:eastAsia="黑体" w:cs="黑体"/>
        </w:rPr>
        <w:t xml:space="preserve">第二十二条 </w:t>
      </w:r>
      <w:r>
        <w:rPr>
          <w:rFonts w:hint="eastAsia"/>
        </w:rPr>
        <w:t>电信业务经营者、互联网服务提供者以及国家和省确定的其他关键信息基础设施的运营者，应当依照网络安全管理有关法律法规，设置专门安全管理机构和安全管理负责人，对该负责人和重要岗位人员进行安全背景审查，定期对从业人员进行反间谍安全防范教育，保障网络和信息核心技术、关键基础设施和重要领域信息系统及数据安全。</w:t>
      </w:r>
    </w:p>
    <w:p>
      <w:pPr>
        <w:spacing w:line="600" w:lineRule="exact"/>
        <w:ind w:firstLine="645"/>
        <w:contextualSpacing/>
        <w:rPr>
          <w:rFonts w:ascii="仿宋_GB2312"/>
          <w:szCs w:val="32"/>
        </w:rPr>
      </w:pPr>
      <w:r>
        <w:rPr>
          <w:rFonts w:hint="eastAsia" w:ascii="黑体" w:hAnsi="黑体" w:eastAsia="黑体" w:cs="黑体"/>
        </w:rPr>
        <w:t>第二十三条</w:t>
      </w:r>
      <w:r>
        <w:rPr>
          <w:rFonts w:hint="eastAsia" w:ascii="黑体" w:hAnsi="黑体" w:eastAsia="黑体"/>
          <w:szCs w:val="32"/>
        </w:rPr>
        <w:t xml:space="preserve"> </w:t>
      </w:r>
      <w:r>
        <w:rPr>
          <w:rFonts w:hint="eastAsia" w:ascii="仿宋_GB2312"/>
          <w:szCs w:val="32"/>
        </w:rPr>
        <w:t>居民委员会、村民委员会应当配合、协助国家安全机关开展反间谍安全防范工作，及时报告有关情况。</w:t>
      </w:r>
    </w:p>
    <w:p>
      <w:pPr>
        <w:spacing w:line="600" w:lineRule="exact"/>
        <w:ind w:firstLine="645"/>
        <w:contextualSpacing/>
        <w:rPr>
          <w:rFonts w:ascii="仿宋_GB2312"/>
          <w:szCs w:val="32"/>
        </w:rPr>
      </w:pPr>
      <w:r>
        <w:rPr>
          <w:rFonts w:hint="eastAsia" w:ascii="仿宋_GB2312"/>
          <w:szCs w:val="32"/>
        </w:rPr>
        <w:t>重点地区和重点单位周边的居民委员会、村民委员会应当确定一名负责人员，组织开展群众性反间谍安全防范工作。</w:t>
      </w:r>
    </w:p>
    <w:p>
      <w:pPr>
        <w:rPr>
          <w:rFonts w:ascii="仿宋_GB2312"/>
          <w:b/>
          <w:szCs w:val="32"/>
        </w:rPr>
      </w:pPr>
    </w:p>
    <w:p>
      <w:pPr>
        <w:spacing w:line="600" w:lineRule="exact"/>
        <w:contextualSpacing/>
        <w:jc w:val="center"/>
        <w:rPr>
          <w:rFonts w:ascii="黑体" w:hAnsi="黑体" w:eastAsia="黑体"/>
          <w:szCs w:val="32"/>
        </w:rPr>
      </w:pPr>
      <w:r>
        <w:rPr>
          <w:rFonts w:hint="eastAsia" w:ascii="黑体" w:hAnsi="黑体" w:eastAsia="黑体"/>
          <w:szCs w:val="32"/>
        </w:rPr>
        <w:t>第五章  宣传教育</w:t>
      </w:r>
    </w:p>
    <w:p>
      <w:pPr>
        <w:pStyle w:val="2"/>
        <w:ind w:left="640"/>
      </w:pPr>
    </w:p>
    <w:p>
      <w:pPr>
        <w:spacing w:line="580" w:lineRule="exact"/>
        <w:ind w:firstLine="640" w:firstLineChars="200"/>
        <w:contextualSpacing/>
        <w:rPr>
          <w:rFonts w:ascii="黑体" w:hAnsi="黑体" w:eastAsia="黑体"/>
          <w:szCs w:val="32"/>
        </w:rPr>
      </w:pPr>
      <w:r>
        <w:rPr>
          <w:rFonts w:hint="eastAsia" w:ascii="黑体" w:hAnsi="黑体" w:eastAsia="黑体"/>
          <w:szCs w:val="32"/>
        </w:rPr>
        <w:t>第二十</w:t>
      </w:r>
      <w:r>
        <w:rPr>
          <w:rFonts w:hint="eastAsia" w:ascii="黑体" w:hAnsi="黑体" w:eastAsia="黑体"/>
          <w:szCs w:val="32"/>
          <w:lang w:val="en-US" w:eastAsia="zh-CN"/>
        </w:rPr>
        <w:t>四</w:t>
      </w:r>
      <w:r>
        <w:rPr>
          <w:rFonts w:hint="eastAsia" w:ascii="黑体" w:hAnsi="黑体" w:eastAsia="黑体"/>
          <w:szCs w:val="32"/>
        </w:rPr>
        <w:t xml:space="preserve">条 </w:t>
      </w:r>
      <w:r>
        <w:rPr>
          <w:rFonts w:hint="eastAsia" w:ascii="仿宋_GB2312"/>
          <w:szCs w:val="32"/>
        </w:rPr>
        <w:t>每年4月15日全民国家安全教育日所在的周，为本省反间谍安全防范宣传教育周。</w:t>
      </w:r>
    </w:p>
    <w:p>
      <w:pPr>
        <w:spacing w:line="600" w:lineRule="exact"/>
        <w:ind w:firstLine="640" w:firstLineChars="200"/>
        <w:contextualSpacing/>
        <w:rPr>
          <w:rFonts w:ascii="仿宋_GB2312"/>
          <w:szCs w:val="32"/>
        </w:rPr>
      </w:pPr>
      <w:r>
        <w:rPr>
          <w:rFonts w:hint="eastAsia" w:ascii="黑体" w:hAnsi="黑体" w:eastAsia="黑体"/>
          <w:szCs w:val="32"/>
        </w:rPr>
        <w:t>第二十</w:t>
      </w:r>
      <w:r>
        <w:rPr>
          <w:rFonts w:hint="eastAsia" w:ascii="黑体" w:hAnsi="黑体" w:eastAsia="黑体"/>
          <w:szCs w:val="32"/>
          <w:lang w:val="en-US" w:eastAsia="zh-CN"/>
        </w:rPr>
        <w:t>五</w:t>
      </w:r>
      <w:r>
        <w:rPr>
          <w:rFonts w:hint="eastAsia" w:ascii="黑体" w:hAnsi="黑体" w:eastAsia="黑体"/>
          <w:szCs w:val="32"/>
        </w:rPr>
        <w:t>条</w:t>
      </w:r>
      <w:r>
        <w:rPr>
          <w:rFonts w:hint="eastAsia" w:ascii="仿宋_GB2312"/>
          <w:szCs w:val="32"/>
        </w:rPr>
        <w:t xml:space="preserve"> 国家安全机关应当编写、制作反间谍安全防范宣传册、宣传画、宣传片等，为机关、人民团体、企业事业组织、其他社会组织提供学习和宣传教育资料。</w:t>
      </w:r>
    </w:p>
    <w:p>
      <w:pPr>
        <w:spacing w:line="600" w:lineRule="exact"/>
        <w:ind w:firstLine="640" w:firstLineChars="200"/>
        <w:contextualSpacing/>
        <w:rPr>
          <w:rFonts w:ascii="仿宋_GB2312"/>
          <w:szCs w:val="32"/>
        </w:rPr>
      </w:pPr>
      <w:r>
        <w:rPr>
          <w:rFonts w:hint="eastAsia" w:ascii="仿宋_GB2312"/>
          <w:szCs w:val="32"/>
        </w:rPr>
        <w:t>国家安全机关应当运用网络、媒体平台、国家安全教育基地（馆）等，加强反间谍安全防范法律法规、防范常识的宣传教育；利用全民国家安全教育日和本省反间谍安全防范宣传教育周，广泛开展集中宣传。</w:t>
      </w:r>
    </w:p>
    <w:p>
      <w:pPr>
        <w:spacing w:line="600" w:lineRule="exact"/>
        <w:ind w:firstLine="640" w:firstLineChars="200"/>
        <w:contextualSpacing/>
        <w:rPr>
          <w:rFonts w:ascii="仿宋_GB2312"/>
          <w:szCs w:val="32"/>
        </w:rPr>
      </w:pPr>
      <w:r>
        <w:rPr>
          <w:rFonts w:hint="eastAsia" w:ascii="黑体" w:hAnsi="黑体" w:eastAsia="黑体"/>
          <w:szCs w:val="32"/>
        </w:rPr>
        <w:t>第二十</w:t>
      </w:r>
      <w:r>
        <w:rPr>
          <w:rFonts w:hint="eastAsia" w:ascii="黑体" w:hAnsi="黑体" w:eastAsia="黑体"/>
          <w:szCs w:val="32"/>
          <w:lang w:val="en-US" w:eastAsia="zh-CN"/>
        </w:rPr>
        <w:t>六</w:t>
      </w:r>
      <w:r>
        <w:rPr>
          <w:rFonts w:hint="eastAsia" w:ascii="黑体" w:hAnsi="黑体" w:eastAsia="黑体"/>
          <w:szCs w:val="32"/>
        </w:rPr>
        <w:t xml:space="preserve">条 </w:t>
      </w:r>
      <w:r>
        <w:rPr>
          <w:rFonts w:hint="eastAsia" w:ascii="仿宋_GB2312"/>
          <w:szCs w:val="32"/>
        </w:rPr>
        <w:t>重点企业事业组织以外的其他社会组织，应当对本单位人员定期开展有针对性的反间谍安全防范宣传教育。</w:t>
      </w:r>
    </w:p>
    <w:p>
      <w:pPr>
        <w:spacing w:line="600" w:lineRule="exact"/>
        <w:ind w:firstLine="640" w:firstLineChars="200"/>
        <w:contextualSpacing/>
        <w:rPr>
          <w:rFonts w:ascii="仿宋_GB2312"/>
          <w:szCs w:val="32"/>
        </w:rPr>
      </w:pPr>
      <w:r>
        <w:rPr>
          <w:rFonts w:hint="eastAsia" w:ascii="黑体" w:hAnsi="黑体" w:eastAsia="黑体"/>
          <w:szCs w:val="32"/>
        </w:rPr>
        <w:t>第二十</w:t>
      </w:r>
      <w:r>
        <w:rPr>
          <w:rFonts w:hint="eastAsia" w:ascii="黑体" w:hAnsi="黑体" w:eastAsia="黑体"/>
          <w:szCs w:val="32"/>
          <w:lang w:val="en-US" w:eastAsia="zh-CN"/>
        </w:rPr>
        <w:t>七</w:t>
      </w:r>
      <w:r>
        <w:rPr>
          <w:rFonts w:hint="eastAsia" w:ascii="黑体" w:hAnsi="黑体" w:eastAsia="黑体"/>
          <w:szCs w:val="32"/>
        </w:rPr>
        <w:t xml:space="preserve">条 </w:t>
      </w:r>
      <w:r>
        <w:rPr>
          <w:rFonts w:hint="eastAsia" w:ascii="仿宋_GB2312"/>
          <w:szCs w:val="32"/>
        </w:rPr>
        <w:t>反间谍安全防范重点单位对涉密涉外等重要岗位人员，应当每年至少进行一次反间谍安全防范培训。培训内容应当包括：</w:t>
      </w:r>
    </w:p>
    <w:p>
      <w:pPr>
        <w:spacing w:line="600" w:lineRule="exact"/>
        <w:contextualSpacing/>
        <w:rPr>
          <w:rFonts w:ascii="仿宋_GB2312"/>
          <w:szCs w:val="32"/>
        </w:rPr>
      </w:pPr>
      <w:r>
        <w:rPr>
          <w:rFonts w:hint="eastAsia" w:ascii="仿宋_GB2312"/>
          <w:szCs w:val="32"/>
        </w:rPr>
        <w:t xml:space="preserve">    （一）反间谍安全防范法律法规、制度规定；</w:t>
      </w:r>
    </w:p>
    <w:p>
      <w:pPr>
        <w:spacing w:line="600" w:lineRule="exact"/>
        <w:ind w:firstLine="640"/>
        <w:contextualSpacing/>
        <w:rPr>
          <w:rFonts w:ascii="仿宋_GB2312"/>
          <w:szCs w:val="32"/>
        </w:rPr>
      </w:pPr>
      <w:r>
        <w:rPr>
          <w:rFonts w:hint="eastAsia" w:ascii="仿宋_GB2312"/>
          <w:szCs w:val="32"/>
        </w:rPr>
        <w:t>（二）本单位、本岗位面临的间谍行为风险和防范措施；</w:t>
      </w:r>
    </w:p>
    <w:p>
      <w:pPr>
        <w:spacing w:line="600" w:lineRule="exact"/>
        <w:ind w:firstLine="640"/>
        <w:contextualSpacing/>
        <w:rPr>
          <w:rFonts w:ascii="仿宋_GB2312"/>
          <w:szCs w:val="32"/>
        </w:rPr>
      </w:pPr>
      <w:r>
        <w:rPr>
          <w:rFonts w:hint="eastAsia" w:ascii="仿宋_GB2312"/>
          <w:szCs w:val="32"/>
        </w:rPr>
        <w:t>（三）反间谍安全防范知识；</w:t>
      </w:r>
    </w:p>
    <w:p>
      <w:pPr>
        <w:spacing w:line="600" w:lineRule="exact"/>
        <w:ind w:firstLine="645"/>
        <w:contextualSpacing/>
        <w:rPr>
          <w:rFonts w:ascii="仿宋_GB2312"/>
          <w:szCs w:val="32"/>
        </w:rPr>
      </w:pPr>
      <w:r>
        <w:rPr>
          <w:rFonts w:hint="eastAsia" w:ascii="仿宋_GB2312"/>
          <w:szCs w:val="32"/>
        </w:rPr>
        <w:t>（四）反间谍安全防范警示教育。</w:t>
      </w:r>
    </w:p>
    <w:p>
      <w:pPr>
        <w:spacing w:line="600" w:lineRule="exact"/>
        <w:ind w:firstLine="640" w:firstLineChars="200"/>
        <w:contextualSpacing/>
        <w:rPr>
          <w:rFonts w:hint="eastAsia" w:ascii="仿宋_GB2312"/>
          <w:szCs w:val="32"/>
          <w:shd w:val="pct10" w:color="auto" w:fill="FFFFFF"/>
        </w:rPr>
      </w:pPr>
      <w:r>
        <w:rPr>
          <w:rFonts w:hint="eastAsia" w:ascii="黑体" w:hAnsi="黑体" w:eastAsia="黑体"/>
          <w:szCs w:val="32"/>
        </w:rPr>
        <w:t>第二十</w:t>
      </w:r>
      <w:r>
        <w:rPr>
          <w:rFonts w:hint="eastAsia" w:ascii="黑体" w:hAnsi="黑体" w:eastAsia="黑体"/>
          <w:szCs w:val="32"/>
          <w:lang w:val="en-US" w:eastAsia="zh-CN"/>
        </w:rPr>
        <w:t>八</w:t>
      </w:r>
      <w:r>
        <w:rPr>
          <w:rFonts w:hint="eastAsia" w:ascii="黑体" w:hAnsi="黑体" w:eastAsia="黑体"/>
          <w:szCs w:val="32"/>
        </w:rPr>
        <w:t xml:space="preserve">条 </w:t>
      </w:r>
      <w:r>
        <w:rPr>
          <w:rFonts w:hint="eastAsia" w:ascii="仿宋_GB2312"/>
          <w:szCs w:val="32"/>
        </w:rPr>
        <w:t>教育行政部门应当组织高等院校和中小学校开展反间谍安全防范教育，</w:t>
      </w:r>
      <w:r>
        <w:rPr>
          <w:rFonts w:hint="eastAsia" w:ascii="仿宋_GB2312"/>
          <w:szCs w:val="32"/>
          <w:lang w:val="en-US" w:eastAsia="zh-CN"/>
        </w:rPr>
        <w:t>并</w:t>
      </w:r>
      <w:r>
        <w:rPr>
          <w:rFonts w:hint="eastAsia" w:ascii="仿宋_GB2312"/>
          <w:szCs w:val="32"/>
        </w:rPr>
        <w:t>检查其落实情况。</w:t>
      </w:r>
    </w:p>
    <w:p>
      <w:pPr>
        <w:pStyle w:val="2"/>
        <w:ind w:left="0" w:leftChars="0" w:firstLine="640" w:firstLineChars="200"/>
        <w:rPr>
          <w:rFonts w:hint="eastAsia"/>
        </w:rPr>
      </w:pPr>
      <w:r>
        <w:rPr>
          <w:rFonts w:hint="eastAsia"/>
        </w:rPr>
        <w:t>党校（行政学院）应当对教师和学员开展反间谍安全防范教育。</w:t>
      </w:r>
    </w:p>
    <w:p>
      <w:pPr>
        <w:ind w:firstLine="645"/>
        <w:rPr>
          <w:rFonts w:hint="eastAsia"/>
        </w:rPr>
      </w:pPr>
      <w:r>
        <w:rPr>
          <w:rFonts w:hint="eastAsia"/>
        </w:rPr>
        <w:t>高等院校和中小学</w:t>
      </w:r>
      <w:r>
        <w:rPr>
          <w:rFonts w:hint="eastAsia"/>
          <w:lang w:val="en-US" w:eastAsia="zh-CN"/>
        </w:rPr>
        <w:t>校</w:t>
      </w:r>
      <w:r>
        <w:rPr>
          <w:rFonts w:hint="eastAsia"/>
        </w:rPr>
        <w:t>应当对教师开展反间谍安全防范教育。</w:t>
      </w:r>
    </w:p>
    <w:p>
      <w:pPr>
        <w:spacing w:line="600" w:lineRule="exact"/>
        <w:ind w:firstLine="640" w:firstLineChars="200"/>
        <w:contextualSpacing/>
        <w:rPr>
          <w:rFonts w:hint="eastAsia"/>
        </w:rPr>
      </w:pPr>
      <w:r>
        <w:rPr>
          <w:rFonts w:hint="eastAsia"/>
        </w:rPr>
        <w:t>小学应当教育学生了解国家安全基本常识，增强爱国主义情感；中学应当教育学生掌握国家安全基础知识，增强国家安全意识；</w:t>
      </w:r>
      <w:r>
        <w:rPr>
          <w:rFonts w:hint="eastAsia"/>
          <w:lang w:val="en-US" w:eastAsia="zh-CN"/>
        </w:rPr>
        <w:t>高等院校</w:t>
      </w:r>
      <w:r>
        <w:rPr>
          <w:rFonts w:hint="eastAsia"/>
        </w:rPr>
        <w:t>应当对学生进行国家安全系统化学习训练，增强维护国家安全的责任感和能力。</w:t>
      </w:r>
    </w:p>
    <w:p>
      <w:pPr>
        <w:pStyle w:val="2"/>
        <w:ind w:left="0" w:leftChars="0" w:firstLine="640" w:firstLineChars="200"/>
      </w:pPr>
      <w:r>
        <w:rPr>
          <w:rFonts w:hint="eastAsia"/>
        </w:rPr>
        <w:t>对出国（境）学习、交流的教师、学生或者学员，党校（行政学院）、高等院校和中小学</w:t>
      </w:r>
      <w:r>
        <w:rPr>
          <w:rFonts w:hint="eastAsia"/>
          <w:lang w:val="en-US" w:eastAsia="zh-CN"/>
        </w:rPr>
        <w:t>校</w:t>
      </w:r>
      <w:r>
        <w:rPr>
          <w:rFonts w:hint="eastAsia"/>
        </w:rPr>
        <w:t>应当开展反间谍安全防范行前教育。</w:t>
      </w:r>
    </w:p>
    <w:p>
      <w:pPr>
        <w:spacing w:line="600" w:lineRule="exact"/>
        <w:ind w:firstLine="640" w:firstLineChars="200"/>
        <w:contextualSpacing/>
        <w:rPr>
          <w:rFonts w:ascii="仿宋_GB2312"/>
          <w:szCs w:val="32"/>
        </w:rPr>
      </w:pPr>
      <w:r>
        <w:rPr>
          <w:rFonts w:hint="eastAsia" w:ascii="黑体" w:hAnsi="黑体" w:eastAsia="黑体"/>
          <w:szCs w:val="32"/>
        </w:rPr>
        <w:t>第</w:t>
      </w:r>
      <w:r>
        <w:rPr>
          <w:rFonts w:hint="eastAsia" w:ascii="黑体" w:hAnsi="黑体" w:eastAsia="黑体"/>
          <w:szCs w:val="32"/>
          <w:lang w:val="en-US" w:eastAsia="zh-CN"/>
        </w:rPr>
        <w:t>二十九</w:t>
      </w:r>
      <w:r>
        <w:rPr>
          <w:rFonts w:hint="eastAsia" w:ascii="黑体" w:hAnsi="黑体" w:eastAsia="黑体"/>
          <w:szCs w:val="32"/>
        </w:rPr>
        <w:t xml:space="preserve">条 </w:t>
      </w:r>
      <w:r>
        <w:rPr>
          <w:rFonts w:hint="eastAsia" w:ascii="仿宋_GB2312"/>
          <w:szCs w:val="32"/>
        </w:rPr>
        <w:t>人力资源和社会保障部门应当将反间谍安全防范法律法规和知识纳入专业技术人员继续教育培训的内容。</w:t>
      </w:r>
    </w:p>
    <w:p>
      <w:pPr>
        <w:spacing w:line="600" w:lineRule="exact"/>
        <w:ind w:firstLine="640" w:firstLineChars="200"/>
        <w:contextualSpacing/>
        <w:rPr>
          <w:rFonts w:ascii="仿宋_GB2312"/>
          <w:szCs w:val="32"/>
        </w:rPr>
      </w:pPr>
      <w:r>
        <w:rPr>
          <w:rFonts w:hint="eastAsia" w:ascii="黑体" w:hAnsi="黑体" w:eastAsia="黑体"/>
          <w:szCs w:val="32"/>
        </w:rPr>
        <w:t xml:space="preserve">第三十条 </w:t>
      </w:r>
      <w:r>
        <w:rPr>
          <w:rFonts w:hint="eastAsia" w:ascii="仿宋_GB2312"/>
          <w:szCs w:val="32"/>
        </w:rPr>
        <w:t>司法行政部门应当将反间谍安全防范法律法规和知识纳入法治宣传教育总体规划和年度计划，推动反间谍安全防范</w:t>
      </w:r>
      <w:r>
        <w:rPr>
          <w:rFonts w:hint="eastAsia" w:ascii="仿宋_GB2312"/>
          <w:szCs w:val="32"/>
          <w:lang w:val="en-US" w:eastAsia="zh-CN"/>
        </w:rPr>
        <w:t>等法律法规宣传</w:t>
      </w:r>
      <w:r>
        <w:rPr>
          <w:rFonts w:hint="eastAsia" w:ascii="仿宋_GB2312"/>
          <w:szCs w:val="32"/>
        </w:rPr>
        <w:t>工作进机关、进学校、进企业、进乡村、进社区、进家庭。</w:t>
      </w:r>
    </w:p>
    <w:p>
      <w:pPr>
        <w:spacing w:line="600" w:lineRule="exact"/>
        <w:ind w:firstLine="640" w:firstLineChars="200"/>
        <w:contextualSpacing/>
        <w:rPr>
          <w:rFonts w:ascii="仿宋_GB2312"/>
          <w:szCs w:val="32"/>
        </w:rPr>
      </w:pPr>
      <w:r>
        <w:rPr>
          <w:rFonts w:hint="eastAsia" w:ascii="黑体" w:hAnsi="黑体" w:eastAsia="黑体"/>
          <w:szCs w:val="32"/>
        </w:rPr>
        <w:t>第三十</w:t>
      </w:r>
      <w:r>
        <w:rPr>
          <w:rFonts w:hint="eastAsia" w:ascii="黑体" w:hAnsi="黑体" w:eastAsia="黑体"/>
          <w:szCs w:val="32"/>
          <w:lang w:val="en-US" w:eastAsia="zh-CN"/>
        </w:rPr>
        <w:t>一</w:t>
      </w:r>
      <w:r>
        <w:rPr>
          <w:rFonts w:hint="eastAsia" w:ascii="黑体" w:hAnsi="黑体" w:eastAsia="黑体"/>
          <w:szCs w:val="32"/>
        </w:rPr>
        <w:t xml:space="preserve">条 </w:t>
      </w:r>
      <w:r>
        <w:rPr>
          <w:rFonts w:hint="eastAsia" w:ascii="仿宋_GB2312"/>
          <w:szCs w:val="32"/>
        </w:rPr>
        <w:t>外事、商务、边防、体育、文化和旅游等部门，对参加涉外活动和出国（境）的团组和人员，应当开展反间谍安全防范宣传教育活动。</w:t>
      </w:r>
    </w:p>
    <w:p>
      <w:pPr>
        <w:spacing w:line="600" w:lineRule="exact"/>
        <w:ind w:firstLine="640" w:firstLineChars="200"/>
        <w:contextualSpacing/>
        <w:rPr>
          <w:rFonts w:ascii="仿宋_GB2312"/>
          <w:szCs w:val="32"/>
        </w:rPr>
      </w:pPr>
      <w:r>
        <w:rPr>
          <w:rFonts w:hint="eastAsia" w:ascii="黑体" w:hAnsi="黑体" w:eastAsia="黑体"/>
          <w:szCs w:val="32"/>
        </w:rPr>
        <w:t>第三十</w:t>
      </w:r>
      <w:r>
        <w:rPr>
          <w:rFonts w:hint="eastAsia" w:ascii="黑体" w:hAnsi="黑体" w:eastAsia="黑体"/>
          <w:szCs w:val="32"/>
          <w:lang w:val="en-US" w:eastAsia="zh-CN"/>
        </w:rPr>
        <w:t>二</w:t>
      </w:r>
      <w:r>
        <w:rPr>
          <w:rFonts w:hint="eastAsia" w:ascii="黑体" w:hAnsi="黑体" w:eastAsia="黑体"/>
          <w:szCs w:val="32"/>
        </w:rPr>
        <w:t xml:space="preserve">条 </w:t>
      </w:r>
      <w:r>
        <w:rPr>
          <w:rFonts w:hint="eastAsia" w:ascii="仿宋_GB2312"/>
          <w:szCs w:val="32"/>
        </w:rPr>
        <w:t>工会、共青团、妇联、行业协会等组织，应当结合各自工作对象特点，开展反间谍安全防范宣传教育活动。</w:t>
      </w:r>
    </w:p>
    <w:p>
      <w:pPr>
        <w:spacing w:line="600" w:lineRule="exact"/>
        <w:ind w:firstLine="640" w:firstLineChars="200"/>
        <w:contextualSpacing/>
        <w:rPr>
          <w:rFonts w:ascii="仿宋_GB2312"/>
          <w:bCs/>
          <w:szCs w:val="32"/>
        </w:rPr>
      </w:pPr>
      <w:r>
        <w:rPr>
          <w:rFonts w:hint="eastAsia" w:ascii="黑体" w:hAnsi="黑体" w:eastAsia="黑体"/>
          <w:szCs w:val="32"/>
        </w:rPr>
        <w:t>第三十</w:t>
      </w:r>
      <w:r>
        <w:rPr>
          <w:rFonts w:hint="eastAsia" w:ascii="黑体" w:hAnsi="黑体" w:eastAsia="黑体"/>
          <w:szCs w:val="32"/>
          <w:lang w:val="en-US" w:eastAsia="zh-CN"/>
        </w:rPr>
        <w:t>三</w:t>
      </w:r>
      <w:r>
        <w:rPr>
          <w:rFonts w:hint="eastAsia" w:ascii="黑体" w:hAnsi="黑体" w:eastAsia="黑体"/>
          <w:szCs w:val="32"/>
        </w:rPr>
        <w:t xml:space="preserve">条 </w:t>
      </w:r>
      <w:r>
        <w:rPr>
          <w:rFonts w:hint="eastAsia" w:ascii="仿宋_GB2312"/>
          <w:bCs/>
          <w:szCs w:val="32"/>
        </w:rPr>
        <w:t>新闻出版、广播电视主管部门，应当推动新闻媒体开展反间谍安全防范的公益宣传，普及反间谍安全防范知识，及时刊播国家安全机关提供的反间谍安全防范公益广告，为反间谍安全防范进行义务宣传。</w:t>
      </w:r>
    </w:p>
    <w:p>
      <w:pPr>
        <w:rPr>
          <w:rFonts w:ascii="仿宋_GB2312"/>
          <w:szCs w:val="32"/>
        </w:rPr>
      </w:pPr>
    </w:p>
    <w:p>
      <w:pPr>
        <w:spacing w:line="600" w:lineRule="exact"/>
        <w:contextualSpacing/>
        <w:jc w:val="center"/>
        <w:rPr>
          <w:rFonts w:ascii="黑体" w:hAnsi="黑体" w:eastAsia="黑体"/>
          <w:szCs w:val="32"/>
        </w:rPr>
      </w:pPr>
      <w:r>
        <w:rPr>
          <w:rFonts w:hint="eastAsia" w:ascii="黑体" w:hAnsi="黑体" w:eastAsia="黑体"/>
          <w:szCs w:val="32"/>
        </w:rPr>
        <w:t>第六章  保障和表彰奖励</w:t>
      </w:r>
    </w:p>
    <w:p>
      <w:pPr>
        <w:pStyle w:val="2"/>
        <w:ind w:left="640"/>
      </w:pPr>
    </w:p>
    <w:p>
      <w:pPr>
        <w:spacing w:line="600" w:lineRule="exact"/>
        <w:ind w:firstLine="640"/>
        <w:contextualSpacing/>
        <w:jc w:val="left"/>
        <w:rPr>
          <w:rFonts w:ascii="仿宋_GB2312"/>
          <w:bCs/>
          <w:szCs w:val="32"/>
        </w:rPr>
      </w:pPr>
      <w:r>
        <w:rPr>
          <w:rFonts w:hint="eastAsia" w:ascii="黑体" w:hAnsi="黑体" w:eastAsia="黑体"/>
          <w:szCs w:val="32"/>
        </w:rPr>
        <w:t>第三十</w:t>
      </w:r>
      <w:r>
        <w:rPr>
          <w:rFonts w:hint="eastAsia" w:ascii="黑体" w:hAnsi="黑体" w:eastAsia="黑体"/>
          <w:szCs w:val="32"/>
          <w:lang w:val="en-US" w:eastAsia="zh-CN"/>
        </w:rPr>
        <w:t>四</w:t>
      </w:r>
      <w:r>
        <w:rPr>
          <w:rFonts w:hint="eastAsia" w:ascii="黑体" w:hAnsi="黑体" w:eastAsia="黑体"/>
          <w:szCs w:val="32"/>
        </w:rPr>
        <w:t xml:space="preserve">条 </w:t>
      </w:r>
      <w:r>
        <w:rPr>
          <w:rFonts w:hint="eastAsia" w:ascii="仿宋_GB2312"/>
          <w:bCs/>
          <w:szCs w:val="32"/>
        </w:rPr>
        <w:t>县级以上人民政府应当开展反间谍安全防范工作，对人民防线组织建设、开展宣传教育、配备设施设备、表彰、奖励等工作</w:t>
      </w:r>
      <w:r>
        <w:rPr>
          <w:rFonts w:hint="eastAsia" w:ascii="仿宋_GB2312"/>
          <w:bCs/>
          <w:szCs w:val="32"/>
          <w:lang w:val="en-US" w:eastAsia="zh-CN"/>
        </w:rPr>
        <w:t>纳入同级政府部门预算统筹</w:t>
      </w:r>
      <w:r>
        <w:rPr>
          <w:rFonts w:hint="eastAsia" w:ascii="仿宋_GB2312"/>
          <w:bCs/>
          <w:szCs w:val="32"/>
        </w:rPr>
        <w:t>保障。</w:t>
      </w:r>
    </w:p>
    <w:p>
      <w:pPr>
        <w:spacing w:line="600" w:lineRule="exact"/>
        <w:ind w:firstLine="640"/>
        <w:contextualSpacing/>
        <w:jc w:val="left"/>
      </w:pPr>
      <w:r>
        <w:rPr>
          <w:rFonts w:hint="eastAsia" w:ascii="黑体" w:hAnsi="黑体" w:eastAsia="黑体"/>
          <w:szCs w:val="32"/>
        </w:rPr>
        <w:t>第三十</w:t>
      </w:r>
      <w:r>
        <w:rPr>
          <w:rFonts w:hint="eastAsia" w:ascii="黑体" w:hAnsi="黑体" w:eastAsia="黑体"/>
          <w:szCs w:val="32"/>
          <w:lang w:val="en-US" w:eastAsia="zh-CN"/>
        </w:rPr>
        <w:t>五</w:t>
      </w:r>
      <w:r>
        <w:rPr>
          <w:rFonts w:hint="eastAsia" w:ascii="黑体" w:hAnsi="黑体" w:eastAsia="黑体"/>
          <w:szCs w:val="32"/>
        </w:rPr>
        <w:t xml:space="preserve">条 </w:t>
      </w:r>
      <w:r>
        <w:rPr>
          <w:rFonts w:hint="eastAsia" w:ascii="仿宋_GB2312"/>
          <w:szCs w:val="32"/>
        </w:rPr>
        <w:t>机关、人民团体、重点企业事业组织，应当对本单位反间谍安全防范的宣传教育、配备设施设备等给予保障。</w:t>
      </w:r>
    </w:p>
    <w:p>
      <w:pPr>
        <w:pStyle w:val="2"/>
        <w:ind w:left="0" w:leftChars="0" w:firstLine="640"/>
      </w:pPr>
      <w:r>
        <w:rPr>
          <w:rFonts w:hint="eastAsia" w:ascii="黑体" w:hAnsi="黑体" w:eastAsia="黑体"/>
          <w:szCs w:val="32"/>
        </w:rPr>
        <w:t>第三十</w:t>
      </w:r>
      <w:r>
        <w:rPr>
          <w:rFonts w:hint="eastAsia" w:ascii="黑体" w:hAnsi="黑体" w:eastAsia="黑体"/>
          <w:szCs w:val="32"/>
          <w:lang w:val="en-US" w:eastAsia="zh-CN"/>
        </w:rPr>
        <w:t>六</w:t>
      </w:r>
      <w:r>
        <w:rPr>
          <w:rFonts w:hint="eastAsia" w:ascii="黑体" w:hAnsi="黑体" w:eastAsia="黑体"/>
          <w:szCs w:val="32"/>
        </w:rPr>
        <w:t xml:space="preserve">条 </w:t>
      </w:r>
      <w:r>
        <w:rPr>
          <w:rFonts w:hint="eastAsia"/>
        </w:rPr>
        <w:t>国家安全机关和其他有关机关应当严格为举报人保密，保护举报人的人身财产安全。未经举报人同意，不得以任何方式公开或者泄露其个人信息及举报情况。</w:t>
      </w:r>
    </w:p>
    <w:p>
      <w:pPr>
        <w:pStyle w:val="2"/>
        <w:ind w:left="0" w:leftChars="0" w:firstLine="640"/>
      </w:pPr>
      <w:r>
        <w:rPr>
          <w:rFonts w:hint="eastAsia"/>
        </w:rPr>
        <w:t>因举报间谍行为等线索，本人或者其近亲属人身安全面临危险、向国家安全机关请求予以保护的，国家安全机关应当依法采取保护措施；造成财产损失的，按照国家有关规定给予补偿；导致举报人伤残或者死亡的，应当按照相关规定给予优抚。</w:t>
      </w:r>
    </w:p>
    <w:p>
      <w:pPr>
        <w:spacing w:line="600" w:lineRule="exact"/>
        <w:ind w:firstLine="640"/>
        <w:contextualSpacing/>
        <w:jc w:val="left"/>
        <w:rPr>
          <w:rFonts w:ascii="仿宋_GB2312"/>
          <w:szCs w:val="32"/>
        </w:rPr>
      </w:pPr>
      <w:r>
        <w:rPr>
          <w:rFonts w:hint="eastAsia" w:ascii="黑体" w:hAnsi="黑体" w:eastAsia="黑体"/>
          <w:szCs w:val="32"/>
        </w:rPr>
        <w:t>第三十</w:t>
      </w:r>
      <w:r>
        <w:rPr>
          <w:rFonts w:hint="eastAsia" w:ascii="黑体" w:hAnsi="黑体" w:eastAsia="黑体"/>
          <w:szCs w:val="32"/>
          <w:lang w:val="en-US" w:eastAsia="zh-CN"/>
        </w:rPr>
        <w:t>七</w:t>
      </w:r>
      <w:r>
        <w:rPr>
          <w:rFonts w:hint="eastAsia" w:ascii="黑体" w:hAnsi="黑体" w:eastAsia="黑体"/>
          <w:szCs w:val="32"/>
        </w:rPr>
        <w:t xml:space="preserve">条 </w:t>
      </w:r>
      <w:r>
        <w:rPr>
          <w:rFonts w:hint="eastAsia" w:ascii="仿宋_GB2312"/>
          <w:szCs w:val="32"/>
        </w:rPr>
        <w:t>县级以上人民政府对提供反间谍安全防范重要情况或者线索，防范、消除重大隐患，避免重大损失，在国家安全领域有重大科技创新等作出显著成绩的单位和个人，应当给予表彰。</w:t>
      </w:r>
    </w:p>
    <w:p>
      <w:pPr>
        <w:spacing w:line="600" w:lineRule="exact"/>
        <w:ind w:firstLine="640"/>
        <w:contextualSpacing/>
        <w:jc w:val="left"/>
        <w:rPr>
          <w:rFonts w:ascii="仿宋_GB2312"/>
          <w:szCs w:val="32"/>
          <w:shd w:val="clear" w:color="FFFFFF" w:fill="D9D9D9"/>
        </w:rPr>
      </w:pPr>
      <w:r>
        <w:rPr>
          <w:rFonts w:hint="eastAsia" w:ascii="黑体" w:hAnsi="黑体" w:eastAsia="黑体"/>
          <w:szCs w:val="32"/>
        </w:rPr>
        <w:t>第三十</w:t>
      </w:r>
      <w:r>
        <w:rPr>
          <w:rFonts w:hint="eastAsia" w:ascii="黑体" w:hAnsi="黑体" w:eastAsia="黑体"/>
          <w:szCs w:val="32"/>
          <w:lang w:val="en-US" w:eastAsia="zh-CN"/>
        </w:rPr>
        <w:t>八</w:t>
      </w:r>
      <w:r>
        <w:rPr>
          <w:rFonts w:hint="eastAsia" w:ascii="黑体" w:hAnsi="黑体" w:eastAsia="黑体"/>
          <w:szCs w:val="32"/>
        </w:rPr>
        <w:t xml:space="preserve">条 </w:t>
      </w:r>
      <w:r>
        <w:rPr>
          <w:rFonts w:hint="eastAsia" w:ascii="仿宋_GB2312"/>
          <w:szCs w:val="32"/>
        </w:rPr>
        <w:t>国家安全机关</w:t>
      </w:r>
      <w:r>
        <w:rPr>
          <w:rFonts w:hint="eastAsia" w:ascii="仿宋_GB2312"/>
          <w:szCs w:val="32"/>
          <w:lang w:val="en-US" w:eastAsia="zh-CN"/>
        </w:rPr>
        <w:t>对</w:t>
      </w:r>
      <w:r>
        <w:rPr>
          <w:rFonts w:hint="eastAsia" w:ascii="仿宋_GB2312"/>
          <w:szCs w:val="32"/>
        </w:rPr>
        <w:t>在反间谍安全防范工作中做出贡献的</w:t>
      </w:r>
      <w:r>
        <w:rPr>
          <w:rFonts w:hint="eastAsia" w:ascii="仿宋_GB2312"/>
          <w:szCs w:val="32"/>
          <w:lang w:val="en-US" w:eastAsia="zh-CN"/>
        </w:rPr>
        <w:t>单位和</w:t>
      </w:r>
      <w:r>
        <w:rPr>
          <w:rFonts w:hint="eastAsia" w:ascii="仿宋_GB2312"/>
          <w:szCs w:val="32"/>
        </w:rPr>
        <w:t>个人，应当给予奖励</w:t>
      </w:r>
      <w:r>
        <w:rPr>
          <w:rFonts w:hint="eastAsia" w:ascii="仿宋_GB2312"/>
          <w:szCs w:val="32"/>
          <w:lang w:eastAsia="zh-CN"/>
        </w:rPr>
        <w:t>，</w:t>
      </w:r>
      <w:r>
        <w:rPr>
          <w:rFonts w:hint="eastAsia"/>
        </w:rPr>
        <w:t>具体</w:t>
      </w:r>
      <w:r>
        <w:rPr>
          <w:rFonts w:hint="eastAsia"/>
          <w:lang w:val="en-US" w:eastAsia="zh-CN"/>
        </w:rPr>
        <w:t>奖励</w:t>
      </w:r>
      <w:r>
        <w:rPr>
          <w:rFonts w:hint="eastAsia"/>
        </w:rPr>
        <w:t>办法由</w:t>
      </w:r>
      <w:r>
        <w:rPr>
          <w:rFonts w:hint="eastAsia"/>
          <w:lang w:val="en-US" w:eastAsia="zh-CN"/>
        </w:rPr>
        <w:t>省级国家安全机关制定。</w:t>
      </w:r>
    </w:p>
    <w:p>
      <w:pPr>
        <w:spacing w:line="600" w:lineRule="exact"/>
        <w:contextualSpacing/>
        <w:jc w:val="center"/>
        <w:rPr>
          <w:rFonts w:ascii="黑体" w:hAnsi="黑体" w:eastAsia="黑体"/>
          <w:szCs w:val="32"/>
        </w:rPr>
      </w:pPr>
    </w:p>
    <w:p>
      <w:pPr>
        <w:spacing w:line="600" w:lineRule="exact"/>
        <w:contextualSpacing/>
        <w:jc w:val="center"/>
        <w:rPr>
          <w:rFonts w:hint="eastAsia" w:ascii="黑体" w:hAnsi="黑体" w:eastAsia="黑体"/>
          <w:szCs w:val="32"/>
        </w:rPr>
      </w:pPr>
      <w:r>
        <w:rPr>
          <w:rFonts w:hint="eastAsia" w:ascii="黑体" w:hAnsi="黑体" w:eastAsia="黑体"/>
          <w:szCs w:val="32"/>
        </w:rPr>
        <w:t>第七章  法律责任</w:t>
      </w:r>
    </w:p>
    <w:p>
      <w:pPr>
        <w:pStyle w:val="2"/>
        <w:ind w:left="640"/>
      </w:pPr>
    </w:p>
    <w:p>
      <w:pPr>
        <w:pStyle w:val="2"/>
        <w:ind w:left="0" w:leftChars="0" w:firstLine="640" w:firstLineChars="200"/>
      </w:pPr>
      <w:r>
        <w:rPr>
          <w:rFonts w:hint="eastAsia" w:ascii="黑体" w:hAnsi="黑体" w:eastAsia="黑体"/>
          <w:szCs w:val="32"/>
        </w:rPr>
        <w:t>第</w:t>
      </w:r>
      <w:r>
        <w:rPr>
          <w:rFonts w:hint="eastAsia" w:ascii="黑体" w:hAnsi="黑体" w:eastAsia="黑体"/>
          <w:szCs w:val="32"/>
          <w:lang w:val="en-US" w:eastAsia="zh-CN"/>
        </w:rPr>
        <w:t>三十九</w:t>
      </w:r>
      <w:r>
        <w:rPr>
          <w:rFonts w:hint="eastAsia" w:ascii="黑体" w:hAnsi="黑体" w:eastAsia="黑体"/>
          <w:szCs w:val="32"/>
        </w:rPr>
        <w:t xml:space="preserve">条 </w:t>
      </w:r>
      <w:r>
        <w:rPr>
          <w:rFonts w:hint="eastAsia" w:ascii="仿宋_GB2312"/>
          <w:szCs w:val="32"/>
        </w:rPr>
        <w:t>在境外受胁迫或者受诱骗参加敌对组织、间谍组织，从事危害中华人民共和国国家安全的活动，及时向中华人民共和国驻外机构如实说明情况，或者入境后直接或者通过所在单位及时向国家安全机关、公安机关如实说明情况，并有悔改表</w:t>
      </w:r>
      <w:r>
        <w:rPr>
          <w:rFonts w:hint="eastAsia" w:ascii="仿宋_GB2312"/>
          <w:szCs w:val="32"/>
          <w:lang w:val="en-US" w:eastAsia="zh-CN"/>
        </w:rPr>
        <w:t>现</w:t>
      </w:r>
      <w:r>
        <w:rPr>
          <w:rFonts w:hint="eastAsia" w:ascii="仿宋_GB2312"/>
          <w:szCs w:val="32"/>
        </w:rPr>
        <w:t>，具有法律规定</w:t>
      </w:r>
      <w:r>
        <w:rPr>
          <w:rFonts w:hint="eastAsia" w:ascii="仿宋_GB2312"/>
          <w:szCs w:val="32"/>
          <w:lang w:val="en-US" w:eastAsia="zh-CN"/>
        </w:rPr>
        <w:t>的</w:t>
      </w:r>
      <w:r>
        <w:rPr>
          <w:rFonts w:hint="eastAsia" w:ascii="仿宋_GB2312"/>
          <w:szCs w:val="32"/>
        </w:rPr>
        <w:t>从轻、减轻或者免除处罚情形的，国家安全机关可以提出从轻、减轻或者免除处罚的建议。</w:t>
      </w:r>
    </w:p>
    <w:p>
      <w:pPr>
        <w:spacing w:line="600" w:lineRule="exact"/>
        <w:ind w:firstLine="640" w:firstLineChars="200"/>
        <w:contextualSpacing/>
        <w:rPr>
          <w:rFonts w:ascii="仿宋_GB2312"/>
          <w:szCs w:val="32"/>
        </w:rPr>
      </w:pPr>
      <w:r>
        <w:rPr>
          <w:rFonts w:hint="eastAsia" w:ascii="黑体" w:hAnsi="黑体" w:eastAsia="黑体"/>
          <w:szCs w:val="32"/>
          <w:lang w:val="en-US" w:eastAsia="zh-CN"/>
        </w:rPr>
        <w:t>第四十条</w:t>
      </w:r>
      <w:r>
        <w:rPr>
          <w:rFonts w:hint="eastAsia" w:ascii="黑体" w:hAnsi="黑体" w:eastAsia="黑体"/>
          <w:szCs w:val="32"/>
        </w:rPr>
        <w:t xml:space="preserve"> </w:t>
      </w:r>
      <w:r>
        <w:rPr>
          <w:rFonts w:hint="eastAsia" w:ascii="仿宋_GB2312"/>
          <w:szCs w:val="32"/>
          <w:shd w:val="clear" w:color="auto" w:fill="auto"/>
        </w:rPr>
        <w:t>违反本条例规定，</w:t>
      </w:r>
      <w:r>
        <w:rPr>
          <w:rFonts w:hint="eastAsia" w:ascii="仿宋_GB2312"/>
          <w:szCs w:val="32"/>
        </w:rPr>
        <w:t>有下列情形之一的，由国家安全机关责令限期改正；逾期未改正的，约谈相关负责人，并将约谈情况通报上级主管部门，由有权机关给予通报批评，对相关责任人给予处分：</w:t>
      </w:r>
    </w:p>
    <w:p>
      <w:pPr>
        <w:numPr>
          <w:ilvl w:val="0"/>
          <w:numId w:val="2"/>
        </w:numPr>
        <w:spacing w:line="600" w:lineRule="exact"/>
        <w:ind w:firstLine="640" w:firstLineChars="200"/>
        <w:contextualSpacing/>
        <w:rPr>
          <w:rFonts w:ascii="仿宋_GB2312"/>
          <w:szCs w:val="32"/>
        </w:rPr>
      </w:pPr>
      <w:r>
        <w:rPr>
          <w:rFonts w:hint="eastAsia" w:ascii="仿宋_GB2312"/>
          <w:szCs w:val="32"/>
        </w:rPr>
        <w:t>未建立健全国家安全人民防线组织及工作制度；</w:t>
      </w:r>
    </w:p>
    <w:p>
      <w:pPr>
        <w:spacing w:line="600" w:lineRule="exact"/>
        <w:ind w:firstLine="640" w:firstLineChars="200"/>
        <w:contextualSpacing/>
        <w:rPr>
          <w:rFonts w:ascii="仿宋_GB2312"/>
          <w:szCs w:val="32"/>
        </w:rPr>
      </w:pPr>
      <w:r>
        <w:rPr>
          <w:rFonts w:hint="eastAsia" w:ascii="仿宋_GB2312"/>
          <w:szCs w:val="32"/>
        </w:rPr>
        <w:t>（二）未落实反间谍安全防范责任制；</w:t>
      </w:r>
    </w:p>
    <w:p>
      <w:pPr>
        <w:spacing w:line="600" w:lineRule="exact"/>
        <w:ind w:firstLine="640" w:firstLineChars="200"/>
        <w:contextualSpacing/>
        <w:rPr>
          <w:rFonts w:ascii="仿宋_GB2312"/>
          <w:szCs w:val="32"/>
          <w:shd w:val="clear" w:color="FFFFFF" w:fill="D9D9D9"/>
        </w:rPr>
      </w:pPr>
      <w:r>
        <w:rPr>
          <w:rFonts w:hint="eastAsia" w:ascii="仿宋_GB2312"/>
          <w:szCs w:val="32"/>
        </w:rPr>
        <w:t>（三）未将反间谍安全防范工作纳入</w:t>
      </w:r>
      <w:r>
        <w:rPr>
          <w:rFonts w:hint="eastAsia" w:ascii="仿宋_GB2312" w:hAnsi="仿宋_GB2312" w:eastAsia="仿宋_GB2312" w:cs="仿宋_GB2312"/>
          <w:szCs w:val="32"/>
          <w:lang w:val="en-US" w:eastAsia="zh-CN"/>
        </w:rPr>
        <w:t>国家安全责任制以及平安建设责任制</w:t>
      </w:r>
      <w:r>
        <w:rPr>
          <w:rFonts w:hint="eastAsia" w:ascii="仿宋_GB2312"/>
          <w:szCs w:val="32"/>
          <w:shd w:val="clear" w:color="auto" w:fill="auto"/>
        </w:rPr>
        <w:t>考核</w:t>
      </w:r>
      <w:r>
        <w:rPr>
          <w:rFonts w:hint="eastAsia" w:ascii="仿宋_GB2312"/>
          <w:szCs w:val="32"/>
        </w:rPr>
        <w:t>或者单位绩效考核内容；</w:t>
      </w:r>
    </w:p>
    <w:p>
      <w:pPr>
        <w:spacing w:line="600" w:lineRule="exact"/>
        <w:ind w:firstLine="640" w:firstLineChars="200"/>
        <w:contextualSpacing/>
        <w:rPr>
          <w:rFonts w:ascii="仿宋_GB2312"/>
          <w:szCs w:val="32"/>
        </w:rPr>
      </w:pPr>
      <w:r>
        <w:rPr>
          <w:rFonts w:hint="eastAsia" w:ascii="仿宋_GB2312"/>
          <w:szCs w:val="32"/>
        </w:rPr>
        <w:t>（四）未按要求配置反间谍安全防范设施设备；</w:t>
      </w:r>
    </w:p>
    <w:p>
      <w:pPr>
        <w:spacing w:line="600" w:lineRule="exact"/>
        <w:ind w:firstLine="640" w:firstLineChars="200"/>
        <w:contextualSpacing/>
        <w:rPr>
          <w:rFonts w:ascii="仿宋_GB2312"/>
          <w:szCs w:val="32"/>
        </w:rPr>
      </w:pPr>
      <w:r>
        <w:rPr>
          <w:rFonts w:hint="eastAsia" w:ascii="仿宋_GB2312"/>
          <w:szCs w:val="32"/>
        </w:rPr>
        <w:t>（五）未建立反间谍安全防范工作档案；</w:t>
      </w:r>
    </w:p>
    <w:p>
      <w:pPr>
        <w:spacing w:line="600" w:lineRule="exact"/>
        <w:ind w:firstLine="640" w:firstLineChars="200"/>
        <w:contextualSpacing/>
        <w:rPr>
          <w:rFonts w:ascii="仿宋_GB2312"/>
          <w:szCs w:val="32"/>
        </w:rPr>
      </w:pPr>
      <w:r>
        <w:rPr>
          <w:rFonts w:hint="eastAsia" w:ascii="仿宋_GB2312"/>
          <w:szCs w:val="32"/>
        </w:rPr>
        <w:t>（六）未将反间谍安全防范知识纳入教育、培训、普法内容；</w:t>
      </w:r>
    </w:p>
    <w:p>
      <w:pPr>
        <w:spacing w:line="600" w:lineRule="exact"/>
        <w:ind w:firstLine="640" w:firstLineChars="200"/>
        <w:contextualSpacing/>
        <w:rPr>
          <w:rFonts w:ascii="仿宋_GB2312"/>
          <w:szCs w:val="32"/>
        </w:rPr>
      </w:pPr>
      <w:r>
        <w:rPr>
          <w:rFonts w:hint="eastAsia" w:ascii="仿宋_GB2312"/>
          <w:szCs w:val="32"/>
        </w:rPr>
        <w:t>（七）未履行反间谍安全防范宣传责任；</w:t>
      </w:r>
    </w:p>
    <w:p>
      <w:pPr>
        <w:spacing w:line="600" w:lineRule="exact"/>
        <w:ind w:firstLine="645"/>
        <w:contextualSpacing/>
        <w:rPr>
          <w:rFonts w:ascii="仿宋_GB2312"/>
          <w:szCs w:val="32"/>
        </w:rPr>
      </w:pPr>
      <w:r>
        <w:rPr>
          <w:rFonts w:hint="eastAsia" w:ascii="仿宋_GB2312"/>
          <w:szCs w:val="32"/>
        </w:rPr>
        <w:t>（八）其他妨害反间谍安全防范工作的行为。</w:t>
      </w:r>
    </w:p>
    <w:p>
      <w:pPr>
        <w:spacing w:line="600" w:lineRule="exact"/>
        <w:ind w:firstLine="640" w:firstLineChars="200"/>
        <w:contextualSpacing/>
        <w:rPr>
          <w:rFonts w:ascii="仿宋_GB2312"/>
          <w:szCs w:val="32"/>
        </w:rPr>
      </w:pPr>
      <w:r>
        <w:rPr>
          <w:rFonts w:hint="eastAsia" w:ascii="黑体" w:hAnsi="黑体" w:eastAsia="黑体"/>
          <w:szCs w:val="32"/>
          <w:lang w:val="en-US" w:eastAsia="zh-CN"/>
        </w:rPr>
        <w:t>第四十一条</w:t>
      </w:r>
      <w:r>
        <w:rPr>
          <w:rFonts w:hint="eastAsia" w:ascii="黑体" w:hAnsi="黑体" w:eastAsia="黑体"/>
          <w:szCs w:val="32"/>
        </w:rPr>
        <w:t xml:space="preserve"> </w:t>
      </w:r>
      <w:r>
        <w:rPr>
          <w:rFonts w:hint="eastAsia" w:ascii="仿宋_GB2312"/>
          <w:szCs w:val="32"/>
        </w:rPr>
        <w:t>机关、人民团体、企业事业组织、其他社会组织违反本条例规定，有下列情形之一的，由有权机关对单位相关责任人员依纪依法追究责任；涉嫌犯罪的，依法追究刑事责任：</w:t>
      </w:r>
    </w:p>
    <w:p>
      <w:pPr>
        <w:spacing w:line="600" w:lineRule="exact"/>
        <w:ind w:firstLine="640" w:firstLineChars="200"/>
        <w:contextualSpacing/>
        <w:rPr>
          <w:rFonts w:ascii="仿宋_GB2312"/>
          <w:szCs w:val="32"/>
        </w:rPr>
      </w:pPr>
      <w:r>
        <w:rPr>
          <w:rFonts w:hint="eastAsia" w:ascii="仿宋_GB2312"/>
          <w:szCs w:val="32"/>
        </w:rPr>
        <w:t>（一）不支持、不配合国家安全机关依法执行任务；</w:t>
      </w:r>
    </w:p>
    <w:p>
      <w:pPr>
        <w:spacing w:line="600" w:lineRule="exact"/>
        <w:ind w:firstLine="640" w:firstLineChars="200"/>
        <w:contextualSpacing/>
        <w:rPr>
          <w:rFonts w:ascii="仿宋_GB2312"/>
          <w:szCs w:val="32"/>
        </w:rPr>
      </w:pPr>
      <w:r>
        <w:rPr>
          <w:rFonts w:hint="eastAsia" w:ascii="仿宋_GB2312"/>
          <w:szCs w:val="32"/>
        </w:rPr>
        <w:t>（二）泄露所知悉的有关反间谍安全防范工作的国家秘密；</w:t>
      </w:r>
    </w:p>
    <w:p>
      <w:pPr>
        <w:spacing w:line="600" w:lineRule="exact"/>
        <w:ind w:firstLine="640" w:firstLineChars="200"/>
        <w:contextualSpacing/>
        <w:rPr>
          <w:rFonts w:ascii="仿宋_GB2312"/>
          <w:szCs w:val="32"/>
        </w:rPr>
      </w:pPr>
      <w:r>
        <w:rPr>
          <w:rFonts w:hint="eastAsia" w:ascii="仿宋_GB2312"/>
          <w:szCs w:val="32"/>
        </w:rPr>
        <w:t>（三）对安全隐患拒不整改或者未按要求整改；</w:t>
      </w:r>
    </w:p>
    <w:p>
      <w:pPr>
        <w:spacing w:line="600" w:lineRule="exact"/>
        <w:ind w:firstLine="645"/>
        <w:contextualSpacing/>
        <w:rPr>
          <w:rFonts w:ascii="仿宋_GB2312"/>
          <w:szCs w:val="32"/>
        </w:rPr>
      </w:pPr>
      <w:r>
        <w:rPr>
          <w:rFonts w:hint="eastAsia" w:ascii="仿宋_GB2312"/>
          <w:szCs w:val="32"/>
        </w:rPr>
        <w:t>（四）未向国家安全机关及时提供</w:t>
      </w:r>
      <w:r>
        <w:rPr>
          <w:rFonts w:hint="eastAsia" w:ascii="仿宋_GB2312"/>
          <w:bCs/>
          <w:szCs w:val="32"/>
        </w:rPr>
        <w:t>涉及反间谍安全防范工作的相关情况</w:t>
      </w:r>
      <w:r>
        <w:rPr>
          <w:rFonts w:hint="eastAsia" w:ascii="仿宋_GB2312"/>
          <w:szCs w:val="32"/>
        </w:rPr>
        <w:t>；</w:t>
      </w:r>
    </w:p>
    <w:p>
      <w:pPr>
        <w:spacing w:line="600" w:lineRule="exact"/>
        <w:ind w:firstLine="640" w:firstLineChars="200"/>
        <w:contextualSpacing/>
        <w:rPr>
          <w:rFonts w:ascii="仿宋_GB2312"/>
          <w:szCs w:val="32"/>
        </w:rPr>
      </w:pPr>
      <w:r>
        <w:rPr>
          <w:rFonts w:hint="eastAsia" w:ascii="仿宋_GB2312"/>
          <w:szCs w:val="32"/>
        </w:rPr>
        <w:t>（五）发生间谍行为；</w:t>
      </w:r>
    </w:p>
    <w:p>
      <w:pPr>
        <w:spacing w:line="600" w:lineRule="exact"/>
        <w:ind w:firstLine="640" w:firstLineChars="200"/>
        <w:contextualSpacing/>
        <w:rPr>
          <w:rFonts w:ascii="仿宋_GB2312"/>
          <w:szCs w:val="32"/>
        </w:rPr>
      </w:pPr>
      <w:r>
        <w:rPr>
          <w:rFonts w:hint="eastAsia" w:ascii="仿宋_GB2312"/>
          <w:szCs w:val="32"/>
        </w:rPr>
        <w:t>（六）其他妨害反间谍安全防范工作的行为。</w:t>
      </w:r>
    </w:p>
    <w:p>
      <w:pPr>
        <w:spacing w:line="600" w:lineRule="exact"/>
        <w:ind w:firstLine="640" w:firstLineChars="200"/>
        <w:contextualSpacing/>
        <w:rPr>
          <w:rFonts w:ascii="仿宋_GB2312"/>
          <w:szCs w:val="32"/>
        </w:rPr>
      </w:pPr>
      <w:r>
        <w:rPr>
          <w:rFonts w:hint="eastAsia" w:ascii="仿宋_GB2312"/>
          <w:szCs w:val="32"/>
        </w:rPr>
        <w:t>发现间谍窃密可疑情况，瞒报、漏报、谎报、迟报，造成不良影响或者后果的，或者发生间谍案件、事件，瞒报、谎报、迟报，掩盖、袒护、阻挠、干扰、对抗调查处理和责任追究的，应当从重处罚。</w:t>
      </w:r>
    </w:p>
    <w:p>
      <w:pPr>
        <w:spacing w:line="600" w:lineRule="exact"/>
        <w:ind w:firstLine="640" w:firstLineChars="200"/>
        <w:contextualSpacing/>
        <w:rPr>
          <w:rFonts w:ascii="仿宋_GB2312"/>
          <w:szCs w:val="32"/>
        </w:rPr>
      </w:pPr>
      <w:r>
        <w:rPr>
          <w:rFonts w:hint="eastAsia" w:ascii="黑体" w:hAnsi="黑体" w:eastAsia="黑体"/>
          <w:szCs w:val="32"/>
          <w:lang w:val="en-US" w:eastAsia="zh-CN"/>
        </w:rPr>
        <w:t>第四十二条</w:t>
      </w:r>
      <w:r>
        <w:rPr>
          <w:rFonts w:hint="eastAsia" w:ascii="仿宋_GB2312"/>
          <w:szCs w:val="32"/>
        </w:rPr>
        <w:t xml:space="preserve"> 违反本条例规定，不履行反间谍安全防范义务，在国家安全机关调查了解有关反间谍安全防范工作情况时，不及时、如实、全面提供相关信息的，由国家安全机关给予批评教育；泄露有关反间谍安全防范工作国家秘密的，国家安全机关可以依法对其进行行政处罚；涉嫌犯罪的，依法追究刑事责任。</w:t>
      </w:r>
    </w:p>
    <w:p>
      <w:pPr>
        <w:spacing w:line="600" w:lineRule="exact"/>
        <w:ind w:firstLine="640" w:firstLineChars="200"/>
        <w:contextualSpacing/>
        <w:rPr>
          <w:rFonts w:ascii="仿宋_GB2312"/>
          <w:szCs w:val="32"/>
        </w:rPr>
      </w:pPr>
      <w:r>
        <w:rPr>
          <w:rFonts w:hint="eastAsia" w:ascii="黑体" w:hAnsi="黑体" w:eastAsia="黑体"/>
          <w:szCs w:val="32"/>
          <w:lang w:val="en-US" w:eastAsia="zh-CN"/>
        </w:rPr>
        <w:t>第四十三条</w:t>
      </w:r>
      <w:r>
        <w:rPr>
          <w:rFonts w:hint="eastAsia" w:ascii="黑体" w:hAnsi="黑体" w:eastAsia="黑体"/>
          <w:szCs w:val="32"/>
        </w:rPr>
        <w:t xml:space="preserve"> </w:t>
      </w:r>
      <w:r>
        <w:rPr>
          <w:rFonts w:hint="eastAsia" w:ascii="仿宋_GB2312"/>
          <w:szCs w:val="32"/>
        </w:rPr>
        <w:t>故意阻碍国家安全机关依法执行任务，或者拒不提供便利、拒不协助国家安全机关工作，构成故意阻碍国家安全机关依法执行反间谍工作任务的，国家安全机关可以依法对其进行行政处罚；使用暴力、威胁方法的，或者虽然未使用暴力、威胁方法，但造成严重后果，涉嫌犯罪的，依法追究刑事责任。</w:t>
      </w:r>
    </w:p>
    <w:p>
      <w:pPr>
        <w:spacing w:line="600" w:lineRule="exact"/>
        <w:contextualSpacing/>
        <w:jc w:val="center"/>
        <w:rPr>
          <w:rFonts w:ascii="仿宋_GB2312"/>
          <w:szCs w:val="32"/>
        </w:rPr>
      </w:pPr>
    </w:p>
    <w:p>
      <w:pPr>
        <w:spacing w:line="600" w:lineRule="exact"/>
        <w:contextualSpacing/>
        <w:jc w:val="center"/>
        <w:rPr>
          <w:rFonts w:ascii="黑体" w:hAnsi="黑体" w:eastAsia="黑体"/>
          <w:szCs w:val="32"/>
        </w:rPr>
      </w:pPr>
      <w:r>
        <w:rPr>
          <w:rFonts w:hint="eastAsia" w:ascii="黑体" w:hAnsi="黑体" w:eastAsia="黑体"/>
          <w:szCs w:val="32"/>
        </w:rPr>
        <w:t>第八章  附   则</w:t>
      </w:r>
    </w:p>
    <w:p>
      <w:pPr>
        <w:pStyle w:val="2"/>
        <w:ind w:left="640"/>
      </w:pPr>
    </w:p>
    <w:p>
      <w:pPr/>
      <w:r>
        <w:rPr>
          <w:rFonts w:hint="eastAsia" w:ascii="黑体" w:hAnsi="黑体" w:eastAsia="黑体"/>
          <w:szCs w:val="32"/>
        </w:rPr>
        <w:t xml:space="preserve">    </w:t>
      </w:r>
      <w:r>
        <w:rPr>
          <w:rFonts w:hint="eastAsia" w:ascii="黑体" w:hAnsi="黑体" w:eastAsia="黑体"/>
          <w:szCs w:val="32"/>
          <w:lang w:val="en-US" w:eastAsia="zh-CN"/>
        </w:rPr>
        <w:t>第四十四条</w:t>
      </w:r>
      <w:r>
        <w:rPr>
          <w:rFonts w:hint="eastAsia" w:ascii="黑体" w:hAnsi="黑体" w:eastAsia="黑体"/>
          <w:szCs w:val="32"/>
        </w:rPr>
        <w:t xml:space="preserve"> </w:t>
      </w:r>
      <w:r>
        <w:rPr>
          <w:rFonts w:hint="eastAsia" w:ascii="仿宋_GB2312"/>
          <w:szCs w:val="32"/>
        </w:rPr>
        <w:t>本条例自2019年11月1日起施行。</w:t>
      </w:r>
    </w:p>
    <w:p>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MingLiU">
    <w:altName w:val="PMingLiU-ExtB"/>
    <w:panose1 w:val="02020509000000000000"/>
    <w:charset w:val="88"/>
    <w:family w:val="auto"/>
    <w:pitch w:val="default"/>
    <w:sig w:usb0="00000000" w:usb1="00000000" w:usb2="00000016" w:usb3="00000000" w:csb0="00100001" w:csb1="00000000"/>
  </w:font>
  <w:font w:name="MT Extra">
    <w:panose1 w:val="05050102010205020202"/>
    <w:charset w:val="00"/>
    <w:family w:val="auto"/>
    <w:pitch w:val="default"/>
    <w:sig w:usb0="00000000" w:usb1="00000000" w:usb2="00000000" w:usb3="00000000" w:csb0="00000000" w:csb1="00000000"/>
  </w:font>
  <w:font w:name="Microsoft Sans Serif">
    <w:panose1 w:val="020B0604020202020204"/>
    <w:charset w:val="00"/>
    <w:family w:val="auto"/>
    <w:pitch w:val="default"/>
    <w:sig w:usb0="E5002EFF" w:usb1="C000605B" w:usb2="00000029" w:usb3="00000000" w:csb0="200101FF" w:csb1="20280000"/>
  </w:font>
  <w:font w:name="PMingLiU">
    <w:altName w:val="PMingLiU-ExtB"/>
    <w:panose1 w:val="02020500000000000000"/>
    <w:charset w:val="88"/>
    <w:family w:val="auto"/>
    <w:pitch w:val="default"/>
    <w:sig w:usb0="00000000" w:usb1="00000000" w:usb2="00000016" w:usb3="00000000" w:csb0="00100001"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5B" w:usb2="00000009" w:usb3="00000000" w:csb0="400001FF" w:csb1="FFFF0000"/>
  </w:font>
  <w:font w:name="Verdana">
    <w:panose1 w:val="020B0604030504040204"/>
    <w:charset w:val="00"/>
    <w:family w:val="decorative"/>
    <w:pitch w:val="default"/>
    <w:sig w:usb0="A0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swiss"/>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文星标宋">
    <w:altName w:val="宋体"/>
    <w:panose1 w:val="02010609000101010101"/>
    <w:charset w:val="86"/>
    <w:family w:val="swiss"/>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000247B" w:usb2="00000009" w:usb3="00000000" w:csb0="200001FF" w:csb1="00000000"/>
  </w:font>
  <w:font w:name="方正小标宋简体">
    <w:panose1 w:val="03000509000000000000"/>
    <w:charset w:val="86"/>
    <w:family w:val="auto"/>
    <w:pitch w:val="default"/>
    <w:sig w:usb0="00000001" w:usb1="080E0000" w:usb2="00000000" w:usb3="00000000" w:csb0="00040000" w:csb1="00000000"/>
  </w:font>
  <w:font w:name="ˎ̥">
    <w:altName w:val="微软雅黑"/>
    <w:panose1 w:val="00000000000000000000"/>
    <w:charset w:val="00"/>
    <w:family w:val="modern"/>
    <w:pitch w:val="default"/>
    <w:sig w:usb0="00000000" w:usb1="00000000" w:usb2="00000000"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
    <w:altName w:val="Segoe Print"/>
    <w:panose1 w:val="00000000000000000000"/>
    <w:charset w:val="00"/>
    <w:family w:val="auto"/>
    <w:pitch w:val="default"/>
    <w:sig w:usb0="00000000" w:usb1="00000000" w:usb2="00000000" w:usb3="00000000" w:csb0="00000001" w:csb1="00000000"/>
  </w:font>
  <w:font w:name="??">
    <w:altName w:val="Segoe Print"/>
    <w:panose1 w:val="00000000000000000000"/>
    <w:charset w:val="00"/>
    <w:family w:val="moder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Gloucester MT Extra Condensed">
    <w:panose1 w:val="02030808020601010101"/>
    <w:charset w:val="00"/>
    <w:family w:val="auto"/>
    <w:pitch w:val="default"/>
    <w:sig w:usb0="00000003" w:usb1="00000000" w:usb2="00000000" w:usb3="00000000" w:csb0="20000001"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Courier New">
    <w:panose1 w:val="02070309020205020404"/>
    <w:charset w:val="00"/>
    <w:family w:val="swiss"/>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仿宋_GB2312">
    <w:panose1 w:val="02010609030101010101"/>
    <w:charset w:val="86"/>
    <w:family w:val="roman"/>
    <w:pitch w:val="default"/>
    <w:sig w:usb0="00000001" w:usb1="080E0000" w:usb2="00000000" w:usb3="00000000" w:csb0="00040000" w:csb1="00000000"/>
  </w:font>
  <w:font w:name="黑体">
    <w:panose1 w:val="02010609060101010101"/>
    <w:charset w:val="86"/>
    <w:family w:val="roman"/>
    <w:pitch w:val="default"/>
    <w:sig w:usb0="800002BF" w:usb1="38CF7CFA" w:usb2="00000016" w:usb3="00000000" w:csb0="00040001" w:csb1="00000000"/>
  </w:font>
  <w:font w:name="方正小标宋简体">
    <w:panose1 w:val="03000509000000000000"/>
    <w:charset w:val="86"/>
    <w:family w:val="script"/>
    <w:pitch w:val="default"/>
    <w:sig w:usb0="00000001" w:usb1="080E0000" w:usb2="00000000" w:usb3="00000000" w:csb0="00040000" w:csb1="00000000"/>
  </w:font>
  <w:font w:name="仿宋">
    <w:panose1 w:val="02010609060101010101"/>
    <w:charset w:val="86"/>
    <w:family w:val="roman"/>
    <w:pitch w:val="default"/>
    <w:sig w:usb0="800002BF" w:usb1="38CF7CFA" w:usb2="00000016" w:usb3="00000000" w:csb0="00040001" w:csb1="00000000"/>
  </w:font>
  <w:font w:name="楷体_GB2312">
    <w:panose1 w:val="02010609030101010101"/>
    <w:charset w:val="86"/>
    <w:family w:val="roma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黑体">
    <w:panose1 w:val="02010609060101010101"/>
    <w:charset w:val="86"/>
    <w:family w:val="swiss"/>
    <w:pitch w:val="default"/>
    <w:sig w:usb0="800002BF" w:usb1="38CF7CFA" w:usb2="00000016" w:usb3="00000000" w:csb0="00040001" w:csb1="00000000"/>
  </w:font>
  <w:font w:name="仿宋_GB2312">
    <w:panose1 w:val="02010609030101010101"/>
    <w:charset w:val="86"/>
    <w:family w:val="decorative"/>
    <w:pitch w:val="default"/>
    <w:sig w:usb0="00000001" w:usb1="080E0000" w:usb2="00000000" w:usb3="00000000" w:csb0="00040000" w:csb1="00000000"/>
  </w:font>
  <w:font w:name="黑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楷体_GB2312">
    <w:panose1 w:val="02010609030101010101"/>
    <w:charset w:val="86"/>
    <w:family w:val="decorative"/>
    <w:pitch w:val="default"/>
    <w:sig w:usb0="00000001" w:usb1="080E0000" w:usb2="00000000" w:usb3="00000000" w:csb0="00040000" w:csb1="00000000"/>
  </w:font>
  <w:font w:name="-apple-system-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 w:name="微软雅黑">
    <w:panose1 w:val="020B0503020204020204"/>
    <w:charset w:val="86"/>
    <w:family w:val="roman"/>
    <w:pitch w:val="default"/>
    <w:sig w:usb0="80000287" w:usb1="2ACF3C50" w:usb2="00000016" w:usb3="00000000" w:csb0="0004001F" w:csb1="00000000"/>
  </w:font>
  <w:font w:name="Arial">
    <w:panose1 w:val="020B0604020202020204"/>
    <w:charset w:val="00"/>
    <w:family w:val="modern"/>
    <w:pitch w:val="default"/>
    <w:sig w:usb0="E0002EFF" w:usb1="C000785B" w:usb2="00000009" w:usb3="00000000" w:csb0="400001FF" w:csb1="FFFF0000"/>
  </w:font>
  <w:font w:name="微软雅黑">
    <w:panose1 w:val="020B0503020204020204"/>
    <w:charset w:val="86"/>
    <w:family w:val="modern"/>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微软雅黑">
    <w:panose1 w:val="020B0503020204020204"/>
    <w:charset w:val="86"/>
    <w:family w:val="decorative"/>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00006FF" w:usb1="4000205B" w:usb2="00000010" w:usb3="00000000" w:csb0="2000019F" w:csb1="00000000"/>
  </w:font>
  <w:font w:name="文星标宋">
    <w:altName w:val="宋体"/>
    <w:panose1 w:val="02010609000101010101"/>
    <w:charset w:val="86"/>
    <w:family w:val="decorative"/>
    <w:pitch w:val="default"/>
    <w:sig w:usb0="00000000" w:usb1="00000000" w:usb2="00000010" w:usb3="00000000" w:csb0="00040000" w:csb1="00000000"/>
  </w:font>
  <w:font w:name="ˎ̥">
    <w:altName w:val="微软雅黑"/>
    <w:panose1 w:val="00000000000000000000"/>
    <w:charset w:val="00"/>
    <w:family w:val="swiss"/>
    <w:pitch w:val="default"/>
    <w:sig w:usb0="00000000" w:usb1="00000000" w:usb2="00000000" w:usb3="00000000" w:csb0="00040001" w:csb1="00000000"/>
  </w:font>
  <w:font w:name="??">
    <w:altName w:val="Segoe Print"/>
    <w:panose1 w:val="00000000000000000000"/>
    <w:charset w:val="00"/>
    <w:family w:val="swiss"/>
    <w:pitch w:val="default"/>
    <w:sig w:usb0="00000000" w:usb1="00000000" w:usb2="00000000" w:usb3="00000000" w:csb0="00000001" w:csb1="00000000"/>
  </w:font>
  <w:font w:name="Courier New">
    <w:panose1 w:val="02070309020205020404"/>
    <w:charset w:val="00"/>
    <w:family w:val="decorative"/>
    <w:pitch w:val="default"/>
    <w:sig w:usb0="E0002E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roman"/>
    <w:pitch w:val="default"/>
    <w:sig w:usb0="800002BF" w:usb1="38CF7CFA" w:usb2="00000016" w:usb3="00000000" w:csb0="00040001" w:csb1="00000000"/>
  </w:font>
  <w:font w:name="Courier New">
    <w:panose1 w:val="02070309020205020404"/>
    <w:charset w:val="00"/>
    <w:family w:val="roman"/>
    <w:pitch w:val="default"/>
    <w:sig w:usb0="E0002EFF" w:usb1="C0007843" w:usb2="00000009" w:usb3="00000000" w:csb0="400001FF" w:csb1="FFFF0000"/>
  </w:font>
  <w:font w:name="Verdana">
    <w:panose1 w:val="020B0604030504040204"/>
    <w:charset w:val="00"/>
    <w:family w:val="modern"/>
    <w:pitch w:val="default"/>
    <w:sig w:usb0="A00006FF" w:usb1="4000205B" w:usb2="00000010" w:usb3="00000000" w:csb0="2000019F" w:csb1="00000000"/>
  </w:font>
  <w:font w:name="文星标宋">
    <w:altName w:val="宋体"/>
    <w:panose1 w:val="02010609000101010101"/>
    <w:charset w:val="86"/>
    <w:family w:val="roman"/>
    <w:pitch w:val="default"/>
    <w:sig w:usb0="00000000" w:usb1="00000000" w:usb2="00000010" w:usb3="00000000" w:csb0="00040000" w:csb1="00000000"/>
  </w:font>
  <w:font w:name="ˎ̥">
    <w:altName w:val="微软雅黑"/>
    <w:panose1 w:val="00000000000000000000"/>
    <w:charset w:val="00"/>
    <w:family w:val="decorative"/>
    <w:pitch w:val="default"/>
    <w:sig w:usb0="00000000" w:usb1="00000000" w:usb2="00000000" w:usb3="00000000" w:csb0="00040001" w:csb1="00000000"/>
  </w:font>
  <w:font w:name="??">
    <w:altName w:val="Segoe Print"/>
    <w:panose1 w:val="00000000000000000000"/>
    <w:charset w:val="00"/>
    <w:family w:val="decorative"/>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文星标宋">
    <w:altName w:val="宋体"/>
    <w:panose1 w:val="02010609000101010101"/>
    <w:charset w:val="86"/>
    <w:family w:val="modern"/>
    <w:pitch w:val="default"/>
    <w:sig w:usb0="00000000" w:usb1="00000000" w:usb2="0000001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
    <w:altName w:val="Segoe Print"/>
    <w:panose1 w:val="00000000000000000000"/>
    <w:charset w:val="00"/>
    <w:family w:val="roman"/>
    <w:pitch w:val="default"/>
    <w:sig w:usb0="00000000" w:usb1="00000000" w:usb2="00000000" w:usb3="00000000" w:csb0="00000001" w:csb1="00000000"/>
  </w:font>
  <w:font w:name="Calisto MT">
    <w:panose1 w:val="020406030505050303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Lucida Handwriting">
    <w:panose1 w:val="03010101010101010101"/>
    <w:charset w:val="00"/>
    <w:family w:val="auto"/>
    <w:pitch w:val="default"/>
    <w:sig w:usb0="00000003" w:usb1="00000000" w:usb2="00000000" w:usb3="00000000" w:csb0="20000001" w:csb1="00000000"/>
  </w:font>
  <w:font w:name="Lucida Fax">
    <w:panose1 w:val="02060602050505020204"/>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Microsoft Tai Le">
    <w:panose1 w:val="020B0502040204020203"/>
    <w:charset w:val="00"/>
    <w:family w:val="auto"/>
    <w:pitch w:val="default"/>
    <w:sig w:usb0="00000003" w:usb1="00000000" w:usb2="40000000" w:usb3="00000000" w:csb0="00000001" w:csb1="00000000"/>
  </w:font>
  <w:font w:name="Nirmala UI Semilight">
    <w:panose1 w:val="020B0402040204020203"/>
    <w:charset w:val="00"/>
    <w:family w:val="auto"/>
    <w:pitch w:val="default"/>
    <w:sig w:usb0="80FF8023" w:usb1="0000004A" w:usb2="00000200" w:usb3="00040000" w:csb0="00000001" w:csb1="00000000"/>
  </w:font>
  <w:font w:name="OCR A Extended">
    <w:panose1 w:val="02010509020102010303"/>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Segoe UI Emoji">
    <w:panose1 w:val="020B0502040204020203"/>
    <w:charset w:val="00"/>
    <w:family w:val="auto"/>
    <w:pitch w:val="default"/>
    <w:sig w:usb0="00000001" w:usb1="02000000" w:usb2="00000000" w:usb3="00000000" w:csb0="00000001" w:csb1="00000000"/>
  </w:font>
  <w:font w:name="Sitka Banner">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Monaco">
    <w:altName w:val="Courier New"/>
    <w:panose1 w:val="00000000000000000000"/>
    <w:charset w:val="00"/>
    <w:family w:val="auto"/>
    <w:pitch w:val="default"/>
    <w:sig w:usb0="00000000" w:usb1="00000000" w:usb2="00000000" w:usb3="00000000" w:csb0="00040001" w:csb1="00000000"/>
  </w:font>
  <w:font w:name="Segoe UI">
    <w:panose1 w:val="020B0502040204020203"/>
    <w:charset w:val="00"/>
    <w:family w:val="auto"/>
    <w:pitch w:val="default"/>
    <w:sig w:usb0="E4002EFF" w:usb1="C000E47F"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
    <w:altName w:val="PMingLiU-ExtB"/>
    <w:panose1 w:val="02020500000000000000"/>
    <w:charset w:val="88"/>
    <w:family w:val="auto"/>
    <w:pitch w:val="default"/>
    <w:sig w:usb0="00000000" w:usb1="00000000" w:usb2="00000016" w:usb3="00000000" w:csb0="00100001" w:csb1="00000000"/>
  </w:font>
  <w:font w:name="Bookshelf Symbol 7">
    <w:panose1 w:val="05010101010101010101"/>
    <w:charset w:val="00"/>
    <w:family w:val="auto"/>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 w:name="新宋体">
    <w:panose1 w:val="02010609030101010101"/>
    <w:charset w:val="86"/>
    <w:family w:val="auto"/>
    <w:pitch w:val="default"/>
    <w:sig w:usb0="00000283" w:usb1="288F0000" w:usb2="00000006" w:usb3="00000000" w:csb0="00040001" w:csb1="00000000"/>
  </w:font>
  <w:font w:name="Trebuchet MS">
    <w:panose1 w:val="020B0603020202020204"/>
    <w:charset w:val="00"/>
    <w:family w:val="auto"/>
    <w:pitch w:val="default"/>
    <w:sig w:usb0="00000687" w:usb1="00000000" w:usb2="00000000" w:usb3="00000000" w:csb0="2000009F" w:csb1="00000000"/>
  </w:font>
  <w:font w:name="Tunga">
    <w:altName w:val="Segoe UI Symbol"/>
    <w:panose1 w:val="020B0502040204020203"/>
    <w:charset w:val="00"/>
    <w:family w:val="auto"/>
    <w:pitch w:val="default"/>
    <w:sig w:usb0="00000000" w:usb1="00000000" w:usb2="00000000" w:usb3="00000000" w:csb0="00000001" w:csb1="00000000"/>
  </w:font>
  <w:font w:name="Utsaah">
    <w:altName w:val="Segoe Print"/>
    <w:panose1 w:val="020B0604020202020204"/>
    <w:charset w:val="00"/>
    <w:family w:val="auto"/>
    <w:pitch w:val="default"/>
    <w:sig w:usb0="00000000" w:usb1="00000000" w:usb2="00000000" w:usb3="00000000" w:csb0="00000001" w:csb1="00000000"/>
  </w:font>
  <w:font w:name="Vani">
    <w:altName w:val="Segoe UI Symbol"/>
    <w:panose1 w:val="020B0502040204020203"/>
    <w:charset w:val="00"/>
    <w:family w:val="auto"/>
    <w:pitch w:val="default"/>
    <w:sig w:usb0="00000000" w:usb1="00000000" w:usb2="00000000" w:usb3="00000000" w:csb0="00000001" w:csb1="00000000"/>
  </w:font>
  <w:font w:name="Vijaya">
    <w:altName w:val="Segoe Print"/>
    <w:panose1 w:val="020B0604020202020204"/>
    <w:charset w:val="00"/>
    <w:family w:val="auto"/>
    <w:pitch w:val="default"/>
    <w:sig w:usb0="00000000" w:usb1="00000000" w:usb2="00000000" w:usb3="00000000" w:csb0="00000001" w:csb1="00000000"/>
  </w:font>
  <w:font w:name="Vrinda">
    <w:altName w:val="Segoe UI Symbol"/>
    <w:panose1 w:val="020B0502040204020203"/>
    <w:charset w:val="00"/>
    <w:family w:val="auto"/>
    <w:pitch w:val="default"/>
    <w:sig w:usb0="00000000"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hakuyoxingshu7000">
    <w:altName w:val="宋体"/>
    <w:panose1 w:val="02000600000000000000"/>
    <w:charset w:val="86"/>
    <w:family w:val="auto"/>
    <w:pitch w:val="default"/>
    <w:sig w:usb0="00000000" w:usb1="00000000" w:usb2="0000003F" w:usb3="00000000" w:csb0="603F00FF" w:csb1="FFFF0000"/>
  </w:font>
  <w:font w:name="Cambria Math">
    <w:panose1 w:val="02040503050406030204"/>
    <w:charset w:val="00"/>
    <w:family w:val="auto"/>
    <w:pitch w:val="default"/>
    <w:sig w:usb0="E00006FF" w:usb1="420024FF" w:usb2="02000000" w:usb3="00000000" w:csb0="2000019F" w:csb1="00000000"/>
  </w:font>
  <w:font w:name="MS UI 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eiryo">
    <w:altName w:val="Yu Gothic UI"/>
    <w:panose1 w:val="020B0604030504040204"/>
    <w:charset w:val="80"/>
    <w:family w:val="auto"/>
    <w:pitch w:val="default"/>
    <w:sig w:usb0="00000000" w:usb1="00000000" w:usb2="00010012" w:usb3="00000000" w:csb0="6002009F" w:csb1="DFD70000"/>
  </w:font>
  <w:font w:name="Microsoft YaHei UI">
    <w:panose1 w:val="020B0503020204020204"/>
    <w:charset w:val="86"/>
    <w:family w:val="auto"/>
    <w:pitch w:val="default"/>
    <w:sig w:usb0="80000287" w:usb1="2ACF3C50" w:usb2="00000016" w:usb3="00000000" w:csb0="0004001F" w:csb1="00000000"/>
  </w:font>
  <w:font w:name="Segoe UI Symbol">
    <w:panose1 w:val="020B0502040204020203"/>
    <w:charset w:val="00"/>
    <w:family w:val="auto"/>
    <w:pitch w:val="default"/>
    <w:sig w:usb0="800001E3" w:usb1="1200FFEF" w:usb2="00040000" w:usb3="04000000" w:csb0="00000001" w:csb1="40000000"/>
  </w:font>
  <w:font w:name="Yu Gothic UI">
    <w:panose1 w:val="020B0500000000000000"/>
    <w:charset w:val="80"/>
    <w:family w:val="auto"/>
    <w:pitch w:val="default"/>
    <w:sig w:usb0="E00002FF" w:usb1="2AC7FDFF" w:usb2="00000016" w:usb3="00000000" w:csb0="2002009F" w:csb1="00000000"/>
  </w:font>
  <w:font w:name="Lucida Sans">
    <w:panose1 w:val="020B0602030504020204"/>
    <w:charset w:val="00"/>
    <w:family w:val="auto"/>
    <w:pitch w:val="default"/>
    <w:sig w:usb0="00000003" w:usb1="00000000" w:usb2="00000000" w:usb3="00000000" w:csb0="2000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Segoe Script">
    <w:panose1 w:val="030B0504020000000003"/>
    <w:charset w:val="00"/>
    <w:family w:val="auto"/>
    <w:pitch w:val="default"/>
    <w:sig w:usb0="0000028F" w:usb1="00000000" w:usb2="00000000" w:usb3="00000000" w:csb0="0000009F" w:csb1="00000000"/>
  </w:font>
  <w:font w:name="Segoe UI Black">
    <w:panose1 w:val="020B0A02040204020203"/>
    <w:charset w:val="00"/>
    <w:family w:val="auto"/>
    <w:pitch w:val="default"/>
    <w:sig w:usb0="E00002FF" w:usb1="4000E47F" w:usb2="00000021" w:usb3="00000000" w:csb0="2000019F" w:csb1="00000000"/>
  </w:font>
  <w:font w:name="Segoe UI Historic">
    <w:panose1 w:val="020B0502040204020203"/>
    <w:charset w:val="00"/>
    <w:family w:val="auto"/>
    <w:pitch w:val="default"/>
    <w:sig w:usb0="800001EF" w:usb1="02000002" w:usb2="0060C080" w:usb3="00000002" w:csb0="00000001" w:csb1="4000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ide Latin">
    <w:panose1 w:val="020A0A07050505020404"/>
    <w:charset w:val="00"/>
    <w:family w:val="auto"/>
    <w:pitch w:val="default"/>
    <w:sig w:usb0="00000003" w:usb1="00000000" w:usb2="00000000" w:usb3="00000000" w:csb0="20000001"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Tw Cen MT Condensed Extra Bold">
    <w:panose1 w:val="020B0803020202020204"/>
    <w:charset w:val="00"/>
    <w:family w:val="auto"/>
    <w:pitch w:val="default"/>
    <w:sig w:usb0="00000003" w:usb1="00000000" w:usb2="00000000" w:usb3="00000000" w:csb0="20000003" w:csb1="00000000"/>
  </w:font>
  <w:font w:name="Palatino Linotype">
    <w:panose1 w:val="02040502050505030304"/>
    <w:charset w:val="00"/>
    <w:family w:val="auto"/>
    <w:pitch w:val="default"/>
    <w:sig w:usb0="E0000287" w:usb1="40000013" w:usb2="00000000" w:usb3="00000000" w:csb0="2000019F" w:csb1="00000000"/>
  </w:font>
  <w:font w:name="Palace Script MT">
    <w:panose1 w:val="030303020206070C0B05"/>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ld English Text MT">
    <w:panose1 w:val="03040902040508030806"/>
    <w:charset w:val="00"/>
    <w:family w:val="auto"/>
    <w:pitch w:val="default"/>
    <w:sig w:usb0="00000003" w:usb1="00000000" w:usb2="00000000" w:usb3="00000000" w:csb0="20000001" w:csb1="000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Nirmala UI">
    <w:panose1 w:val="020B0502040204020203"/>
    <w:charset w:val="00"/>
    <w:family w:val="auto"/>
    <w:pitch w:val="default"/>
    <w:sig w:usb0="80FF8023" w:usb1="0000004A" w:usb2="00000200" w:usb3="00040000" w:csb0="00000001" w:csb1="00000000"/>
  </w:font>
  <w:font w:name="Tw Cen MT">
    <w:panose1 w:val="020B0602020104020603"/>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ans-serif">
    <w:altName w:val="Segoe Print"/>
    <w:panose1 w:val="00000000000000000000"/>
    <w:charset w:val="00"/>
    <w:family w:val="auto"/>
    <w:pitch w:val="default"/>
    <w:sig w:usb0="00000000" w:usb1="00000000" w:usb2="00000000" w:usb3="00000000" w:csb0="00000000" w:csb1="00000000"/>
  </w:font>
  <w:font w:name="Times: ; mso-hansi-font-family:  mso-bidi-font-size 16.0pt">
    <w:altName w:val="Segoe Print"/>
    <w:panose1 w:val="00000000000000000000"/>
    <w:charset w:val="00"/>
    <w:family w:val="auto"/>
    <w:pitch w:val="default"/>
    <w:sig w:usb0="00000000" w:usb1="00000000" w:usb2="00000000" w:usb3="00000000" w:csb0="00000000" w:csb1="00000000"/>
  </w:font>
  <w:font w:name="STHeiti">
    <w:altName w:val="Segoe Print"/>
    <w:panose1 w:val="00000000000000000000"/>
    <w:charset w:val="00"/>
    <w:family w:val="auto"/>
    <w:pitch w:val="default"/>
    <w:sig w:usb0="00000000" w:usb1="00000000" w:usb2="00000000" w:usb3="00000000" w:csb0="00000000" w:csb1="00000000"/>
  </w:font>
  <w:font w:name="微软雅黑 Light">
    <w:panose1 w:val="020B0502040204020203"/>
    <w:charset w:val="86"/>
    <w:family w:val="auto"/>
    <w:pitch w:val="default"/>
    <w:sig w:usb0="80000287" w:usb1="2A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libri Light">
    <w:panose1 w:val="020F0302020204030204"/>
    <w:charset w:val="00"/>
    <w:family w:val="roman"/>
    <w:pitch w:val="default"/>
    <w:sig w:usb0="E4002EFF" w:usb1="C000247B" w:usb2="00000009" w:usb3="00000000" w:csb0="200001FF" w:csb1="00000000"/>
  </w:font>
  <w:font w:name="Calibri Light">
    <w:panose1 w:val="020F0302020204030204"/>
    <w:charset w:val="00"/>
    <w:family w:val="modern"/>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libri Light">
    <w:panose1 w:val="020F0302020204030204"/>
    <w:charset w:val="00"/>
    <w:family w:val="decorative"/>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14</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61848142">
    <w:nsid w:val="1B873E4E"/>
    <w:multiLevelType w:val="singleLevel"/>
    <w:tmpl w:val="1B873E4E"/>
    <w:lvl w:ilvl="0" w:tentative="1">
      <w:start w:val="1"/>
      <w:numFmt w:val="chineseCounting"/>
      <w:suff w:val="nothing"/>
      <w:lvlText w:val="（%1）"/>
      <w:lvlJc w:val="left"/>
      <w:rPr>
        <w:rFonts w:hint="eastAsia"/>
      </w:rPr>
    </w:lvl>
  </w:abstractNum>
  <w:abstractNum w:abstractNumId="3820948143">
    <w:nsid w:val="E3BF0AAF"/>
    <w:multiLevelType w:val="singleLevel"/>
    <w:tmpl w:val="E3BF0AAF"/>
    <w:lvl w:ilvl="0" w:tentative="1">
      <w:start w:val="1"/>
      <w:numFmt w:val="chineseCounting"/>
      <w:suff w:val="nothing"/>
      <w:lvlText w:val="（%1）"/>
      <w:lvlJc w:val="left"/>
      <w:rPr>
        <w:rFonts w:hint="eastAsia"/>
      </w:rPr>
    </w:lvl>
  </w:abstractNum>
  <w:num w:numId="1">
    <w:abstractNumId w:val="3820948143"/>
  </w:num>
  <w:num w:numId="2">
    <w:abstractNumId w:val="4618481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E74355C"/>
    <w:rsid w:val="00322380"/>
    <w:rsid w:val="005A3702"/>
    <w:rsid w:val="006846D5"/>
    <w:rsid w:val="007149D0"/>
    <w:rsid w:val="007D3EEC"/>
    <w:rsid w:val="00DA12FD"/>
    <w:rsid w:val="00FC2D9E"/>
    <w:rsid w:val="05632F83"/>
    <w:rsid w:val="15E669FB"/>
    <w:rsid w:val="17D71644"/>
    <w:rsid w:val="17FE05F1"/>
    <w:rsid w:val="1DE409E9"/>
    <w:rsid w:val="2183674F"/>
    <w:rsid w:val="25651CF0"/>
    <w:rsid w:val="2B932CAA"/>
    <w:rsid w:val="2DFF7A10"/>
    <w:rsid w:val="2F9558BB"/>
    <w:rsid w:val="31054EBC"/>
    <w:rsid w:val="31E101AB"/>
    <w:rsid w:val="35DE6B59"/>
    <w:rsid w:val="37EA2356"/>
    <w:rsid w:val="3B3B3480"/>
    <w:rsid w:val="3FB40909"/>
    <w:rsid w:val="412B2B9B"/>
    <w:rsid w:val="41E31CE9"/>
    <w:rsid w:val="43CB716B"/>
    <w:rsid w:val="448357B0"/>
    <w:rsid w:val="44A57DD8"/>
    <w:rsid w:val="45993A74"/>
    <w:rsid w:val="4873196F"/>
    <w:rsid w:val="4E1E5EBF"/>
    <w:rsid w:val="505A7A67"/>
    <w:rsid w:val="5159699C"/>
    <w:rsid w:val="53681CC0"/>
    <w:rsid w:val="54D03530"/>
    <w:rsid w:val="5AD16180"/>
    <w:rsid w:val="5D0A2275"/>
    <w:rsid w:val="5E416119"/>
    <w:rsid w:val="5E74355C"/>
    <w:rsid w:val="639E6BDC"/>
    <w:rsid w:val="64827B8C"/>
    <w:rsid w:val="6AEB4FC3"/>
    <w:rsid w:val="6E190BA5"/>
    <w:rsid w:val="6EB1130F"/>
    <w:rsid w:val="6ECA26E7"/>
    <w:rsid w:val="6EE32B89"/>
    <w:rsid w:val="759D0EDE"/>
    <w:rsid w:val="7BD80EF4"/>
    <w:rsid w:val="7CDD5C90"/>
    <w:rsid w:val="7E631B43"/>
    <w:rsid w:val="7F5635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heme="minorBidi"/>
      <w:kern w:val="2"/>
      <w:sz w:val="32"/>
      <w:szCs w:val="24"/>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table of authorities"/>
    <w:basedOn w:val="1"/>
    <w:next w:val="1"/>
    <w:qFormat/>
    <w:uiPriority w:val="0"/>
    <w:pPr>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918</Words>
  <Characters>5238</Characters>
  <Lines>43</Lines>
  <Paragraphs>12</Paragraphs>
  <ScaleCrop>false</ScaleCrop>
  <LinksUpToDate>false</LinksUpToDate>
  <CharactersWithSpaces>6144</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2019-07-31T09:07:00Z</dcterms:created>
  <dc:creator>纪晓宁</dc:creator>
  <cp:lastModifiedBy>纪晓宁</cp:lastModifiedBy>
  <cp:lastPrinted>2019-10-18T02:35:48Z</cp:lastPrinted>
  <dcterms:modified xsi:type="dcterms:W3CDTF">2019-10-18T03:20:13Z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