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黑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44"/>
          <w:szCs w:val="44"/>
        </w:rPr>
        <w:t>龙江省边境管理条例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（1991年10月30日黑龙江省第七届人民代表大会常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pacing w:val="3"/>
          <w:sz w:val="32"/>
          <w:szCs w:val="32"/>
        </w:rPr>
      </w:pPr>
      <w:r>
        <w:rPr>
          <w:rFonts w:hint="eastAsia" w:ascii="楷体_GB2312" w:hAnsi="楷体_GB2312" w:eastAsia="楷体_GB2312" w:cs="楷体_GB2312"/>
          <w:spacing w:val="3"/>
          <w:sz w:val="32"/>
          <w:szCs w:val="32"/>
        </w:rPr>
        <w:t>务委员会第二十三次会议通过　1994年9月25日黑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pacing w:val="2"/>
          <w:sz w:val="32"/>
          <w:szCs w:val="32"/>
        </w:rPr>
        <w:t>龙江省第八届人民代表大会常务委员会第十一次会议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pacing w:val="3"/>
          <w:sz w:val="32"/>
          <w:szCs w:val="32"/>
        </w:rPr>
      </w:pPr>
      <w:r>
        <w:rPr>
          <w:rFonts w:hint="eastAsia" w:ascii="楷体_GB2312" w:hAnsi="楷体_GB2312" w:eastAsia="楷体_GB2312" w:cs="楷体_GB2312"/>
          <w:spacing w:val="3"/>
          <w:sz w:val="32"/>
          <w:szCs w:val="32"/>
        </w:rPr>
        <w:t>通过的《关于修改〈黑龙江省边境管理条〉的决定》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pacing w:val="-1"/>
          <w:sz w:val="32"/>
          <w:szCs w:val="32"/>
        </w:rPr>
      </w:pPr>
      <w:r>
        <w:rPr>
          <w:rFonts w:hint="eastAsia" w:ascii="楷体_GB2312" w:hAnsi="楷体_GB2312" w:eastAsia="楷体_GB2312" w:cs="楷体_GB2312"/>
          <w:spacing w:val="-1"/>
          <w:sz w:val="32"/>
          <w:szCs w:val="32"/>
        </w:rPr>
        <w:t>第一次修正 1997年4月25日黑龙江省第八届人民代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pacing w:val="2"/>
          <w:sz w:val="32"/>
          <w:szCs w:val="32"/>
        </w:rPr>
      </w:pPr>
      <w:r>
        <w:rPr>
          <w:rFonts w:hint="eastAsia" w:ascii="楷体_GB2312" w:hAnsi="楷体_GB2312" w:eastAsia="楷体_GB2312" w:cs="楷体_GB2312"/>
          <w:spacing w:val="2"/>
          <w:sz w:val="32"/>
          <w:szCs w:val="32"/>
        </w:rPr>
        <w:t>表大会常务委员会第二十七次会议通过的《关于修改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625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〈黑龙江省边境管理条〉的决定》第二次修正）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为保卫国家主权和领土完整，维护边境地区的社会秩序和安全，增进与邻国的睦邻关系，保障边境地区改革开放和经济建设的顺利进行，根据国家法律、法规和有关规定，结合本省实际情况，制定本条例。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根据边境管理的需要，省人民政府在靠近国界我侧划定边境管理区、边境地带和边境禁区。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边境管理区一般是指沿国界的县（市）或乡（镇）行政管辖区域。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边境地带一般是指陆地紧靠国界线二公里以内、水域从国界线延伸至岸上起二公里以内的地域。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边境禁区是指在边境地带内划定的特别控制区，实行特殊的管理制度。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凡在本省边境管理区内居住、通行、生产或从事其他活动的组织和中国公民、外国人（含无国籍人），均应执行本条例。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在各级政府统一领导下，外事部门、公安机关、边防部队（以下简称边境管理部门）分工负责组织本条例实施。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国家机关、企事业单位、社会团体和公民都有保卫国界，保护国界标志和设施，维护祖国尊严和边境地区秩序的义务。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任何人不得非法越过国界。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任何组织和个人不得擅自移动、拆除、毁坏国界标志和标志国界的方位物。如发现其有异常情况，应及时报告边境管理部门，不得擅自处理。国界标志的恢复、修理或重建，按照国家有关规定或国家与邻国达成的协议执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国界通视道的清理，必须按照我国政府与邻国政府达成的协议及时进行。任何组织和个人不得修建影响边界线清晰的建筑物或者构筑物。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任何组织和个人不得擅自进行改变或可能改变国界走向、影响或可能影响界江（河、湖）水道和航道稳定的活动和工程作业。如需进行上述活动，必须依照国家与邻国达成的协议或国家有关规定执行。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任何组织和个人未经省人民政府批准，不得移动、拆除或毁坏边境地带的交通航运、广播电视、通信、水利、测绘、边防、护林防火、国土保护等设施。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建设跨越国界的交通、通信、水利、电力、测绘及其它工程设施，须经省人民政府同意报国家批准，并按国家与邻国签订的协议进行建设、管理和维护。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出入边境管理区的人员需持合法有效证件，并接受公安边防机关的检查。 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（一）凡常住本省边境管理区内年满十六岁以上的本国公民，凭常住户口所在地公安机关签发的《中华人民共和国居民身份证》，可在本省边境管理区内通行。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（二）非本省边境管理区的本国公民出入边境管理区，除国家与省政府另行规定者外，须持《中华人民共和国居民身份证》和县（市）以上公安机关签发的《中华人民共和国边境管理区通行证》。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三）外国人和华侨、香港、澳门、台湾居民前往边境管理区，必须持公安机关签发的《中华人民共和国旅行证》或者《中华人民共和国边境管理区通行证》;前往入出境经由地的边境管理区，凭其入出境有效证件通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（四）中国人民解放军军人出入边境管理区，须持《军人通行证》。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（五）中国人民武装警察部队警察出入边境管理区，须持《武装警察通行证》。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边境管理区内乡村的居民户口，按城镇居民户口管理办法管理。在边境管理区内居民家中暂住的本国公民，须持《中华人民共和国居民身份证》和《中华人民共和国边境管理区通行证》，华侨和香港、澳门、台湾居民，须持合法有效证件和公安机关签发的通行证，在到达后二十四小时内，到当地公安边防派出所或村（居）民委员会申报暂住登记。离开前，须注销登记。在边境管理区旅店住宿的本国公民，须持《中华人民共和国居民身份证》和《中华人民共和国边境管理区通行证》，华侨和香港、澳门、台湾居民，须持合法有效证件和公安机关签发的通行证，办理住宿登记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在边境管理区旅店住宿或居民家中暂住的外国籍（含无国籍）人员，按照《中华人民共和国外国人入境出境管理办法》办理登记。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凡在界江（河、湖）航行的船舶须遵守国家有关规定和国家与邻国达成的有关规定、协议。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凡进入边境地带从事采伐、开荒、复垦、挖沙、采石、采矿、捕捞、流筏、摆渡和爆破作业等活动，须事先由业务主管部门提出意见，经边境管理部门同意后，报县级人民政府或上级人民政府批准，并通报边防部队。作业人员须持有关部门批准的作业证件，按批准的规模、范围和期限活动。严禁进入边境地带的人员私自携带各种枪支、弹药以及其他爆破物品。在边境地带生产，不得有碍边境管理工作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在边境地带进行测绘、勘探、拍摄影片或录像片等活动，须经省边境管理部门批准。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在界江（河、湖）中进行工程建设或疏浚水道、航道，开发利用水资源等活动，除两国政府有协议外，须经省边境管理部门同意，报省人民政府或国家主管部门批准，并按有关规定办理审批手续。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在界江（河、湖）从事捕鱼作业的人员，必须遵守对鱼类品种和繁殖期的保护规定，禁止使用电击、毒害、爆炸以及其他可能危害鱼类资源的捕捞方法。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第十九条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船只在界江（河、湖）从事各种活动，应当采取措施，防止水质污染。岸边设施不得向界江（河、湖）排放超过地方污染物排放标准的污染物质。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禁止走私、贩毒。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在界江（河、湖）中从事各种生产活动的小型船只，由县级人民政府业务主管部门发放安全合格证和作业许可证，公安边防机关发放牌照并实施管理。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任何组织和个人未经县级以上人民政府批准，不得在陆界五百米内，在黑龙江、乌苏里江、松阿察河、额尔古纳河、瑚布图河岸边一百米内，在白梭河、绥芬河界河岸边五十米内和兴凯湖湖岗砍伐树木、开荒和烧荒。在县级人民政府统一领导下，由森林防火部门每年组织有关单位对陆界防火线进行清打。任何组织和个人不准擅自在防火线上从事生产及其他活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在边境地带不准狩猎，除执行公务外，不准鸣枪。护秋期间需要鸣枪的，应事先报请县级人民政府批准，并通报边防部队。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严防牲畜越界。对于越入邻国境内的我方牲畜，不得越界追赶。对邻国交回的我方牲畜，由边防部队会同畜牧部门接收，交畜牧卫生防疫部门处理。如发现邻国牲畜越入我境内，应就地赶回。如已进入纵深地区，应设法捕捉隔离，经检疫后交就近的边防部队，按有关规定处理。不得藏匿、使役、买卖或宰杀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在国界我侧发现非法越境人员或可疑人、可疑物，应立即报告或送交就近公安边防机关或边防部队处理。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在边境管理区开办旅游区、互市贸易点，须报省人民政府批准。在边境地带从事旅游、互市贸易的我方人员和毗邻国家人员，只准在批准的范围内活动，并遵守国家和地方有关规定。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第二十七条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在界江（河、湖）中航行的外国籍船舶，除两国政府有相应协议或不可抗力因素外，非经国家或其授权的主管部门允许，不得越入中国水域航行、停泊或从事各种活动。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经允许进入界江（河、湖）中国水域航行、停泊或从事各种作业活动的外国籍船舶，须遵守中华人民共和国的法律、法规和有关规定。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对外开放口岸和边境通道的设立和关闭，按国家规定，由省人民政府批准或报国务院批准。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第二十九条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出入国界的人员和交通工具、行李物品及运载物，须经国家指定的口岸或与邻国商定的临时过境通道通行，并要遵守有关法律、法规或符合有关规定。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发现外国飞机、其他飞行物、陆路和水路交通工具非法越过国界时，要及时报告当地边境管理部门。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邻国人员、交通工具因不可抗力因素进入我国境内避险时，可予救助，经允许可在规定的范围内活动，并立即报告边境管理部门处理。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对违反本条例的，由公安机关和有关部门视情节轻重给予下列处罚: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（一）有下列行为之一的，处以500元以下罚款或警告。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1.边境管理区内的居民容留外来人员暂住，24小时内未向派出所、村（居）民委员会申报办理暂住登记或离开前不注销登记的;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2.旅店及其他单位未对投宿人员进行登记或擅自收留无证人员住宿的;3.发现人员非法越界而不采取措施或不报告的;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4.监护人员不履行或消极履行监护责任，造成监护对象误越国界或其他不良后果的;5.在界江（河、湖）未按规定停放船只的。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（二）有下列行为之一的，处以500元至2000元（含本数，以下同）罚款，直至没收生产工具和非法所得。1.在边境地带狩猎的;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2.在界江（河、湖）或界江岛屿上与邻国人员进行非法交易的;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3.未经批准进入边境地带从事采伐、开荒、挖沙、采石、捕捞、流筏、摆渡和爆破作业等生产经营活动的;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4.私自携带枪支、弹药以及其他爆破物品进入边境地带的;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5.在界江（河、湖）未按规定停放船只，导致船只被盗或漂失造成涉外事件的;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6.在界江（河、湖）电鱼、毒鱼的;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7.未按规定的时间、地点和范围从事界江（河、湖）生产作业的;8.藏匿、使役、买卖、宰杀邻国越入我国境内牲畜的。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（三）有下列行为之一的，处以2000元至3000元罚款，并责令其恢复被损坏的设施，拆除私建的建筑物。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1.擅自移动、拆除、毁坏国界标志和标志国界方位物的;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2.擅自进行改变或可能改变国界走向、影响或可能影响界江水道和航道稳定的工程作业及其他活动的;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3.擅自移动、拆除或损坏边境地带边防、口岸、交通航运、广播电视、通讯等设施的。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（四）有下列行为之一的，尚不够追究刑事责任的，可以处以3000元至5000元罚款，同时没收生产工具和非法所得，取消界江生产作业资格。1.在界江（河、湖）炸鱼的;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2.越界进行捕捞、采集等生产作业活动的;3.越界走私或盗窃的;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4.企图偷越国界，由于意志以外原因而未得逞的;5.在边境地带擅自鸣枪，引发涉外事件的。罚没款和收缴物品上缴同级财政部门。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</w:t>
      </w:r>
      <w:r>
        <w:rPr>
          <w:rFonts w:hint="eastAsia" w:ascii="黑体" w:hAnsi="黑体" w:eastAsia="黑体" w:cs="黑体"/>
          <w:sz w:val="32"/>
          <w:szCs w:val="32"/>
        </w:rPr>
        <w:t>　第三十二条　</w:t>
      </w:r>
      <w:r>
        <w:rPr>
          <w:rFonts w:hint="eastAsia" w:ascii="仿宋_GB2312" w:hAnsi="仿宋_GB2312" w:eastAsia="仿宋_GB2312" w:cs="仿宋_GB2312"/>
          <w:sz w:val="32"/>
          <w:szCs w:val="32"/>
        </w:rPr>
        <w:t>拒绝、阻碍边境管理部门工作人员依法执行职务，未使用暴力、威胁方法的，由公安机关依照《中华人民共和国治安管理处罚条例》及有关规定予以处罚;构成犯罪的，依法追究刑事责任。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违反本条例构成犯罪的，由司法机关依法追究刑事责任。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边境管理部门的工作人员必须秉公执法，不得徇私舞弊。违者由其所在单位给予行政处分，触犯法律的要依法惩处。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当事人对行政处罚决定不服的，可以在接到处罚通知十五日内，向做出处罚决定的机关的上一级机关申请复议;对复议决定不服的，可以在接到复议决定之日起，十五日内向人民法院起诉。当事人也可以在接到处罚通知之日起十五日内，直接向人民法院起诉。当事人逾期不申请复议或者不向人民法院起诉、又不履行处罚决定的，由做出处罚决定的机关申请人民法院强制执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第三十六条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对于认真执行本条例，做出显著成绩的单位和个人，由各级人民政府给予表彰和奖励。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第三十七条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本条例解释权属于黑龙江省人民代表大会常务委员会;具体应用的解释由黑龙江省人民政府边境管理部门负责。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本条例与国家今后有关规定抵触时，按国家规定执行;本省以往有关规定与本条例抵触时，按本条例执行。</w:t>
      </w:r>
      <w:r>
        <w:rPr>
          <w:rFonts w:hint="eastAsia" w:ascii="仿宋_GB2312" w:hAnsi="仿宋_GB2312" w:eastAsia="仿宋_GB2312" w:cs="仿宋_GB2312"/>
          <w:sz w:val="32"/>
          <w:szCs w:val="32"/>
        </w:rPr>
        <w:br w:type="textWrapping"/>
      </w:r>
      <w:r>
        <w:rPr>
          <w:rFonts w:hint="eastAsia" w:ascii="仿宋_GB2312" w:hAnsi="仿宋_GB2312" w:eastAsia="仿宋_GB2312" w:cs="仿宋_GB2312"/>
          <w:sz w:val="32"/>
          <w:szCs w:val="32"/>
        </w:rPr>
        <w:t>　　</w:t>
      </w:r>
      <w:r>
        <w:rPr>
          <w:rFonts w:hint="eastAsia" w:ascii="黑体" w:hAnsi="黑体" w:eastAsia="黑体" w:cs="黑体"/>
          <w:sz w:val="32"/>
          <w:szCs w:val="32"/>
        </w:rPr>
        <w:t>第三十九条</w:t>
      </w:r>
      <w:r>
        <w:rPr>
          <w:rFonts w:hint="eastAsia" w:ascii="仿宋_GB2312" w:hAnsi="仿宋_GB2312" w:eastAsia="仿宋_GB2312" w:cs="仿宋_GB2312"/>
          <w:sz w:val="32"/>
          <w:szCs w:val="32"/>
        </w:rPr>
        <w:t>　本条例自公布之日起施行。</w:t>
      </w:r>
    </w:p>
    <w:sectPr>
      <w:footerReference r:id="rId3" w:type="default"/>
      <w:pgSz w:w="11906" w:h="16838"/>
      <w:pgMar w:top="2098" w:right="1803" w:bottom="1440" w:left="1587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pgNumType w:fmt="numberInDash" w:start="1"/>
      <w:cols w:space="0" w:num="1"/>
      <w:rtlGutter w:val="0"/>
      <w:docGrid w:type="linesAndChars" w:linePitch="316" w:charSpace="-14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旗黑-55S">
    <w:altName w:val="黑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 w:val="1"/>
  <w:embedSystemFonts/>
  <w:bordersDoNotSurroundHeader w:val="0"/>
  <w:bordersDoNotSurroundFooter w:val="0"/>
  <w:documentProtection w:enforcement="0"/>
  <w:defaultTabStop w:val="420"/>
  <w:drawingGridHorizontalSpacing w:val="101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A3245"/>
    <w:rsid w:val="123D1783"/>
    <w:rsid w:val="18D46270"/>
    <w:rsid w:val="261422D2"/>
    <w:rsid w:val="270D4426"/>
    <w:rsid w:val="280B3B88"/>
    <w:rsid w:val="307E0205"/>
    <w:rsid w:val="35B625E6"/>
    <w:rsid w:val="5332656D"/>
    <w:rsid w:val="56042426"/>
    <w:rsid w:val="5E4A3245"/>
    <w:rsid w:val="628E44C1"/>
    <w:rsid w:val="7EE52F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2016-10-10T08:40:00Z</dcterms:created>
  <dc:creator>Administrator</dc:creator>
  <cp:lastModifiedBy>Administrator</cp:lastModifiedBy>
  <cp:lastPrinted>2016-10-10T09:36:00Z</cp:lastPrinted>
  <dcterms:modified xsi:type="dcterms:W3CDTF">2016-10-14T07:08:47Z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