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83" w:rsidRPr="00305083" w:rsidRDefault="00305083" w:rsidP="00305083">
      <w:pPr>
        <w:rPr>
          <w:rFonts w:ascii="仿宋_GB2312" w:eastAsia="仿宋_GB2312"/>
          <w:sz w:val="32"/>
          <w:szCs w:val="32"/>
        </w:rPr>
      </w:pPr>
    </w:p>
    <w:p w:rsidR="00305083" w:rsidRPr="00305083" w:rsidRDefault="00305083" w:rsidP="00305083">
      <w:pPr>
        <w:rPr>
          <w:rFonts w:ascii="仿宋_GB2312" w:eastAsia="仿宋_GB2312"/>
          <w:sz w:val="32"/>
          <w:szCs w:val="32"/>
        </w:rPr>
      </w:pPr>
    </w:p>
    <w:p w:rsidR="008C10E4" w:rsidRPr="00305083" w:rsidRDefault="008C10E4" w:rsidP="00305083">
      <w:pPr>
        <w:jc w:val="center"/>
        <w:rPr>
          <w:rFonts w:asciiTheme="majorEastAsia" w:eastAsiaTheme="majorEastAsia" w:hAnsiTheme="majorEastAsia"/>
          <w:sz w:val="44"/>
          <w:szCs w:val="44"/>
          <w:lang w:eastAsia="zh-CN"/>
        </w:rPr>
      </w:pPr>
      <w:r w:rsidRPr="00305083">
        <w:rPr>
          <w:rFonts w:asciiTheme="majorEastAsia" w:eastAsiaTheme="majorEastAsia" w:hAnsiTheme="majorEastAsia" w:hint="eastAsia"/>
          <w:sz w:val="44"/>
          <w:szCs w:val="44"/>
          <w:lang w:eastAsia="zh-CN"/>
        </w:rPr>
        <w:t>黑龙江省野生药材资源保护条例</w:t>
      </w:r>
    </w:p>
    <w:p w:rsidR="008C10E4" w:rsidRPr="00305083" w:rsidRDefault="008C10E4" w:rsidP="00305083">
      <w:pPr>
        <w:ind w:leftChars="400" w:left="960" w:rightChars="400" w:right="960"/>
        <w:rPr>
          <w:rFonts w:ascii="楷体_GB2312" w:eastAsia="楷体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Fonts w:ascii="楷体_GB2312" w:eastAsia="楷体_GB2312" w:hAnsi="Verdana" w:hint="eastAsia"/>
          <w:sz w:val="32"/>
          <w:szCs w:val="32"/>
          <w:lang w:eastAsia="zh-CN"/>
        </w:rPr>
        <w:t>(2005年6月24日黑龙江省第十届人民代表大会常务委员会第十五次会议通过  根据</w:t>
      </w:r>
      <w:r w:rsidRPr="00305083">
        <w:rPr>
          <w:rFonts w:ascii="楷体_GB2312" w:eastAsia="楷体_GB2312" w:hAnsi="Simsun" w:hint="eastAsia"/>
          <w:color w:val="000000"/>
          <w:sz w:val="32"/>
          <w:szCs w:val="32"/>
          <w:lang w:eastAsia="zh-CN"/>
        </w:rPr>
        <w:t>2015年4月17日黑龙江省第十二届人民代表大会常务委员会第十九次会议《关于废止和修改</w:t>
      </w:r>
      <w:r w:rsidRPr="00305083">
        <w:rPr>
          <w:rFonts w:ascii="楷体_GB2312" w:eastAsia="楷体_GB2312" w:hint="eastAsia"/>
          <w:color w:val="000000"/>
          <w:sz w:val="32"/>
          <w:szCs w:val="32"/>
          <w:lang w:eastAsia="zh-CN"/>
        </w:rPr>
        <w:t>〈</w:t>
      </w:r>
      <w:r w:rsidRPr="00305083">
        <w:rPr>
          <w:rFonts w:ascii="楷体_GB2312" w:eastAsia="楷体_GB2312" w:hAnsi="Simsun" w:hint="eastAsia"/>
          <w:color w:val="000000"/>
          <w:sz w:val="32"/>
          <w:szCs w:val="32"/>
          <w:lang w:eastAsia="zh-CN"/>
        </w:rPr>
        <w:t>黑龙江省文化市场管理条例</w:t>
      </w:r>
      <w:r w:rsidRPr="00305083">
        <w:rPr>
          <w:rFonts w:ascii="楷体_GB2312" w:eastAsia="楷体_GB2312" w:hint="eastAsia"/>
          <w:color w:val="000000"/>
          <w:sz w:val="32"/>
          <w:szCs w:val="32"/>
          <w:lang w:eastAsia="zh-CN"/>
        </w:rPr>
        <w:t>〉</w:t>
      </w:r>
      <w:r w:rsidRPr="00305083">
        <w:rPr>
          <w:rFonts w:ascii="楷体_GB2312" w:eastAsia="楷体_GB2312" w:hAnsi="Simsun" w:hint="eastAsia"/>
          <w:color w:val="000000"/>
          <w:sz w:val="32"/>
          <w:szCs w:val="32"/>
          <w:lang w:eastAsia="zh-CN"/>
        </w:rPr>
        <w:t>等五十部地方性法规的决定》修正</w:t>
      </w:r>
      <w:r w:rsidR="000113EA">
        <w:rPr>
          <w:rFonts w:ascii="楷体_GB2312" w:eastAsia="楷体_GB2312" w:hAnsi="Simsun" w:hint="eastAsia"/>
          <w:color w:val="000000"/>
          <w:sz w:val="32"/>
          <w:szCs w:val="32"/>
          <w:lang w:eastAsia="zh-CN"/>
        </w:rPr>
        <w:t xml:space="preserve">  </w:t>
      </w:r>
      <w:r w:rsidR="000113EA" w:rsidRPr="000113EA">
        <w:rPr>
          <w:rFonts w:ascii="楷体_GB2312" w:eastAsia="楷体_GB2312" w:hAnsi="Simsun" w:hint="eastAsia"/>
          <w:color w:val="000000"/>
          <w:sz w:val="32"/>
          <w:szCs w:val="32"/>
          <w:lang w:eastAsia="zh-CN"/>
        </w:rPr>
        <w:t>根据2018年4月26日黑龙江省第十三届人民代表大会常务委员会第三次会议《黑龙江省人民代表大会常务委员会关于废止和修改〈黑龙江省统计监督处罚条例〉等72部地方性法规的决定》第</w:t>
      </w:r>
      <w:r w:rsidR="000113EA">
        <w:rPr>
          <w:rFonts w:ascii="楷体_GB2312" w:eastAsia="楷体_GB2312" w:hAnsi="Simsun" w:hint="eastAsia"/>
          <w:color w:val="000000"/>
          <w:sz w:val="32"/>
          <w:szCs w:val="32"/>
          <w:lang w:eastAsia="zh-CN"/>
        </w:rPr>
        <w:t>二</w:t>
      </w:r>
      <w:r w:rsidR="000113EA" w:rsidRPr="000113EA">
        <w:rPr>
          <w:rFonts w:ascii="楷体_GB2312" w:eastAsia="楷体_GB2312" w:hAnsi="Simsun" w:hint="eastAsia"/>
          <w:color w:val="000000"/>
          <w:sz w:val="32"/>
          <w:szCs w:val="32"/>
          <w:lang w:eastAsia="zh-CN"/>
        </w:rPr>
        <w:t>次修正</w:t>
      </w:r>
      <w:r w:rsidR="007D4ED1">
        <w:rPr>
          <w:rFonts w:ascii="楷体_GB2312" w:eastAsia="楷体_GB2312" w:hAnsi="Simsun" w:hint="eastAsia"/>
          <w:color w:val="000000"/>
          <w:sz w:val="32"/>
          <w:szCs w:val="32"/>
          <w:lang w:eastAsia="zh-CN"/>
        </w:rPr>
        <w:t xml:space="preserve">  </w:t>
      </w:r>
      <w:r w:rsidR="007D4ED1" w:rsidRPr="007D4ED1">
        <w:rPr>
          <w:rFonts w:ascii="楷体_GB2312" w:eastAsia="楷体_GB2312" w:hAnsi="Simsun" w:hint="eastAsia"/>
          <w:color w:val="000000"/>
          <w:sz w:val="32"/>
          <w:szCs w:val="32"/>
          <w:lang w:eastAsia="zh-CN"/>
        </w:rPr>
        <w:t>根据2018年6月28日黑龙江省第十三届人民代表大会常务委员会第四次会议《黑龙江省人民代表大会常务委员会关于废止和修改&lt;黑龙江省农作物种子管理条例&gt;等63部地方性法规的决定》第</w:t>
      </w:r>
      <w:r w:rsidR="007D4ED1">
        <w:rPr>
          <w:rFonts w:ascii="楷体_GB2312" w:eastAsia="楷体_GB2312" w:hAnsi="Simsun" w:hint="eastAsia"/>
          <w:color w:val="000000"/>
          <w:sz w:val="32"/>
          <w:szCs w:val="32"/>
          <w:lang w:eastAsia="zh-CN"/>
        </w:rPr>
        <w:t>三</w:t>
      </w:r>
      <w:r w:rsidR="007D4ED1" w:rsidRPr="007D4ED1">
        <w:rPr>
          <w:rFonts w:ascii="楷体_GB2312" w:eastAsia="楷体_GB2312" w:hAnsi="Simsun" w:hint="eastAsia"/>
          <w:color w:val="000000"/>
          <w:sz w:val="32"/>
          <w:szCs w:val="32"/>
          <w:lang w:eastAsia="zh-CN"/>
        </w:rPr>
        <w:t>次修正</w:t>
      </w:r>
      <w:r w:rsidRPr="00305083">
        <w:rPr>
          <w:rFonts w:ascii="楷体_GB2312" w:eastAsia="楷体_GB2312" w:hAnsi="Simsun" w:hint="eastAsia"/>
          <w:color w:val="000000"/>
          <w:sz w:val="32"/>
          <w:szCs w:val="32"/>
          <w:lang w:eastAsia="zh-CN"/>
        </w:rPr>
        <w:t>)</w:t>
      </w:r>
    </w:p>
    <w:p w:rsidR="00305083" w:rsidRDefault="00305083" w:rsidP="00305083">
      <w:pPr>
        <w:jc w:val="center"/>
        <w:rPr>
          <w:rStyle w:val="a5"/>
          <w:rFonts w:ascii="黑体" w:eastAsia="黑体" w:hAnsi="黑体"/>
          <w:b w:val="0"/>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Style w:val="a5"/>
          <w:rFonts w:ascii="黑体" w:eastAsia="黑体" w:hAnsi="黑体" w:hint="eastAsia"/>
          <w:b w:val="0"/>
          <w:sz w:val="32"/>
          <w:szCs w:val="32"/>
          <w:lang w:eastAsia="zh-CN"/>
        </w:rPr>
        <w:t>第一章</w:t>
      </w:r>
      <w:r w:rsidRPr="00305083">
        <w:rPr>
          <w:rStyle w:val="a5"/>
          <w:rFonts w:ascii="Verdana" w:eastAsia="黑体" w:hAnsi="Verdana" w:hint="eastAsia"/>
          <w:b w:val="0"/>
          <w:sz w:val="32"/>
          <w:szCs w:val="32"/>
          <w:lang w:eastAsia="zh-CN"/>
        </w:rPr>
        <w:t> </w:t>
      </w:r>
      <w:r w:rsidRPr="00305083">
        <w:rPr>
          <w:rStyle w:val="a5"/>
          <w:rFonts w:ascii="黑体" w:eastAsia="黑体" w:hAnsi="黑体" w:hint="eastAsia"/>
          <w:b w:val="0"/>
          <w:sz w:val="32"/>
          <w:szCs w:val="32"/>
          <w:lang w:eastAsia="zh-CN"/>
        </w:rPr>
        <w:t xml:space="preserve"> 总</w:t>
      </w:r>
      <w:r w:rsidRPr="00305083">
        <w:rPr>
          <w:rStyle w:val="a5"/>
          <w:rFonts w:ascii="Verdana" w:eastAsia="黑体" w:hAnsi="Verdana" w:hint="eastAsia"/>
          <w:b w:val="0"/>
          <w:sz w:val="32"/>
          <w:szCs w:val="32"/>
          <w:lang w:eastAsia="zh-CN"/>
        </w:rPr>
        <w:t> </w:t>
      </w:r>
      <w:r w:rsidRPr="00305083">
        <w:rPr>
          <w:rStyle w:val="a5"/>
          <w:rFonts w:ascii="黑体" w:eastAsia="黑体" w:hAnsi="黑体" w:hint="eastAsia"/>
          <w:b w:val="0"/>
          <w:sz w:val="32"/>
          <w:szCs w:val="32"/>
          <w:lang w:eastAsia="zh-CN"/>
        </w:rPr>
        <w:t xml:space="preserve"> 则</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第一条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为了保护、合理利用野生药材资源，改善区域生态环境，发展中医药事业，保障人体健康，根据《中华人</w:t>
      </w:r>
      <w:r w:rsidRPr="00305083">
        <w:rPr>
          <w:rFonts w:ascii="仿宋_GB2312" w:eastAsia="仿宋_GB2312" w:hAnsi="Verdana" w:hint="eastAsia"/>
          <w:sz w:val="32"/>
          <w:szCs w:val="32"/>
          <w:lang w:eastAsia="zh-CN"/>
        </w:rPr>
        <w:lastRenderedPageBreak/>
        <w:t>民共和国药品管理法》等有关法律、行政法规规定，结合本省实际，制定本条例。</w:t>
      </w:r>
      <w:r w:rsidRPr="00305083">
        <w:rPr>
          <w:rFonts w:ascii="仿宋_GB2312" w:eastAsia="仿宋_GB2312" w:hAnsi="Verdana" w:hint="eastAsia"/>
          <w:sz w:val="32"/>
          <w:szCs w:val="32"/>
          <w:lang w:eastAsia="zh-CN"/>
        </w:rPr>
        <w:br/>
      </w:r>
      <w:r w:rsidRPr="00305083">
        <w:rPr>
          <w:rFonts w:ascii="仿宋_GB2312" w:eastAsia="仿宋_GB2312" w:hAnsi="黑体" w:hint="eastAsia"/>
          <w:sz w:val="32"/>
          <w:szCs w:val="32"/>
          <w:lang w:eastAsia="zh-CN"/>
        </w:rPr>
        <w:t xml:space="preserve">　</w:t>
      </w:r>
      <w:r w:rsidRPr="00305083">
        <w:rPr>
          <w:rFonts w:ascii="黑体" w:eastAsia="黑体" w:hAnsi="黑体" w:hint="eastAsia"/>
          <w:sz w:val="32"/>
          <w:szCs w:val="32"/>
          <w:lang w:eastAsia="zh-CN"/>
        </w:rPr>
        <w:t xml:space="preserve">　第二条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在本省行政区域内从事野生药材采集、猎捕、收购、运输、繁育、资源保护、管理等活动的单位和个人，应当遵守本条例。</w:t>
      </w:r>
      <w:r w:rsidRPr="00305083">
        <w:rPr>
          <w:rFonts w:ascii="仿宋_GB2312" w:eastAsia="仿宋_GB2312" w:hAnsi="Verdana" w:hint="eastAsia"/>
          <w:sz w:val="32"/>
          <w:szCs w:val="32"/>
          <w:lang w:eastAsia="zh-CN"/>
        </w:rPr>
        <w:br/>
      </w:r>
      <w:r w:rsidRPr="00305083">
        <w:rPr>
          <w:rFonts w:ascii="黑体" w:eastAsia="黑体" w:hAnsi="黑体" w:hint="eastAsia"/>
          <w:sz w:val="32"/>
          <w:szCs w:val="32"/>
          <w:lang w:eastAsia="zh-CN"/>
        </w:rPr>
        <w:t xml:space="preserve">　　第三条 </w:t>
      </w:r>
      <w:r w:rsidRPr="00305083">
        <w:rPr>
          <w:rFonts w:ascii="仿宋_GB2312" w:eastAsia="仿宋_GB2312" w:hAnsi="Verdana" w:hint="eastAsia"/>
          <w:sz w:val="32"/>
          <w:szCs w:val="32"/>
          <w:lang w:eastAsia="zh-CN"/>
        </w:rPr>
        <w:t xml:space="preserve"> 本条例所称的野生药材是指在原生地天然生长和经人工培育后自然生长的药用植物；在原生地自然生息和经人工繁殖后自然生长的药用动物。</w:t>
      </w:r>
      <w:r w:rsidRPr="00305083">
        <w:rPr>
          <w:rFonts w:ascii="仿宋_GB2312" w:eastAsia="仿宋_GB2312" w:hAnsi="Verdana" w:hint="eastAsia"/>
          <w:sz w:val="32"/>
          <w:szCs w:val="32"/>
          <w:lang w:eastAsia="zh-CN"/>
        </w:rPr>
        <w:br/>
        <w:t xml:space="preserve">　</w:t>
      </w:r>
      <w:r w:rsidRPr="00305083">
        <w:rPr>
          <w:rFonts w:ascii="黑体" w:eastAsia="黑体" w:hAnsi="黑体" w:hint="eastAsia"/>
          <w:sz w:val="32"/>
          <w:szCs w:val="32"/>
          <w:lang w:eastAsia="zh-CN"/>
        </w:rPr>
        <w:t xml:space="preserve">　第四条</w:t>
      </w:r>
      <w:r w:rsidRPr="00305083">
        <w:rPr>
          <w:rFonts w:ascii="宋体" w:eastAsia="仿宋_GB2312" w:hAnsi="宋体" w:hint="eastAsia"/>
          <w:sz w:val="32"/>
          <w:szCs w:val="32"/>
          <w:lang w:eastAsia="zh-CN"/>
        </w:rPr>
        <w:t> </w:t>
      </w:r>
      <w:r w:rsidRPr="00305083">
        <w:rPr>
          <w:rFonts w:ascii="仿宋_GB2312" w:eastAsia="仿宋_GB2312" w:hAnsi="Verdana" w:hint="eastAsia"/>
          <w:sz w:val="32"/>
          <w:szCs w:val="32"/>
          <w:lang w:eastAsia="zh-CN"/>
        </w:rPr>
        <w:t xml:space="preserve"> 野生药材资源实行保护、繁育和合理利用并重的方针，坚持植物药材采集与培育相结合，动物药材猎捕与饲养相结合的原则。</w:t>
      </w:r>
      <w:r w:rsidRPr="00305083">
        <w:rPr>
          <w:rFonts w:ascii="仿宋_GB2312" w:eastAsia="仿宋_GB2312" w:hAnsi="Verdana" w:hint="eastAsia"/>
          <w:sz w:val="32"/>
          <w:szCs w:val="32"/>
          <w:lang w:eastAsia="zh-CN"/>
        </w:rPr>
        <w:br/>
      </w:r>
      <w:r w:rsidRPr="00305083">
        <w:rPr>
          <w:rFonts w:ascii="黑体" w:eastAsia="黑体" w:hAnsi="黑体" w:hint="eastAsia"/>
          <w:sz w:val="32"/>
          <w:szCs w:val="32"/>
          <w:lang w:eastAsia="zh-CN"/>
        </w:rPr>
        <w:t xml:space="preserve">　　第五条</w:t>
      </w:r>
      <w:r w:rsidRPr="00305083">
        <w:rPr>
          <w:rFonts w:ascii="宋体" w:eastAsia="仿宋_GB2312" w:hAnsi="宋体" w:hint="eastAsia"/>
          <w:sz w:val="32"/>
          <w:szCs w:val="32"/>
          <w:lang w:eastAsia="zh-CN"/>
        </w:rPr>
        <w:t> </w:t>
      </w:r>
      <w:r w:rsidR="00305083">
        <w:rPr>
          <w:rFonts w:ascii="仿宋_GB2312" w:eastAsia="仿宋_GB2312" w:hAnsi="仿宋_GB2312" w:cs="仿宋_GB2312" w:hint="eastAsia"/>
          <w:sz w:val="32"/>
          <w:szCs w:val="32"/>
          <w:lang w:eastAsia="zh-CN"/>
        </w:rPr>
        <w:t>省食品药品监督管理部门负责组织实施本条例，具体工作由省野生药材资源保护管理机构负责</w:t>
      </w:r>
      <w:r w:rsidR="00305083">
        <w:rPr>
          <w:rFonts w:ascii="仿宋_GB2312" w:eastAsia="仿宋_GB2312" w:hAnsi="仿宋_GB2312" w:cs="仿宋_GB2312" w:hint="eastAsia"/>
          <w:sz w:val="32"/>
          <w:szCs w:val="32"/>
          <w:shd w:val="clear" w:color="auto" w:fill="FFFFFF"/>
          <w:lang w:eastAsia="zh-CN"/>
        </w:rPr>
        <w:t>。</w:t>
      </w:r>
      <w:r w:rsidRPr="00305083">
        <w:rPr>
          <w:rFonts w:ascii="仿宋_GB2312" w:eastAsia="仿宋_GB2312" w:hAnsi="Verdana" w:hint="eastAsia"/>
          <w:sz w:val="32"/>
          <w:szCs w:val="32"/>
          <w:lang w:eastAsia="zh-CN"/>
        </w:rPr>
        <w:t xml:space="preserve"> </w:t>
      </w:r>
      <w:r w:rsidRPr="00305083">
        <w:rPr>
          <w:rFonts w:ascii="仿宋_GB2312" w:eastAsia="仿宋_GB2312" w:hAnsi="Verdana" w:hint="eastAsia"/>
          <w:sz w:val="32"/>
          <w:szCs w:val="32"/>
          <w:lang w:eastAsia="zh-CN"/>
        </w:rPr>
        <w:br/>
        <w:t xml:space="preserve">　　</w:t>
      </w:r>
      <w:r w:rsidR="00305083">
        <w:rPr>
          <w:rFonts w:ascii="仿宋_GB2312" w:eastAsia="仿宋_GB2312" w:hAnsi="仿宋_GB2312" w:cs="仿宋_GB2312" w:hint="eastAsia"/>
          <w:sz w:val="32"/>
          <w:szCs w:val="32"/>
          <w:lang w:eastAsia="zh-CN"/>
        </w:rPr>
        <w:t>县级以上负责野生药材资源保护工作的部门以及有关部门应当按照各自职责做好野生药材资源保护相关工作。</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Fonts w:ascii="黑体" w:eastAsia="黑体" w:hAnsi="黑体" w:hint="eastAsia"/>
          <w:sz w:val="32"/>
          <w:szCs w:val="32"/>
          <w:lang w:eastAsia="zh-CN"/>
        </w:rPr>
        <w:t>第六条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县级以上食品药品监督管理部门应当制定野生药材资源中、长期保护和发展规划。</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应当建立野生药材资源档案。</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第七条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县级以上人民政府应当设立野生药材资源保护专项资金。鼓励建立野生药材资源保护区和扶持中药材发展。</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sz w:val="32"/>
          <w:szCs w:val="32"/>
          <w:lang w:eastAsia="zh-CN"/>
        </w:rPr>
        <w:lastRenderedPageBreak/>
        <w:t>第八条</w:t>
      </w:r>
      <w:r w:rsidRPr="00305083">
        <w:rPr>
          <w:rFonts w:ascii="Verdana" w:eastAsia="仿宋_GB2312" w:hAnsi="Verdana" w:hint="eastAsia"/>
          <w:sz w:val="32"/>
          <w:szCs w:val="32"/>
          <w:lang w:eastAsia="zh-CN"/>
        </w:rPr>
        <w:t> </w:t>
      </w:r>
      <w:r w:rsidR="00305083">
        <w:rPr>
          <w:rFonts w:ascii="仿宋_GB2312" w:eastAsia="仿宋_GB2312" w:hAnsi="仿宋_GB2312" w:cs="仿宋_GB2312" w:hint="eastAsia"/>
          <w:sz w:val="32"/>
          <w:szCs w:val="32"/>
          <w:lang w:eastAsia="zh-CN"/>
        </w:rPr>
        <w:t>县级以上负责野生药材资源保护工作的部门应当对野生药材资源实行动态监测和定期普查，建立野生药材资源保护的预警机制，及时将管辖区内接近濒危的野生药材物种情况，上报省野生药材资源保护管理机构。</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Fonts w:ascii="黑体" w:eastAsia="黑体" w:hAnsi="黑体" w:hint="eastAsia"/>
          <w:bCs/>
          <w:sz w:val="32"/>
          <w:szCs w:val="32"/>
          <w:lang w:eastAsia="zh-CN"/>
        </w:rPr>
        <w:t>第二章  采集与猎捕</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第九条 </w:t>
      </w:r>
      <w:r w:rsidRPr="00305083">
        <w:rPr>
          <w:rFonts w:ascii="仿宋_GB2312" w:eastAsia="仿宋_GB2312" w:hAnsi="Verdana" w:hint="eastAsia"/>
          <w:sz w:val="32"/>
          <w:szCs w:val="32"/>
          <w:lang w:eastAsia="zh-CN"/>
        </w:rPr>
        <w:t xml:space="preserve"> 国家和省重点保护野生药材物种：</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（一）国家一级保护野生药材物种：豹、梅花鹿、麝（俗称香獐子、麋鹿）；</w:t>
      </w:r>
      <w:r w:rsidRPr="00305083">
        <w:rPr>
          <w:rFonts w:ascii="仿宋_GB2312" w:eastAsia="仿宋_GB2312" w:hAnsi="Verdana" w:hint="eastAsia"/>
          <w:sz w:val="32"/>
          <w:szCs w:val="32"/>
          <w:lang w:eastAsia="zh-CN"/>
        </w:rPr>
        <w:br/>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（二）国家二级保护野生药材物种：马鹿、黑熊、棕熊、林蛙（中国林蛙、黑龙江林蛙）、人参（山参）、甘草、黄檗（俗称黄菠萝）;</w:t>
      </w:r>
      <w:r w:rsidRPr="00305083">
        <w:rPr>
          <w:rFonts w:ascii="仿宋_GB2312" w:eastAsia="仿宋_GB2312" w:hAnsi="Verdana" w:hint="eastAsia"/>
          <w:sz w:val="32"/>
          <w:szCs w:val="32"/>
          <w:lang w:eastAsia="zh-CN"/>
        </w:rPr>
        <w:br/>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（三）国家三级保护野生药材物种：刺五加、五味子（俗称山花椒）、防风、龙胆草(条叶龙胆、龙胆、三花龙胆)、黄芩、远志、细辛;</w:t>
      </w:r>
      <w:r w:rsidRPr="00305083">
        <w:rPr>
          <w:rFonts w:ascii="仿宋_GB2312" w:eastAsia="仿宋_GB2312" w:hAnsi="Verdana" w:hint="eastAsia"/>
          <w:sz w:val="32"/>
          <w:szCs w:val="32"/>
          <w:lang w:eastAsia="zh-CN"/>
        </w:rPr>
        <w:br/>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四）省重点保护野生药材物种：桔梗、知母、柴胡（狭叶柴胡、柴胡）、兴安杜鹃（满山红）、芡实、黄芪（蒙古黄芪、膜荚黄芪）、升麻、穿山龙、赤芍、红景天（高山红景天、兴安红景天）、苍术、暴马丁香。</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国家重点保护野生药材物种、级别调整时，从其规定。其他野生药材物种需要列入省重点保护野生药材物种的，以省食品药品监督管理部门发布的公告为准。</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lastRenderedPageBreak/>
        <w:t xml:space="preserve">　　第十条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国家和省重点保护野生药材物种的采集、猎捕期及采集、猎捕禁止事项，按照下列规定执行：</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（一）林蛙的捕捉期为九月至次年四月，禁止捕捞幼蛙、蝌蚪和蛙卵；</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（二）人参的采挖期为八月至十月，禁止采挖幼苗；</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（三）关黄柏应当从黄檗原木、采伐剩余物上剥取，禁止剥活立木；</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（四）刺五加的采挖期为八月至十一月，禁止采挖幼株；</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（五）五味子的采果期为九月至十一月，禁止割藤和采摘不成熟的果实；</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（六）防风的采挖期为五月至十月，禁止采挖幼苗和抽苔打籽植株；</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（七）甘草、龙胆草、黄芩、远志、细辛、桔梗、知母、柴胡、黄芪、升麻、赤芍、苍术、穿山龙的采挖期为六月至十月，禁止采挖幼苗；</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（八）满山红的采摘期为七月至九月，禁止用割折枝条的方法采集；</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（九）芡实的采收期为九月至十月；</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（十）红景天的采挖期为七月至九月，禁止采挖幼苗。</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第十一条</w:t>
      </w:r>
      <w:r w:rsidR="00A33832">
        <w:rPr>
          <w:rFonts w:ascii="黑体" w:eastAsia="黑体" w:hAnsi="黑体" w:hint="eastAsia"/>
          <w:sz w:val="32"/>
          <w:szCs w:val="32"/>
          <w:lang w:eastAsia="zh-CN"/>
        </w:rPr>
        <w:t xml:space="preserve">  </w:t>
      </w:r>
      <w:r w:rsidRPr="00305083">
        <w:rPr>
          <w:rFonts w:ascii="仿宋_GB2312" w:eastAsia="仿宋_GB2312" w:hAnsi="Verdana" w:hint="eastAsia"/>
          <w:sz w:val="32"/>
          <w:szCs w:val="32"/>
          <w:lang w:eastAsia="zh-CN"/>
        </w:rPr>
        <w:t>禁止猎捕国家一级保护野生药材物种。人工驯养繁殖需要猎捕的，按照有关法律、法规规定执行。</w:t>
      </w:r>
    </w:p>
    <w:p w:rsidR="00305083" w:rsidRDefault="008C10E4" w:rsidP="00305083">
      <w:pPr>
        <w:ind w:firstLine="640"/>
        <w:rPr>
          <w:rFonts w:ascii="仿宋_GB2312" w:eastAsia="仿宋_GB2312" w:hAnsi="仿宋_GB2312" w:cs="仿宋_GB2312"/>
          <w:sz w:val="32"/>
          <w:szCs w:val="32"/>
          <w:lang w:eastAsia="zh-CN"/>
        </w:rPr>
      </w:pPr>
      <w:r w:rsidRPr="00305083">
        <w:rPr>
          <w:rFonts w:ascii="黑体" w:eastAsia="黑体" w:hAnsi="黑体" w:hint="eastAsia"/>
          <w:sz w:val="32"/>
          <w:szCs w:val="32"/>
          <w:lang w:eastAsia="zh-CN"/>
        </w:rPr>
        <w:lastRenderedPageBreak/>
        <w:t>第十二条</w:t>
      </w:r>
      <w:r w:rsidR="00A33832">
        <w:rPr>
          <w:rFonts w:ascii="Verdana" w:eastAsia="仿宋_GB2312" w:hAnsi="Verdana" w:hint="eastAsia"/>
          <w:sz w:val="32"/>
          <w:szCs w:val="32"/>
          <w:lang w:eastAsia="zh-CN"/>
        </w:rPr>
        <w:t xml:space="preserve">  </w:t>
      </w:r>
      <w:r w:rsidR="00305083">
        <w:rPr>
          <w:rFonts w:ascii="仿宋_GB2312" w:eastAsia="仿宋_GB2312" w:hAnsi="仿宋_GB2312" w:cs="仿宋_GB2312" w:hint="eastAsia"/>
          <w:sz w:val="32"/>
          <w:szCs w:val="32"/>
          <w:lang w:eastAsia="zh-CN"/>
        </w:rPr>
        <w:t>采集、猎捕、收购国家二、三级保护野生药材物种的，必须按照批准的计划执行。该计划由县级以上负责野生药材资源保护工作的部门会同同级野生动物植物管理部门制定，报上一级食品药品监督管理部门批准。</w:t>
      </w:r>
    </w:p>
    <w:p w:rsidR="008C10E4" w:rsidRPr="00305083" w:rsidRDefault="00305083" w:rsidP="00305083">
      <w:pPr>
        <w:ind w:firstLine="640"/>
        <w:rPr>
          <w:rFonts w:ascii="仿宋_GB2312" w:eastAsia="仿宋_GB2312" w:hAnsi="Verdana"/>
          <w:sz w:val="32"/>
          <w:szCs w:val="32"/>
          <w:lang w:eastAsia="zh-CN"/>
        </w:rPr>
      </w:pPr>
      <w:r>
        <w:rPr>
          <w:rFonts w:ascii="仿宋_GB2312" w:eastAsia="仿宋_GB2312" w:hAnsi="仿宋_GB2312" w:cs="仿宋_GB2312" w:hint="eastAsia"/>
          <w:sz w:val="32"/>
          <w:szCs w:val="32"/>
          <w:lang w:eastAsia="zh-CN"/>
        </w:rPr>
        <w:t>采集、猎捕国家和省重点保护野生药材物种的，应当办理采药证。采药证由省食品药品监督管理部门印制，县级负责野生药材资源保护工作的部门会同同级野生动物植物管理部门核发。涉及到采伐林木和猎捕动物的，应当同时取得相应的许可。</w:t>
      </w:r>
    </w:p>
    <w:p w:rsidR="00A33832" w:rsidRDefault="008C10E4" w:rsidP="00A33832">
      <w:pPr>
        <w:ind w:firstLineChars="200" w:firstLine="640"/>
        <w:rPr>
          <w:rFonts w:ascii="仿宋_GB2312" w:eastAsia="仿宋_GB2312" w:hAnsi="仿宋_GB2312" w:cs="仿宋_GB2312"/>
          <w:sz w:val="32"/>
          <w:szCs w:val="32"/>
          <w:lang w:eastAsia="zh-CN"/>
        </w:rPr>
      </w:pPr>
      <w:r w:rsidRPr="00305083">
        <w:rPr>
          <w:rFonts w:ascii="黑体" w:eastAsia="黑体" w:hAnsi="黑体" w:hint="eastAsia"/>
          <w:sz w:val="32"/>
          <w:szCs w:val="32"/>
          <w:lang w:eastAsia="zh-CN"/>
        </w:rPr>
        <w:t>第十三条</w:t>
      </w:r>
      <w:r w:rsidR="00A33832">
        <w:rPr>
          <w:rFonts w:ascii="黑体" w:eastAsia="黑体" w:hAnsi="黑体" w:hint="eastAsia"/>
          <w:sz w:val="32"/>
          <w:szCs w:val="32"/>
          <w:lang w:eastAsia="zh-CN"/>
        </w:rPr>
        <w:t xml:space="preserve">  </w:t>
      </w:r>
      <w:r w:rsidR="00A33832">
        <w:rPr>
          <w:rFonts w:ascii="仿宋_GB2312" w:eastAsia="仿宋_GB2312" w:hAnsi="仿宋_GB2312" w:cs="仿宋_GB2312" w:hint="eastAsia"/>
          <w:sz w:val="32"/>
          <w:szCs w:val="32"/>
          <w:lang w:eastAsia="zh-CN"/>
        </w:rPr>
        <w:t>采集、猎捕野生药材物种的，不得在禁止采猎区、禁止采猎期进行，不得使用割藤、剥活立木、投毒、电击等严重破坏野生药材资源的方法，不得使用禁用工具。</w:t>
      </w:r>
    </w:p>
    <w:p w:rsidR="008C10E4" w:rsidRPr="00305083" w:rsidRDefault="00A33832" w:rsidP="00A33832">
      <w:pPr>
        <w:ind w:firstLineChars="200" w:firstLine="640"/>
        <w:rPr>
          <w:rFonts w:ascii="仿宋_GB2312" w:eastAsia="仿宋_GB2312" w:hAnsi="Verdana"/>
          <w:sz w:val="32"/>
          <w:szCs w:val="32"/>
          <w:lang w:eastAsia="zh-CN"/>
        </w:rPr>
      </w:pPr>
      <w:r>
        <w:rPr>
          <w:rFonts w:ascii="仿宋_GB2312" w:eastAsia="仿宋_GB2312" w:hAnsi="仿宋_GB2312" w:cs="仿宋_GB2312" w:hint="eastAsia"/>
          <w:sz w:val="32"/>
          <w:szCs w:val="32"/>
          <w:lang w:eastAsia="zh-CN"/>
        </w:rPr>
        <w:t>前款关于禁止采猎区、禁止采猎期和禁止使用的工具，由县级以上负责野生药材资源保护工作的部门会同同级野生动物植物管理部门确定。</w:t>
      </w:r>
    </w:p>
    <w:p w:rsidR="008C10E4" w:rsidRPr="00305083" w:rsidRDefault="008C10E4" w:rsidP="00305083">
      <w:pPr>
        <w:ind w:firstLineChars="200" w:firstLine="640"/>
        <w:rPr>
          <w:rFonts w:ascii="仿宋_GB2312" w:eastAsia="仿宋_GB2312" w:hAnsi="Verdana"/>
          <w:sz w:val="32"/>
          <w:szCs w:val="32"/>
          <w:lang w:eastAsia="zh-CN"/>
        </w:rPr>
      </w:pPr>
      <w:r w:rsidRPr="00305083">
        <w:rPr>
          <w:rFonts w:ascii="黑体" w:eastAsia="黑体" w:hAnsi="黑体" w:hint="eastAsia"/>
          <w:sz w:val="32"/>
          <w:szCs w:val="32"/>
          <w:lang w:eastAsia="zh-CN"/>
        </w:rPr>
        <w:t>第十四条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列入野生药材资源保护预警机制的野生药材物种，省食品药品监督管理部门应当会同同级野生动物植物保护管理部门发布禁采令或者禁捕令，并制定保护、恢复措施和计划。</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第十五条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外国人进行野生药材资源考察、采集、猎捕标本等活动，依照有关法律、行政法规规定办理有关手续。</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Fonts w:ascii="Verdana" w:eastAsia="仿宋_GB2312" w:hAnsi="Verdana" w:hint="eastAsia"/>
          <w:sz w:val="32"/>
          <w:szCs w:val="32"/>
          <w:lang w:eastAsia="zh-CN"/>
        </w:rPr>
        <w:t>        </w:t>
      </w:r>
    </w:p>
    <w:p w:rsidR="008C10E4" w:rsidRPr="00305083" w:rsidRDefault="008C10E4" w:rsidP="00305083">
      <w:pPr>
        <w:rPr>
          <w:rFonts w:ascii="黑体" w:eastAsia="黑体" w:hAnsi="黑体"/>
          <w:sz w:val="32"/>
          <w:szCs w:val="32"/>
          <w:lang w:eastAsia="zh-CN"/>
        </w:rPr>
      </w:pPr>
      <w:r w:rsidRPr="00305083">
        <w:rPr>
          <w:rFonts w:ascii="仿宋_GB2312" w:eastAsia="仿宋_GB2312" w:hAnsi="Verdana" w:hint="eastAsia"/>
          <w:sz w:val="32"/>
          <w:szCs w:val="32"/>
          <w:lang w:eastAsia="zh-CN"/>
        </w:rPr>
        <w:lastRenderedPageBreak/>
        <w:t xml:space="preserve">                 </w:t>
      </w:r>
      <w:r w:rsidRPr="00305083">
        <w:rPr>
          <w:rFonts w:ascii="黑体" w:eastAsia="黑体" w:hAnsi="黑体" w:hint="eastAsia"/>
          <w:bCs/>
          <w:sz w:val="32"/>
          <w:szCs w:val="32"/>
          <w:lang w:eastAsia="zh-CN"/>
        </w:rPr>
        <w:t>第三章 保护区管理</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第十六条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凡具备下列条件之一的，可以建立野生药材资源保护区：</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（一）濒临灭绝状态的稀有珍贵野生药材物种分布的地域；</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（二）国家和省重点保护的野生药材物种已经遭到破坏，经保护能够恢复自然生态的地域；</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（三）资源严重减少的主要常用野生药材物种分布集中的地域；</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（四）对人体防病、治病具有特殊作用的野生药材分布的地域。</w:t>
      </w:r>
    </w:p>
    <w:p w:rsidR="00A33832" w:rsidRDefault="008C10E4" w:rsidP="00A33832">
      <w:pPr>
        <w:rPr>
          <w:rFonts w:ascii="仿宋_GB2312" w:eastAsia="仿宋_GB2312" w:hAnsi="仿宋_GB2312" w:cs="仿宋_GB2312"/>
          <w:sz w:val="32"/>
          <w:szCs w:val="32"/>
          <w:lang w:eastAsia="zh-CN"/>
        </w:rPr>
      </w:pPr>
      <w:r w:rsidRPr="00305083">
        <w:rPr>
          <w:rFonts w:ascii="仿宋_GB2312" w:eastAsia="仿宋_GB2312" w:hAnsi="Verdana" w:hint="eastAsia"/>
          <w:sz w:val="32"/>
          <w:szCs w:val="32"/>
          <w:lang w:eastAsia="zh-CN"/>
        </w:rPr>
        <w:t xml:space="preserve">　</w:t>
      </w:r>
      <w:r w:rsidRPr="00305083">
        <w:rPr>
          <w:rFonts w:ascii="黑体" w:eastAsia="黑体" w:hAnsi="黑体" w:hint="eastAsia"/>
          <w:bCs/>
          <w:sz w:val="32"/>
          <w:szCs w:val="32"/>
          <w:lang w:eastAsia="zh-CN"/>
        </w:rPr>
        <w:t xml:space="preserve">　第十七条</w:t>
      </w:r>
      <w:r w:rsidR="00A33832">
        <w:rPr>
          <w:rFonts w:ascii="Verdana" w:eastAsia="仿宋_GB2312" w:hAnsi="Verdana" w:hint="eastAsia"/>
          <w:sz w:val="32"/>
          <w:szCs w:val="32"/>
          <w:lang w:eastAsia="zh-CN"/>
        </w:rPr>
        <w:t xml:space="preserve">  </w:t>
      </w:r>
      <w:r w:rsidR="00A33832">
        <w:rPr>
          <w:rFonts w:ascii="仿宋_GB2312" w:eastAsia="仿宋_GB2312" w:hAnsi="仿宋_GB2312" w:cs="仿宋_GB2312" w:hint="eastAsia"/>
          <w:sz w:val="32"/>
          <w:szCs w:val="32"/>
          <w:lang w:eastAsia="zh-CN"/>
        </w:rPr>
        <w:t>建立国家或者地方野生药材资源保护区，需经国务院或者县以上人民政府批准。</w:t>
      </w:r>
    </w:p>
    <w:p w:rsidR="00A33832" w:rsidRDefault="00A33832" w:rsidP="00A33832">
      <w:pPr>
        <w:rPr>
          <w:rFonts w:ascii="仿宋_GB2312" w:eastAsia="仿宋_GB2312" w:hAnsi="仿宋_GB2312" w:cs="仿宋_GB2312"/>
          <w:sz w:val="32"/>
          <w:szCs w:val="32"/>
          <w:lang w:eastAsia="zh-CN"/>
        </w:rPr>
      </w:pPr>
      <w:r>
        <w:rPr>
          <w:rFonts w:ascii="仿宋_GB2312" w:eastAsia="仿宋_GB2312" w:hAnsi="仿宋_GB2312" w:cs="仿宋_GB2312" w:hint="eastAsia"/>
          <w:sz w:val="32"/>
          <w:szCs w:val="32"/>
          <w:lang w:eastAsia="zh-CN"/>
        </w:rPr>
        <w:t xml:space="preserve">    在国家或者地方自然保护区内建立野生药材资源保护区，应当征得该自然保护区主管部门的同意。</w:t>
      </w:r>
    </w:p>
    <w:p w:rsidR="008C10E4" w:rsidRPr="00305083" w:rsidRDefault="00A33832" w:rsidP="00A33832">
      <w:pPr>
        <w:rPr>
          <w:rFonts w:ascii="仿宋_GB2312" w:eastAsia="仿宋_GB2312" w:hAnsi="Verdana"/>
          <w:sz w:val="32"/>
          <w:szCs w:val="32"/>
          <w:lang w:eastAsia="zh-CN"/>
        </w:rPr>
      </w:pPr>
      <w:r>
        <w:rPr>
          <w:rFonts w:ascii="仿宋_GB2312" w:eastAsia="仿宋_GB2312" w:hAnsi="仿宋_GB2312" w:cs="仿宋_GB2312" w:hint="eastAsia"/>
          <w:sz w:val="32"/>
          <w:szCs w:val="32"/>
          <w:lang w:eastAsia="zh-CN"/>
        </w:rPr>
        <w:t xml:space="preserve">    进入野生药材资源保护区从事科研、教学、旅游等活动的，应当经该保护区管理部门批准。进入设在国家或者地方自然保护区范围内野生药材资源保护区的，还须征得该自然保护区主管部门的同意。</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第十八条 </w:t>
      </w:r>
      <w:r w:rsidRPr="00305083">
        <w:rPr>
          <w:rFonts w:ascii="仿宋_GB2312" w:eastAsia="仿宋_GB2312" w:hAnsi="Verdana" w:hint="eastAsia"/>
          <w:sz w:val="32"/>
          <w:szCs w:val="32"/>
          <w:lang w:eastAsia="zh-CN"/>
        </w:rPr>
        <w:t xml:space="preserve"> 野生药材资源保护区应当建立保护组织，制定发展规划和保护管理制度。实行专人负责，完善保护设施，按照批准的范围标明区界，设立标识，并予以公告。</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lastRenderedPageBreak/>
        <w:t xml:space="preserve">　　第十九条 </w:t>
      </w:r>
      <w:r w:rsidRPr="00305083">
        <w:rPr>
          <w:rFonts w:ascii="仿宋_GB2312" w:eastAsia="仿宋_GB2312" w:hAnsi="Verdana" w:hint="eastAsia"/>
          <w:sz w:val="32"/>
          <w:szCs w:val="32"/>
          <w:lang w:eastAsia="zh-CN"/>
        </w:rPr>
        <w:t xml:space="preserve"> 野生药材资源保护区实行谁管护、谁受益的原则，禁止他人擅自进入野生药材资源保护区采集、猎捕野生药材物种。 </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第二十条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采集野生药材资源保护区内的野生植物药材物种，应当遵循采大留小、采密留稀、划片轮采、采育结合的原则。</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bCs/>
          <w:sz w:val="32"/>
          <w:szCs w:val="32"/>
          <w:lang w:eastAsia="zh-CN"/>
        </w:rPr>
        <w:t>第二十一条 </w:t>
      </w:r>
      <w:r w:rsidRPr="00305083">
        <w:rPr>
          <w:rFonts w:ascii="仿宋_GB2312" w:eastAsia="仿宋_GB2312" w:hAnsi="Verdana" w:hint="eastAsia"/>
          <w:sz w:val="32"/>
          <w:szCs w:val="32"/>
          <w:lang w:eastAsia="zh-CN"/>
        </w:rPr>
        <w:t xml:space="preserve"> 省野生药材资源保护管理机构应当组织省野生药材资源保护区评审委员会的专家每二年对保护区复查一次。</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bCs/>
          <w:sz w:val="32"/>
          <w:szCs w:val="32"/>
          <w:lang w:eastAsia="zh-CN"/>
        </w:rPr>
      </w:pPr>
      <w:r w:rsidRPr="00305083">
        <w:rPr>
          <w:rFonts w:ascii="黑体" w:eastAsia="黑体" w:hAnsi="黑体" w:hint="eastAsia"/>
          <w:sz w:val="32"/>
          <w:szCs w:val="32"/>
          <w:lang w:eastAsia="zh-CN"/>
        </w:rPr>
        <w:t>第四章　繁殖与培育</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第二十二条</w:t>
      </w:r>
      <w:r w:rsidR="00A33832">
        <w:rPr>
          <w:rFonts w:ascii="黑体" w:eastAsia="黑体" w:hAnsi="黑体" w:hint="eastAsia"/>
          <w:bCs/>
          <w:sz w:val="32"/>
          <w:szCs w:val="32"/>
          <w:lang w:eastAsia="zh-CN"/>
        </w:rPr>
        <w:t xml:space="preserve">  </w:t>
      </w:r>
      <w:r w:rsidR="00A33832">
        <w:rPr>
          <w:rFonts w:ascii="仿宋_GB2312" w:eastAsia="仿宋_GB2312" w:hAnsi="仿宋_GB2312" w:cs="仿宋_GB2312" w:hint="eastAsia"/>
          <w:sz w:val="32"/>
          <w:szCs w:val="32"/>
          <w:lang w:eastAsia="zh-CN"/>
        </w:rPr>
        <w:t>县级以上负责野生药材资源保护工作的部门应当积极配合有关部门和单位，鼓励开展珍稀、濒危、道地野生药材物种变家种、家养研究。支持道地野生药材品种选育，扶持道地野生药材生产基地建设。在有条件的地方，建立中药材种植、饲养基地和野生药材种质资源库，实现中药材资源可持续利用。</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第二十三条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中药材种植、饲养应当严格执行国家的《中药材生产质量管理规范》。</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县级以上地方野生药材资源保护管理机构应当对执行《中药材生产质量管理规范》的情况实施监督。</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lastRenderedPageBreak/>
        <w:t xml:space="preserve">　　第二十四条 </w:t>
      </w: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应当对中药材种植、饲养人员进行技术培训。</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第二十五条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应当加强技术指导，将人工培育和繁殖的珍稀、濒危野生药材物种移植或者放回到原有的自然环境中，恢复其野生状态。</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Fonts w:ascii="黑体" w:eastAsia="黑体" w:hAnsi="黑体" w:hint="eastAsia"/>
          <w:bCs/>
          <w:sz w:val="32"/>
          <w:szCs w:val="32"/>
          <w:lang w:eastAsia="zh-CN"/>
        </w:rPr>
        <w:t>第五章 法律责任</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第二十六条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未取得采药证，违法采集、猎捕国家和省重点保护野生药材物种的，由</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没收其野生药材，可以并处野生药材价值二倍以下罚款。</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Fonts w:ascii="黑体" w:eastAsia="黑体" w:hAnsi="黑体" w:hint="eastAsia"/>
          <w:sz w:val="32"/>
          <w:szCs w:val="32"/>
          <w:lang w:eastAsia="zh-CN"/>
        </w:rPr>
        <w:t>第二十七条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使用严重破坏野生药材资源的工具和方法采集、猎捕国家和省重点保护野生药材物种的，</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应当没收其工具，责令其恢复植被，并处五百元以上二千元以下罚款。</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第二十八条 </w:t>
      </w:r>
      <w:r w:rsidRPr="00305083">
        <w:rPr>
          <w:rFonts w:ascii="仿宋_GB2312" w:eastAsia="仿宋_GB2312" w:hAnsi="Verdana" w:hint="eastAsia"/>
          <w:sz w:val="32"/>
          <w:szCs w:val="32"/>
          <w:lang w:eastAsia="zh-CN"/>
        </w:rPr>
        <w:t xml:space="preserve"> 未按照规定的采集期采集国家和省重点保护野生植物药材物种的，由</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没收其野生药材，可以并处野生药材价值一倍以上三倍以下罚款。</w:t>
      </w:r>
    </w:p>
    <w:p w:rsidR="00A33832" w:rsidRDefault="008C10E4" w:rsidP="00305083">
      <w:pPr>
        <w:rPr>
          <w:rFonts w:ascii="黑体" w:eastAsia="黑体" w:hAnsi="黑体"/>
          <w:sz w:val="32"/>
          <w:szCs w:val="32"/>
          <w:lang w:eastAsia="zh-CN"/>
        </w:rPr>
      </w:pPr>
      <w:r w:rsidRPr="00305083">
        <w:rPr>
          <w:rFonts w:ascii="黑体" w:eastAsia="黑体" w:hAnsi="黑体" w:hint="eastAsia"/>
          <w:sz w:val="32"/>
          <w:szCs w:val="32"/>
          <w:lang w:eastAsia="zh-CN"/>
        </w:rPr>
        <w:lastRenderedPageBreak/>
        <w:t xml:space="preserve">　　</w:t>
      </w:r>
      <w:r w:rsidR="00A33832" w:rsidRPr="00A33832">
        <w:rPr>
          <w:rFonts w:ascii="黑体" w:eastAsia="黑体" w:hAnsi="黑体" w:hint="eastAsia"/>
          <w:sz w:val="32"/>
          <w:szCs w:val="32"/>
          <w:lang w:eastAsia="zh-CN"/>
        </w:rPr>
        <w:t>第二十九条</w:t>
      </w:r>
      <w:r w:rsidR="00A33832">
        <w:rPr>
          <w:rFonts w:ascii="仿宋_GB2312" w:eastAsia="仿宋_GB2312" w:hAnsi="仿宋_GB2312" w:cs="仿宋_GB2312" w:hint="eastAsia"/>
          <w:sz w:val="32"/>
          <w:szCs w:val="32"/>
          <w:lang w:eastAsia="zh-CN"/>
        </w:rPr>
        <w:t xml:space="preserve">  违反本条例第十七条第三款规定的，县级以上负责野生药材资源保护工作的部门和自然保护区主管部门有权制止；造成损失的，应当承担赔偿责任。</w:t>
      </w:r>
    </w:p>
    <w:p w:rsidR="008C10E4" w:rsidRPr="00305083" w:rsidRDefault="008C10E4" w:rsidP="00A33832">
      <w:pPr>
        <w:ind w:firstLineChars="200" w:firstLine="640"/>
        <w:rPr>
          <w:rFonts w:ascii="仿宋_GB2312" w:eastAsia="仿宋_GB2312" w:hAnsi="Verdana"/>
          <w:sz w:val="32"/>
          <w:szCs w:val="32"/>
          <w:lang w:eastAsia="zh-CN"/>
        </w:rPr>
      </w:pPr>
      <w:r w:rsidRPr="00305083">
        <w:rPr>
          <w:rFonts w:ascii="黑体" w:eastAsia="黑体" w:hAnsi="黑体" w:hint="eastAsia"/>
          <w:sz w:val="32"/>
          <w:szCs w:val="32"/>
          <w:lang w:eastAsia="zh-CN"/>
        </w:rPr>
        <w:t>第</w:t>
      </w:r>
      <w:r w:rsidR="00A33832">
        <w:rPr>
          <w:rFonts w:ascii="黑体" w:eastAsia="黑体" w:hAnsi="黑体" w:hint="eastAsia"/>
          <w:sz w:val="32"/>
          <w:szCs w:val="32"/>
          <w:lang w:eastAsia="zh-CN"/>
        </w:rPr>
        <w:t>三十</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野生药材资源保护区管理不善，造成野生药材资源严重破坏的，由</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责令其限期抚育更新，恢复资源。逾期未恢复的，由上级行政机关对直接负责的主管人员和其他直接责任人员给予行政处分。</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第三十</w:t>
      </w:r>
      <w:r w:rsidR="00A33832">
        <w:rPr>
          <w:rFonts w:ascii="黑体" w:eastAsia="黑体" w:hAnsi="黑体" w:hint="eastAsia"/>
          <w:sz w:val="32"/>
          <w:szCs w:val="32"/>
          <w:lang w:eastAsia="zh-CN"/>
        </w:rPr>
        <w:t>一</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及其工作人员有下列情形之一的，由上级行政机关或者行政监察机关对直接负责的主管人员和其他直接责任人员，给予行政处分：</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（一）未履行法定职责致使本行政区域内的野生药材资源遭到严重破坏的;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（二）违法发放《采药证》的;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（三）对举报案件不及时立案查处的;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（四）私分、截留以及违法处置罚没的钱款或者野生药材的。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前款规定私分和截留的钱物由上级行政机关上缴财政。</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sz w:val="32"/>
          <w:szCs w:val="32"/>
          <w:lang w:eastAsia="zh-CN"/>
        </w:rPr>
        <w:t>第三十</w:t>
      </w:r>
      <w:r w:rsidR="00A33832">
        <w:rPr>
          <w:rFonts w:ascii="黑体" w:eastAsia="黑体" w:hAnsi="黑体" w:hint="eastAsia"/>
          <w:sz w:val="32"/>
          <w:szCs w:val="32"/>
          <w:lang w:eastAsia="zh-CN"/>
        </w:rPr>
        <w:t>二</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未经批准，外国人进入本省行政区域内从事野生药材资源考察、采猎标本等活动的，依照有关法律、行政法规规定予以处罚。</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Style w:val="a5"/>
          <w:rFonts w:ascii="黑体" w:eastAsia="黑体" w:hAnsi="黑体" w:hint="eastAsia"/>
          <w:b w:val="0"/>
          <w:sz w:val="32"/>
          <w:szCs w:val="32"/>
          <w:lang w:eastAsia="zh-CN"/>
        </w:rPr>
        <w:t>第六章 附</w:t>
      </w:r>
      <w:r w:rsidRPr="00305083">
        <w:rPr>
          <w:rStyle w:val="a5"/>
          <w:rFonts w:ascii="Verdana" w:eastAsia="黑体" w:hAnsi="Verdana" w:hint="eastAsia"/>
          <w:b w:val="0"/>
          <w:sz w:val="32"/>
          <w:szCs w:val="32"/>
          <w:lang w:eastAsia="zh-CN"/>
        </w:rPr>
        <w:t> </w:t>
      </w:r>
      <w:r w:rsidRPr="00305083">
        <w:rPr>
          <w:rStyle w:val="a5"/>
          <w:rFonts w:ascii="黑体" w:eastAsia="黑体" w:hAnsi="黑体" w:hint="eastAsia"/>
          <w:b w:val="0"/>
          <w:sz w:val="32"/>
          <w:szCs w:val="32"/>
          <w:lang w:eastAsia="zh-CN"/>
        </w:rPr>
        <w:t xml:space="preserve"> 则</w:t>
      </w:r>
    </w:p>
    <w:p w:rsidR="00A33832" w:rsidRDefault="008C10E4" w:rsidP="00305083">
      <w:pPr>
        <w:rPr>
          <w:rFonts w:ascii="黑体" w:eastAsia="黑体" w:hAnsi="黑体"/>
          <w:sz w:val="32"/>
          <w:szCs w:val="32"/>
          <w:lang w:eastAsia="zh-CN"/>
        </w:rPr>
      </w:pPr>
      <w:r w:rsidRPr="00305083">
        <w:rPr>
          <w:rFonts w:ascii="黑体" w:eastAsia="黑体" w:hAnsi="黑体" w:hint="eastAsia"/>
          <w:sz w:val="32"/>
          <w:szCs w:val="32"/>
          <w:lang w:eastAsia="zh-CN"/>
        </w:rPr>
        <w:t xml:space="preserve">　　</w:t>
      </w:r>
      <w:r w:rsidR="00A33832" w:rsidRPr="00A33832">
        <w:rPr>
          <w:rFonts w:ascii="黑体" w:eastAsia="黑体" w:hAnsi="黑体" w:hint="eastAsia"/>
          <w:sz w:val="32"/>
          <w:szCs w:val="32"/>
          <w:lang w:eastAsia="zh-CN"/>
        </w:rPr>
        <w:t>第三十三条</w:t>
      </w:r>
      <w:r w:rsidR="00A33832">
        <w:rPr>
          <w:rFonts w:ascii="黑体" w:eastAsia="黑体" w:hAnsi="黑体" w:hint="eastAsia"/>
          <w:sz w:val="32"/>
          <w:szCs w:val="32"/>
          <w:lang w:eastAsia="zh-CN"/>
        </w:rPr>
        <w:t xml:space="preserve">  </w:t>
      </w:r>
      <w:r w:rsidR="00A33832">
        <w:rPr>
          <w:rFonts w:ascii="仿宋_GB2312" w:eastAsia="仿宋_GB2312" w:hAnsi="仿宋_GB2312" w:cs="仿宋_GB2312" w:hint="eastAsia"/>
          <w:sz w:val="32"/>
          <w:szCs w:val="32"/>
          <w:lang w:eastAsia="zh-CN"/>
        </w:rPr>
        <w:t>法律、行政法规另有规定的，从其规定。</w:t>
      </w:r>
    </w:p>
    <w:p w:rsidR="008C10E4" w:rsidRPr="00305083" w:rsidRDefault="008C10E4" w:rsidP="00A33832">
      <w:pPr>
        <w:ind w:firstLineChars="200" w:firstLine="640"/>
        <w:rPr>
          <w:rFonts w:ascii="仿宋_GB2312" w:eastAsia="仿宋_GB2312" w:hAnsi="Verdana"/>
          <w:sz w:val="32"/>
          <w:szCs w:val="32"/>
          <w:lang w:eastAsia="zh-CN"/>
        </w:rPr>
      </w:pPr>
      <w:r w:rsidRPr="00305083">
        <w:rPr>
          <w:rFonts w:ascii="黑体" w:eastAsia="黑体" w:hAnsi="黑体" w:hint="eastAsia"/>
          <w:sz w:val="32"/>
          <w:szCs w:val="32"/>
          <w:lang w:eastAsia="zh-CN"/>
        </w:rPr>
        <w:t>第三十</w:t>
      </w:r>
      <w:r w:rsidR="00A33832">
        <w:rPr>
          <w:rFonts w:ascii="黑体" w:eastAsia="黑体" w:hAnsi="黑体" w:hint="eastAsia"/>
          <w:sz w:val="32"/>
          <w:szCs w:val="32"/>
          <w:lang w:eastAsia="zh-CN"/>
        </w:rPr>
        <w:t>四</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及其他相关机构依法没收的国家和省重点保护的活体野生动物药材物种，应当移送同级野生动物保护行政主管部门处理。</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Style w:val="a5"/>
          <w:rFonts w:ascii="黑体" w:eastAsia="黑体" w:hAnsi="黑体" w:hint="eastAsia"/>
          <w:b w:val="0"/>
          <w:sz w:val="32"/>
          <w:szCs w:val="32"/>
          <w:lang w:eastAsia="zh-CN"/>
        </w:rPr>
        <w:t>第三十</w:t>
      </w:r>
      <w:r w:rsidR="00A33832">
        <w:rPr>
          <w:rStyle w:val="a5"/>
          <w:rFonts w:ascii="黑体" w:eastAsia="黑体" w:hAnsi="黑体" w:hint="eastAsia"/>
          <w:b w:val="0"/>
          <w:sz w:val="32"/>
          <w:szCs w:val="32"/>
          <w:lang w:eastAsia="zh-CN"/>
        </w:rPr>
        <w:t>五</w:t>
      </w:r>
      <w:r w:rsidRPr="00305083">
        <w:rPr>
          <w:rStyle w:val="a5"/>
          <w:rFonts w:ascii="黑体" w:eastAsia="黑体" w:hAnsi="黑体" w:hint="eastAsia"/>
          <w:b w:val="0"/>
          <w:sz w:val="32"/>
          <w:szCs w:val="32"/>
          <w:lang w:eastAsia="zh-CN"/>
        </w:rPr>
        <w:t>条</w:t>
      </w:r>
      <w:r w:rsidR="00A33832">
        <w:rPr>
          <w:rFonts w:ascii="Verdana"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对依法没收的野生药材应当按照国家的有关规定拍卖或者变卖，所得款项上缴财政。</w:t>
      </w:r>
    </w:p>
    <w:p w:rsidR="008C10E4" w:rsidRPr="00305083" w:rsidRDefault="008C10E4" w:rsidP="00305083">
      <w:pPr>
        <w:rPr>
          <w:rFonts w:ascii="仿宋_GB2312" w:eastAsia="仿宋_GB2312" w:hAnsi="Verdana"/>
          <w:sz w:val="32"/>
          <w:szCs w:val="32"/>
          <w:lang w:eastAsia="zh-CN"/>
        </w:rPr>
      </w:pPr>
      <w:r w:rsidRPr="00305083">
        <w:rPr>
          <w:rStyle w:val="a5"/>
          <w:rFonts w:ascii="黑体" w:eastAsia="黑体" w:hAnsi="黑体" w:hint="eastAsia"/>
          <w:b w:val="0"/>
          <w:sz w:val="32"/>
          <w:szCs w:val="32"/>
          <w:lang w:eastAsia="zh-CN"/>
        </w:rPr>
        <w:t xml:space="preserve">　　第三十</w:t>
      </w:r>
      <w:r w:rsidR="00A33832">
        <w:rPr>
          <w:rStyle w:val="a5"/>
          <w:rFonts w:ascii="黑体" w:eastAsia="黑体" w:hAnsi="黑体" w:hint="eastAsia"/>
          <w:b w:val="0"/>
          <w:sz w:val="32"/>
          <w:szCs w:val="32"/>
          <w:lang w:eastAsia="zh-CN"/>
        </w:rPr>
        <w:t>六</w:t>
      </w:r>
      <w:r w:rsidRPr="00305083">
        <w:rPr>
          <w:rStyle w:val="a5"/>
          <w:rFonts w:ascii="黑体" w:eastAsia="黑体" w:hAnsi="黑体" w:hint="eastAsia"/>
          <w:b w:val="0"/>
          <w:sz w:val="32"/>
          <w:szCs w:val="32"/>
          <w:lang w:eastAsia="zh-CN"/>
        </w:rPr>
        <w:t>条</w:t>
      </w:r>
      <w:r w:rsidR="00A33832">
        <w:rPr>
          <w:rStyle w:val="a5"/>
          <w:rFonts w:ascii="黑体" w:eastAsia="黑体" w:hAnsi="黑体" w:hint="eastAsia"/>
          <w:b w:val="0"/>
          <w:sz w:val="32"/>
          <w:szCs w:val="32"/>
          <w:lang w:eastAsia="zh-CN"/>
        </w:rPr>
        <w:t xml:space="preserve">  </w:t>
      </w:r>
      <w:r w:rsidRPr="00305083">
        <w:rPr>
          <w:rFonts w:ascii="仿宋_GB2312" w:eastAsia="仿宋_GB2312" w:hAnsi="Verdana" w:hint="eastAsia"/>
          <w:sz w:val="32"/>
          <w:szCs w:val="32"/>
          <w:lang w:eastAsia="zh-CN"/>
        </w:rPr>
        <w:t>本条例自2005年8月1日起施行。1987年3月7日黑龙江省第六届人民代表大会常务委员会第26次会议通过的《黑龙江省野生药材资源保护管理条例》、1998年4月16日黑龙江省第九届人民代表大会常务委员会第二次会议通过的《黑龙江省人大常委会关于修改＜黑龙江省野生药材资源保护管理条例＞的决定》和1989年5月1日黑龙江省人民政府发布的《黑龙江省野生药材资源保护管理条例实施细则》同时废止。</w:t>
      </w:r>
    </w:p>
    <w:p w:rsidR="008C10E4" w:rsidRPr="00305083" w:rsidRDefault="008C10E4" w:rsidP="00305083">
      <w:pPr>
        <w:rPr>
          <w:rFonts w:ascii="仿宋_GB2312" w:eastAsia="仿宋_GB2312" w:hAnsi="Verdana"/>
          <w:sz w:val="32"/>
          <w:szCs w:val="32"/>
          <w:lang w:eastAsia="zh-CN"/>
        </w:rPr>
      </w:pPr>
      <w:r w:rsidRPr="00305083">
        <w:rPr>
          <w:rFonts w:ascii="Verdana" w:eastAsia="仿宋_GB2312" w:hAnsi="Verdana" w:hint="eastAsia"/>
          <w:sz w:val="32"/>
          <w:szCs w:val="32"/>
          <w:lang w:eastAsia="zh-CN"/>
        </w:rPr>
        <w:t> </w:t>
      </w:r>
    </w:p>
    <w:sectPr w:rsidR="008C10E4" w:rsidRPr="00305083" w:rsidSect="003F27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D09" w:rsidRDefault="00F91D09" w:rsidP="00305083">
      <w:r>
        <w:separator/>
      </w:r>
    </w:p>
  </w:endnote>
  <w:endnote w:type="continuationSeparator" w:id="0">
    <w:p w:rsidR="00F91D09" w:rsidRDefault="00F91D09" w:rsidP="003050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Verdana">
    <w:altName w:val="Tahoma"/>
    <w:panose1 w:val="020B0604030504040204"/>
    <w:charset w:val="00"/>
    <w:family w:val="swiss"/>
    <w:pitch w:val="variable"/>
    <w:sig w:usb0="00000001"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D09" w:rsidRDefault="00F91D09" w:rsidP="00305083">
      <w:r>
        <w:separator/>
      </w:r>
    </w:p>
  </w:footnote>
  <w:footnote w:type="continuationSeparator" w:id="0">
    <w:p w:rsidR="00F91D09" w:rsidRDefault="00F91D09" w:rsidP="003050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10E4"/>
    <w:rsid w:val="000113EA"/>
    <w:rsid w:val="00145C28"/>
    <w:rsid w:val="002B4AE7"/>
    <w:rsid w:val="002F785B"/>
    <w:rsid w:val="00305083"/>
    <w:rsid w:val="00312DAE"/>
    <w:rsid w:val="00322313"/>
    <w:rsid w:val="003466CE"/>
    <w:rsid w:val="003664B3"/>
    <w:rsid w:val="003F274A"/>
    <w:rsid w:val="00493C1C"/>
    <w:rsid w:val="00496368"/>
    <w:rsid w:val="007D4ED1"/>
    <w:rsid w:val="008C10E4"/>
    <w:rsid w:val="008D343C"/>
    <w:rsid w:val="00A33832"/>
    <w:rsid w:val="00F91D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6CE"/>
    <w:pPr>
      <w:spacing w:after="0" w:line="240" w:lineRule="auto"/>
    </w:pPr>
    <w:rPr>
      <w:rFonts w:cs="宋体"/>
      <w:sz w:val="24"/>
      <w:szCs w:val="24"/>
    </w:rPr>
  </w:style>
  <w:style w:type="paragraph" w:styleId="1">
    <w:name w:val="heading 1"/>
    <w:basedOn w:val="a"/>
    <w:next w:val="a"/>
    <w:link w:val="1Char"/>
    <w:uiPriority w:val="9"/>
    <w:qFormat/>
    <w:rsid w:val="003466CE"/>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3466CE"/>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3466CE"/>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3466CE"/>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3466CE"/>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3466CE"/>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3466CE"/>
    <w:pPr>
      <w:spacing w:before="240" w:after="60"/>
      <w:outlineLvl w:val="6"/>
    </w:pPr>
    <w:rPr>
      <w:rFonts w:cs="Times New Roman"/>
    </w:rPr>
  </w:style>
  <w:style w:type="paragraph" w:styleId="8">
    <w:name w:val="heading 8"/>
    <w:basedOn w:val="a"/>
    <w:next w:val="a"/>
    <w:link w:val="8Char"/>
    <w:uiPriority w:val="9"/>
    <w:semiHidden/>
    <w:unhideWhenUsed/>
    <w:qFormat/>
    <w:rsid w:val="003466CE"/>
    <w:pPr>
      <w:spacing w:before="240" w:after="60"/>
      <w:outlineLvl w:val="7"/>
    </w:pPr>
    <w:rPr>
      <w:rFonts w:cs="Times New Roman"/>
      <w:i/>
      <w:iCs/>
    </w:rPr>
  </w:style>
  <w:style w:type="paragraph" w:styleId="9">
    <w:name w:val="heading 9"/>
    <w:basedOn w:val="a"/>
    <w:next w:val="a"/>
    <w:link w:val="9Char"/>
    <w:uiPriority w:val="9"/>
    <w:semiHidden/>
    <w:unhideWhenUsed/>
    <w:qFormat/>
    <w:rsid w:val="003466CE"/>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66CE"/>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3466CE"/>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3466CE"/>
    <w:rPr>
      <w:rFonts w:asciiTheme="majorHAnsi" w:eastAsiaTheme="majorEastAsia" w:hAnsiTheme="majorHAnsi"/>
      <w:b/>
      <w:bCs/>
      <w:sz w:val="26"/>
      <w:szCs w:val="26"/>
    </w:rPr>
  </w:style>
  <w:style w:type="character" w:customStyle="1" w:styleId="4Char">
    <w:name w:val="标题 4 Char"/>
    <w:basedOn w:val="a0"/>
    <w:link w:val="4"/>
    <w:uiPriority w:val="9"/>
    <w:rsid w:val="003466CE"/>
    <w:rPr>
      <w:b/>
      <w:bCs/>
      <w:sz w:val="28"/>
      <w:szCs w:val="28"/>
    </w:rPr>
  </w:style>
  <w:style w:type="character" w:customStyle="1" w:styleId="5Char">
    <w:name w:val="标题 5 Char"/>
    <w:basedOn w:val="a0"/>
    <w:link w:val="5"/>
    <w:uiPriority w:val="9"/>
    <w:semiHidden/>
    <w:rsid w:val="003466CE"/>
    <w:rPr>
      <w:b/>
      <w:bCs/>
      <w:i/>
      <w:iCs/>
      <w:sz w:val="26"/>
      <w:szCs w:val="26"/>
    </w:rPr>
  </w:style>
  <w:style w:type="character" w:customStyle="1" w:styleId="6Char">
    <w:name w:val="标题 6 Char"/>
    <w:basedOn w:val="a0"/>
    <w:link w:val="6"/>
    <w:uiPriority w:val="9"/>
    <w:semiHidden/>
    <w:rsid w:val="003466CE"/>
    <w:rPr>
      <w:b/>
      <w:bCs/>
    </w:rPr>
  </w:style>
  <w:style w:type="character" w:customStyle="1" w:styleId="7Char">
    <w:name w:val="标题 7 Char"/>
    <w:basedOn w:val="a0"/>
    <w:link w:val="7"/>
    <w:uiPriority w:val="9"/>
    <w:semiHidden/>
    <w:rsid w:val="003466CE"/>
    <w:rPr>
      <w:sz w:val="24"/>
      <w:szCs w:val="24"/>
    </w:rPr>
  </w:style>
  <w:style w:type="character" w:customStyle="1" w:styleId="8Char">
    <w:name w:val="标题 8 Char"/>
    <w:basedOn w:val="a0"/>
    <w:link w:val="8"/>
    <w:uiPriority w:val="9"/>
    <w:semiHidden/>
    <w:rsid w:val="003466CE"/>
    <w:rPr>
      <w:i/>
      <w:iCs/>
      <w:sz w:val="24"/>
      <w:szCs w:val="24"/>
    </w:rPr>
  </w:style>
  <w:style w:type="character" w:customStyle="1" w:styleId="9Char">
    <w:name w:val="标题 9 Char"/>
    <w:basedOn w:val="a0"/>
    <w:link w:val="9"/>
    <w:uiPriority w:val="9"/>
    <w:semiHidden/>
    <w:rsid w:val="003466CE"/>
    <w:rPr>
      <w:rFonts w:asciiTheme="majorHAnsi" w:eastAsiaTheme="majorEastAsia" w:hAnsiTheme="majorHAnsi"/>
    </w:rPr>
  </w:style>
  <w:style w:type="paragraph" w:styleId="a3">
    <w:name w:val="Title"/>
    <w:basedOn w:val="a"/>
    <w:next w:val="a"/>
    <w:link w:val="Char"/>
    <w:uiPriority w:val="10"/>
    <w:qFormat/>
    <w:rsid w:val="003466CE"/>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3466CE"/>
    <w:rPr>
      <w:rFonts w:asciiTheme="majorHAnsi" w:eastAsiaTheme="majorEastAsia" w:hAnsiTheme="majorHAnsi"/>
      <w:b/>
      <w:bCs/>
      <w:kern w:val="28"/>
      <w:sz w:val="32"/>
      <w:szCs w:val="32"/>
    </w:rPr>
  </w:style>
  <w:style w:type="paragraph" w:styleId="a4">
    <w:name w:val="Subtitle"/>
    <w:basedOn w:val="a"/>
    <w:next w:val="a"/>
    <w:link w:val="Char0"/>
    <w:uiPriority w:val="11"/>
    <w:qFormat/>
    <w:rsid w:val="003466CE"/>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3466CE"/>
    <w:rPr>
      <w:rFonts w:asciiTheme="majorHAnsi" w:eastAsiaTheme="majorEastAsia" w:hAnsiTheme="majorHAnsi"/>
      <w:sz w:val="24"/>
      <w:szCs w:val="24"/>
    </w:rPr>
  </w:style>
  <w:style w:type="character" w:styleId="a5">
    <w:name w:val="Strong"/>
    <w:basedOn w:val="a0"/>
    <w:uiPriority w:val="22"/>
    <w:qFormat/>
    <w:rsid w:val="003466CE"/>
    <w:rPr>
      <w:b/>
      <w:bCs/>
    </w:rPr>
  </w:style>
  <w:style w:type="character" w:styleId="a6">
    <w:name w:val="Emphasis"/>
    <w:basedOn w:val="a0"/>
    <w:uiPriority w:val="20"/>
    <w:qFormat/>
    <w:rsid w:val="003466CE"/>
    <w:rPr>
      <w:rFonts w:asciiTheme="minorHAnsi" w:hAnsiTheme="minorHAnsi"/>
      <w:b/>
      <w:i/>
      <w:iCs/>
    </w:rPr>
  </w:style>
  <w:style w:type="paragraph" w:styleId="a7">
    <w:name w:val="No Spacing"/>
    <w:basedOn w:val="a"/>
    <w:uiPriority w:val="1"/>
    <w:qFormat/>
    <w:rsid w:val="003466CE"/>
    <w:rPr>
      <w:rFonts w:cs="Times New Roman"/>
      <w:szCs w:val="32"/>
    </w:rPr>
  </w:style>
  <w:style w:type="paragraph" w:styleId="a8">
    <w:name w:val="List Paragraph"/>
    <w:basedOn w:val="a"/>
    <w:uiPriority w:val="34"/>
    <w:qFormat/>
    <w:rsid w:val="003466CE"/>
    <w:pPr>
      <w:ind w:left="720"/>
      <w:contextualSpacing/>
    </w:pPr>
    <w:rPr>
      <w:rFonts w:cs="Times New Roman"/>
    </w:rPr>
  </w:style>
  <w:style w:type="paragraph" w:styleId="a9">
    <w:name w:val="Quote"/>
    <w:basedOn w:val="a"/>
    <w:next w:val="a"/>
    <w:link w:val="Char1"/>
    <w:uiPriority w:val="29"/>
    <w:qFormat/>
    <w:rsid w:val="003466CE"/>
    <w:rPr>
      <w:rFonts w:cs="Times New Roman"/>
      <w:i/>
    </w:rPr>
  </w:style>
  <w:style w:type="character" w:customStyle="1" w:styleId="Char1">
    <w:name w:val="引用 Char"/>
    <w:basedOn w:val="a0"/>
    <w:link w:val="a9"/>
    <w:uiPriority w:val="29"/>
    <w:rsid w:val="003466CE"/>
    <w:rPr>
      <w:i/>
      <w:sz w:val="24"/>
      <w:szCs w:val="24"/>
    </w:rPr>
  </w:style>
  <w:style w:type="paragraph" w:styleId="aa">
    <w:name w:val="Intense Quote"/>
    <w:basedOn w:val="a"/>
    <w:next w:val="a"/>
    <w:link w:val="Char2"/>
    <w:uiPriority w:val="30"/>
    <w:qFormat/>
    <w:rsid w:val="003466CE"/>
    <w:pPr>
      <w:ind w:left="720" w:right="720"/>
    </w:pPr>
    <w:rPr>
      <w:rFonts w:cs="Times New Roman"/>
      <w:b/>
      <w:i/>
      <w:szCs w:val="22"/>
    </w:rPr>
  </w:style>
  <w:style w:type="character" w:customStyle="1" w:styleId="Char2">
    <w:name w:val="明显引用 Char"/>
    <w:basedOn w:val="a0"/>
    <w:link w:val="aa"/>
    <w:uiPriority w:val="30"/>
    <w:rsid w:val="003466CE"/>
    <w:rPr>
      <w:b/>
      <w:i/>
      <w:sz w:val="24"/>
    </w:rPr>
  </w:style>
  <w:style w:type="character" w:styleId="ab">
    <w:name w:val="Subtle Emphasis"/>
    <w:uiPriority w:val="19"/>
    <w:qFormat/>
    <w:rsid w:val="003466CE"/>
    <w:rPr>
      <w:i/>
      <w:color w:val="5A5A5A" w:themeColor="text1" w:themeTint="A5"/>
    </w:rPr>
  </w:style>
  <w:style w:type="character" w:styleId="ac">
    <w:name w:val="Intense Emphasis"/>
    <w:basedOn w:val="a0"/>
    <w:uiPriority w:val="21"/>
    <w:qFormat/>
    <w:rsid w:val="003466CE"/>
    <w:rPr>
      <w:b/>
      <w:i/>
      <w:sz w:val="24"/>
      <w:szCs w:val="24"/>
      <w:u w:val="single"/>
    </w:rPr>
  </w:style>
  <w:style w:type="character" w:styleId="ad">
    <w:name w:val="Subtle Reference"/>
    <w:basedOn w:val="a0"/>
    <w:uiPriority w:val="31"/>
    <w:qFormat/>
    <w:rsid w:val="003466CE"/>
    <w:rPr>
      <w:sz w:val="24"/>
      <w:szCs w:val="24"/>
      <w:u w:val="single"/>
    </w:rPr>
  </w:style>
  <w:style w:type="character" w:styleId="ae">
    <w:name w:val="Intense Reference"/>
    <w:basedOn w:val="a0"/>
    <w:uiPriority w:val="32"/>
    <w:qFormat/>
    <w:rsid w:val="003466CE"/>
    <w:rPr>
      <w:b/>
      <w:sz w:val="24"/>
      <w:u w:val="single"/>
    </w:rPr>
  </w:style>
  <w:style w:type="character" w:styleId="af">
    <w:name w:val="Book Title"/>
    <w:basedOn w:val="a0"/>
    <w:uiPriority w:val="33"/>
    <w:qFormat/>
    <w:rsid w:val="003466C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466CE"/>
    <w:pPr>
      <w:outlineLvl w:val="9"/>
    </w:pPr>
  </w:style>
  <w:style w:type="paragraph" w:styleId="af0">
    <w:name w:val="Normal (Web)"/>
    <w:basedOn w:val="a"/>
    <w:uiPriority w:val="99"/>
    <w:unhideWhenUsed/>
    <w:rsid w:val="008C10E4"/>
    <w:pPr>
      <w:spacing w:before="100" w:beforeAutospacing="1" w:after="100" w:afterAutospacing="1"/>
    </w:pPr>
    <w:rPr>
      <w:rFonts w:ascii="宋体" w:eastAsia="宋体" w:hAnsi="宋体"/>
      <w:lang w:eastAsia="zh-CN" w:bidi="ar-SA"/>
    </w:rPr>
  </w:style>
  <w:style w:type="paragraph" w:styleId="af1">
    <w:name w:val="Balloon Text"/>
    <w:basedOn w:val="a"/>
    <w:link w:val="Char3"/>
    <w:uiPriority w:val="99"/>
    <w:semiHidden/>
    <w:unhideWhenUsed/>
    <w:rsid w:val="008C10E4"/>
    <w:rPr>
      <w:sz w:val="18"/>
      <w:szCs w:val="18"/>
    </w:rPr>
  </w:style>
  <w:style w:type="character" w:customStyle="1" w:styleId="Char3">
    <w:name w:val="批注框文本 Char"/>
    <w:basedOn w:val="a0"/>
    <w:link w:val="af1"/>
    <w:uiPriority w:val="99"/>
    <w:semiHidden/>
    <w:rsid w:val="008C10E4"/>
    <w:rPr>
      <w:rFonts w:cs="宋体"/>
      <w:sz w:val="18"/>
      <w:szCs w:val="18"/>
    </w:rPr>
  </w:style>
  <w:style w:type="paragraph" w:styleId="af2">
    <w:name w:val="header"/>
    <w:basedOn w:val="a"/>
    <w:link w:val="Char4"/>
    <w:uiPriority w:val="99"/>
    <w:semiHidden/>
    <w:unhideWhenUsed/>
    <w:rsid w:val="0030508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2"/>
    <w:uiPriority w:val="99"/>
    <w:semiHidden/>
    <w:rsid w:val="00305083"/>
    <w:rPr>
      <w:rFonts w:cs="宋体"/>
      <w:sz w:val="18"/>
      <w:szCs w:val="18"/>
    </w:rPr>
  </w:style>
  <w:style w:type="paragraph" w:styleId="af3">
    <w:name w:val="footer"/>
    <w:basedOn w:val="a"/>
    <w:link w:val="Char5"/>
    <w:uiPriority w:val="99"/>
    <w:semiHidden/>
    <w:unhideWhenUsed/>
    <w:rsid w:val="00305083"/>
    <w:pPr>
      <w:tabs>
        <w:tab w:val="center" w:pos="4153"/>
        <w:tab w:val="right" w:pos="8306"/>
      </w:tabs>
      <w:snapToGrid w:val="0"/>
    </w:pPr>
    <w:rPr>
      <w:sz w:val="18"/>
      <w:szCs w:val="18"/>
    </w:rPr>
  </w:style>
  <w:style w:type="character" w:customStyle="1" w:styleId="Char5">
    <w:name w:val="页脚 Char"/>
    <w:basedOn w:val="a0"/>
    <w:link w:val="af3"/>
    <w:uiPriority w:val="99"/>
    <w:semiHidden/>
    <w:rsid w:val="00305083"/>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655</Words>
  <Characters>3737</Characters>
  <Application>Microsoft Office Word</Application>
  <DocSecurity>0</DocSecurity>
  <Lines>31</Lines>
  <Paragraphs>8</Paragraphs>
  <ScaleCrop>false</ScaleCrop>
  <Company>CHINA</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6</cp:revision>
  <cp:lastPrinted>2015-05-05T09:09:00Z</cp:lastPrinted>
  <dcterms:created xsi:type="dcterms:W3CDTF">2015-05-05T08:57:00Z</dcterms:created>
  <dcterms:modified xsi:type="dcterms:W3CDTF">2018-07-03T03:02:00Z</dcterms:modified>
</cp:coreProperties>
</file>