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B129" w14:textId="77777777" w:rsidR="00845F4C" w:rsidRDefault="00845F4C" w:rsidP="00CB0790">
      <w:pPr>
        <w:jc w:val="center"/>
        <w:rPr>
          <w:rFonts w:asciiTheme="minorHAnsi" w:hAnsiTheme="minorHAnsi"/>
        </w:rPr>
      </w:pPr>
    </w:p>
    <w:p w14:paraId="0AA2D778" w14:textId="77777777" w:rsidR="00845F4C" w:rsidRDefault="00845F4C" w:rsidP="00CB0790">
      <w:pPr>
        <w:jc w:val="center"/>
        <w:rPr>
          <w:rFonts w:asciiTheme="minorHAnsi" w:hAnsiTheme="minorHAnsi"/>
        </w:rPr>
      </w:pPr>
    </w:p>
    <w:p w14:paraId="7DD37112" w14:textId="77777777" w:rsidR="00845F4C" w:rsidRDefault="00845F4C" w:rsidP="00CB0790">
      <w:pPr>
        <w:jc w:val="center"/>
        <w:rPr>
          <w:rFonts w:asciiTheme="minorHAnsi" w:hAnsiTheme="minorHAnsi"/>
        </w:rPr>
      </w:pPr>
    </w:p>
    <w:p w14:paraId="78CAECFE" w14:textId="77777777" w:rsidR="00845F4C" w:rsidRDefault="00845F4C" w:rsidP="00CB0790">
      <w:pPr>
        <w:jc w:val="center"/>
        <w:rPr>
          <w:rFonts w:asciiTheme="minorHAnsi" w:hAnsiTheme="minorHAnsi"/>
        </w:rPr>
      </w:pPr>
    </w:p>
    <w:p w14:paraId="49E0B56B" w14:textId="77777777" w:rsidR="00845F4C" w:rsidRDefault="00845F4C" w:rsidP="00845F4C">
      <w:pPr>
        <w:rPr>
          <w:rFonts w:asciiTheme="minorHAnsi" w:hAnsiTheme="minorHAnsi"/>
        </w:rPr>
      </w:pPr>
    </w:p>
    <w:p w14:paraId="572EAF12" w14:textId="1BF2BA45" w:rsidR="001F2FAE" w:rsidRDefault="00CB0790" w:rsidP="00CB0790">
      <w:pPr>
        <w:jc w:val="center"/>
        <w:rPr>
          <w:rFonts w:asciiTheme="minorHAnsi" w:hAnsiTheme="minorHAnsi"/>
        </w:rPr>
      </w:pPr>
      <w:r w:rsidRPr="00B953A9">
        <w:rPr>
          <w:noProof/>
          <w:color w:val="0F9ED5" w:themeColor="accent4"/>
          <w:sz w:val="32"/>
          <w:szCs w:val="32"/>
        </w:rPr>
        <w:drawing>
          <wp:inline distT="0" distB="0" distL="0" distR="0" wp14:anchorId="32876C5C" wp14:editId="66EB5BFF">
            <wp:extent cx="3063240" cy="3063240"/>
            <wp:effectExtent l="0" t="0" r="0" b="0"/>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2365" cy="3232365"/>
                    </a:xfrm>
                    <a:prstGeom prst="rect">
                      <a:avLst/>
                    </a:prstGeom>
                    <a:noFill/>
                    <a:ln>
                      <a:noFill/>
                    </a:ln>
                  </pic:spPr>
                </pic:pic>
              </a:graphicData>
            </a:graphic>
          </wp:inline>
        </w:drawing>
      </w:r>
    </w:p>
    <w:p w14:paraId="07D173D0" w14:textId="77777777" w:rsidR="00C81FF4" w:rsidRDefault="00C81FF4" w:rsidP="00CB0790">
      <w:pPr>
        <w:jc w:val="center"/>
        <w:rPr>
          <w:rFonts w:asciiTheme="minorHAnsi" w:hAnsiTheme="minorHAnsi"/>
        </w:rPr>
      </w:pPr>
    </w:p>
    <w:p w14:paraId="30C868B6" w14:textId="77777777" w:rsidR="00845F4C" w:rsidRDefault="00845F4C" w:rsidP="00CB0790">
      <w:pPr>
        <w:jc w:val="center"/>
        <w:rPr>
          <w:rFonts w:asciiTheme="minorHAnsi" w:hAnsiTheme="minorHAnsi"/>
        </w:rPr>
      </w:pPr>
    </w:p>
    <w:p w14:paraId="472757AF" w14:textId="77777777" w:rsidR="00845F4C" w:rsidRDefault="00845F4C" w:rsidP="00CB0790">
      <w:pPr>
        <w:jc w:val="center"/>
        <w:rPr>
          <w:rFonts w:asciiTheme="minorHAnsi" w:hAnsiTheme="minorHAnsi"/>
        </w:rPr>
      </w:pPr>
    </w:p>
    <w:p w14:paraId="1913751A" w14:textId="77777777" w:rsidR="00845F4C" w:rsidRPr="00CB0790" w:rsidRDefault="00845F4C" w:rsidP="00CB0790">
      <w:pPr>
        <w:jc w:val="center"/>
        <w:rPr>
          <w:rFonts w:asciiTheme="minorHAnsi" w:hAnsiTheme="minorHAnsi"/>
        </w:rPr>
      </w:pPr>
    </w:p>
    <w:p w14:paraId="34FF3855" w14:textId="77777777" w:rsidR="001F2FAE" w:rsidRPr="00CB0790" w:rsidRDefault="00000000">
      <w:pPr>
        <w:spacing w:after="160"/>
        <w:jc w:val="center"/>
        <w:rPr>
          <w:rFonts w:asciiTheme="minorHAnsi" w:hAnsiTheme="minorHAnsi"/>
          <w:sz w:val="40"/>
          <w:szCs w:val="40"/>
        </w:rPr>
      </w:pPr>
      <w:r w:rsidRPr="00CB0790">
        <w:rPr>
          <w:rFonts w:asciiTheme="minorHAnsi" w:hAnsiTheme="minorHAnsi"/>
          <w:b/>
          <w:bCs/>
          <w:color w:val="2E4057"/>
          <w:sz w:val="40"/>
          <w:szCs w:val="40"/>
        </w:rPr>
        <w:t>ALY6130 - Risk Management Analytics</w:t>
      </w:r>
    </w:p>
    <w:p w14:paraId="3E20E9D9" w14:textId="77777777" w:rsidR="001F2FAE" w:rsidRPr="00CB0790" w:rsidRDefault="00000000">
      <w:pPr>
        <w:spacing w:after="160"/>
        <w:jc w:val="center"/>
        <w:rPr>
          <w:rFonts w:asciiTheme="minorHAnsi" w:hAnsiTheme="minorHAnsi"/>
          <w:sz w:val="40"/>
          <w:szCs w:val="40"/>
        </w:rPr>
      </w:pPr>
      <w:r w:rsidRPr="00CB0790">
        <w:rPr>
          <w:rFonts w:asciiTheme="minorHAnsi" w:hAnsiTheme="minorHAnsi"/>
          <w:b/>
          <w:bCs/>
          <w:color w:val="2E4057"/>
          <w:sz w:val="40"/>
          <w:szCs w:val="40"/>
        </w:rPr>
        <w:t>Module 2: Risk Identification</w:t>
      </w:r>
    </w:p>
    <w:p w14:paraId="52994803" w14:textId="23960A26" w:rsidR="001F2FAE" w:rsidRPr="00CB0790" w:rsidRDefault="001F2FAE">
      <w:pPr>
        <w:spacing w:after="300"/>
        <w:rPr>
          <w:rFonts w:asciiTheme="minorHAnsi" w:hAnsiTheme="minorHAnsi"/>
          <w:sz w:val="36"/>
          <w:szCs w:val="36"/>
        </w:rPr>
      </w:pPr>
    </w:p>
    <w:p w14:paraId="5D6C8BEE" w14:textId="58551151" w:rsidR="001F2FAE" w:rsidRPr="00434437" w:rsidRDefault="00000000">
      <w:pPr>
        <w:spacing w:after="160"/>
        <w:jc w:val="center"/>
        <w:rPr>
          <w:rFonts w:asciiTheme="minorHAnsi" w:hAnsiTheme="minorHAnsi"/>
          <w:i/>
          <w:iCs/>
          <w:color w:val="BF4E14" w:themeColor="accent2" w:themeShade="BF"/>
          <w:sz w:val="36"/>
          <w:szCs w:val="36"/>
        </w:rPr>
      </w:pPr>
      <w:r w:rsidRPr="00434437">
        <w:rPr>
          <w:rFonts w:asciiTheme="minorHAnsi" w:hAnsiTheme="minorHAnsi"/>
          <w:b/>
          <w:bCs/>
          <w:i/>
          <w:iCs/>
          <w:color w:val="BF4E14" w:themeColor="accent2" w:themeShade="BF"/>
          <w:sz w:val="36"/>
          <w:szCs w:val="36"/>
        </w:rPr>
        <w:t>ServiceNow's $7.75 Billion Acquisition of Armis</w:t>
      </w:r>
      <w:r w:rsidR="0054096E">
        <w:rPr>
          <w:rFonts w:asciiTheme="minorHAnsi" w:hAnsiTheme="minorHAnsi"/>
          <w:b/>
          <w:bCs/>
          <w:i/>
          <w:iCs/>
          <w:color w:val="BF4E14" w:themeColor="accent2" w:themeShade="BF"/>
          <w:sz w:val="36"/>
          <w:szCs w:val="36"/>
        </w:rPr>
        <w:t>.</w:t>
      </w:r>
    </w:p>
    <w:p w14:paraId="64530E2C" w14:textId="68E40B75" w:rsidR="001F2FAE" w:rsidRDefault="00FD4C7B" w:rsidP="00FD4C7B">
      <w:pPr>
        <w:spacing w:after="600"/>
        <w:jc w:val="center"/>
        <w:rPr>
          <w:rFonts w:asciiTheme="minorHAnsi" w:hAnsiTheme="minorHAnsi"/>
          <w:color w:val="666666"/>
          <w:sz w:val="36"/>
          <w:szCs w:val="36"/>
        </w:rPr>
      </w:pPr>
      <w:r w:rsidRPr="00FD4C7B">
        <w:rPr>
          <w:rFonts w:asciiTheme="minorHAnsi" w:hAnsiTheme="minorHAnsi"/>
          <w:color w:val="666666"/>
          <w:sz w:val="36"/>
          <w:szCs w:val="36"/>
        </w:rPr>
        <w:t>Enterprise Risk Management: Competitive Risk Identification</w:t>
      </w:r>
    </w:p>
    <w:p w14:paraId="119DB59E" w14:textId="77777777" w:rsidR="00FD4C7B" w:rsidRPr="00FD4C7B" w:rsidRDefault="00FD4C7B" w:rsidP="00FD4C7B">
      <w:pPr>
        <w:spacing w:after="600"/>
        <w:jc w:val="center"/>
        <w:rPr>
          <w:rFonts w:asciiTheme="minorHAnsi" w:hAnsiTheme="minorHAnsi"/>
          <w:sz w:val="36"/>
          <w:szCs w:val="36"/>
        </w:rPr>
      </w:pPr>
    </w:p>
    <w:p w14:paraId="6153A27F" w14:textId="77777777" w:rsidR="001F2FAE" w:rsidRPr="00FD4C7B" w:rsidRDefault="00000000">
      <w:pPr>
        <w:spacing w:after="160"/>
        <w:jc w:val="center"/>
        <w:rPr>
          <w:rFonts w:asciiTheme="minorHAnsi" w:hAnsiTheme="minorHAnsi"/>
          <w:sz w:val="28"/>
          <w:szCs w:val="28"/>
        </w:rPr>
      </w:pPr>
      <w:r w:rsidRPr="00FD4C7B">
        <w:rPr>
          <w:rFonts w:asciiTheme="minorHAnsi" w:hAnsiTheme="minorHAnsi"/>
          <w:color w:val="000000"/>
          <w:sz w:val="28"/>
          <w:szCs w:val="28"/>
        </w:rPr>
        <w:t>Group 4: Adwoa Bempomaa, Sara Mathai, Lawrence Dass</w:t>
      </w:r>
    </w:p>
    <w:p w14:paraId="6030D643" w14:textId="6751AB35" w:rsidR="00527B15" w:rsidRPr="00FD4C7B" w:rsidRDefault="00000000" w:rsidP="00CB0790">
      <w:pPr>
        <w:spacing w:after="160"/>
        <w:jc w:val="center"/>
        <w:rPr>
          <w:rFonts w:asciiTheme="minorHAnsi" w:hAnsiTheme="minorHAnsi"/>
          <w:sz w:val="28"/>
          <w:szCs w:val="28"/>
        </w:rPr>
      </w:pPr>
      <w:r w:rsidRPr="00FD4C7B">
        <w:rPr>
          <w:rFonts w:asciiTheme="minorHAnsi" w:hAnsiTheme="minorHAnsi"/>
          <w:color w:val="666666"/>
          <w:sz w:val="28"/>
          <w:szCs w:val="28"/>
        </w:rPr>
        <w:t>Northeastern University Vancouver | College of Professional Studies</w:t>
      </w:r>
    </w:p>
    <w:p w14:paraId="4F447C99" w14:textId="77777777" w:rsidR="00527B15" w:rsidRDefault="00527B15" w:rsidP="00FD4C7B">
      <w:pPr>
        <w:spacing w:after="160"/>
        <w:rPr>
          <w:rFonts w:asciiTheme="minorHAnsi" w:hAnsiTheme="minorHAnsi"/>
          <w:color w:val="666666"/>
          <w:sz w:val="20"/>
          <w:szCs w:val="20"/>
        </w:rPr>
      </w:pPr>
    </w:p>
    <w:p w14:paraId="4FBC9638" w14:textId="77777777" w:rsidR="00FD4C7B" w:rsidRPr="00CB0790" w:rsidRDefault="00FD4C7B" w:rsidP="00FD4C7B">
      <w:pPr>
        <w:spacing w:after="160"/>
        <w:rPr>
          <w:rFonts w:asciiTheme="minorHAnsi" w:hAnsiTheme="minorHAnsi"/>
          <w:color w:val="666666"/>
          <w:sz w:val="20"/>
          <w:szCs w:val="20"/>
        </w:rPr>
      </w:pPr>
    </w:p>
    <w:p w14:paraId="1A925E65" w14:textId="0C1F0545" w:rsidR="00527B15" w:rsidRPr="00CB0790" w:rsidRDefault="00FD4C7B" w:rsidP="006A7CFC">
      <w:pPr>
        <w:spacing w:after="160"/>
        <w:rPr>
          <w:rFonts w:asciiTheme="minorHAnsi" w:hAnsiTheme="minorHAnsi"/>
          <w:color w:val="666666"/>
          <w:sz w:val="20"/>
          <w:szCs w:val="20"/>
        </w:rPr>
      </w:pPr>
      <w:r>
        <w:rPr>
          <w:rFonts w:asciiTheme="minorHAnsi" w:hAnsiTheme="minorHAnsi"/>
          <w:color w:val="666666"/>
          <w:sz w:val="20"/>
          <w:szCs w:val="20"/>
        </w:rPr>
        <w:t xml:space="preserve">Date: </w:t>
      </w:r>
      <w:r w:rsidR="00384C7B">
        <w:rPr>
          <w:rFonts w:asciiTheme="minorHAnsi" w:hAnsiTheme="minorHAnsi"/>
          <w:color w:val="666666"/>
          <w:sz w:val="20"/>
          <w:szCs w:val="20"/>
        </w:rPr>
        <w:t>4</w:t>
      </w:r>
      <w:r w:rsidR="00384C7B" w:rsidRPr="00384C7B">
        <w:rPr>
          <w:rFonts w:asciiTheme="minorHAnsi" w:hAnsiTheme="minorHAnsi"/>
          <w:color w:val="666666"/>
          <w:sz w:val="20"/>
          <w:szCs w:val="20"/>
          <w:vertAlign w:val="superscript"/>
        </w:rPr>
        <w:t>th</w:t>
      </w:r>
      <w:r w:rsidR="00384C7B">
        <w:rPr>
          <w:rFonts w:asciiTheme="minorHAnsi" w:hAnsiTheme="minorHAnsi"/>
          <w:color w:val="666666"/>
          <w:sz w:val="20"/>
          <w:szCs w:val="20"/>
        </w:rPr>
        <w:t xml:space="preserve"> March</w:t>
      </w:r>
      <w:r>
        <w:rPr>
          <w:rFonts w:asciiTheme="minorHAnsi" w:hAnsiTheme="minorHAnsi"/>
          <w:color w:val="666666"/>
          <w:sz w:val="20"/>
          <w:szCs w:val="20"/>
        </w:rPr>
        <w:t xml:space="preserve"> 2026</w:t>
      </w:r>
    </w:p>
    <w:p w14:paraId="05C191DB" w14:textId="77777777" w:rsidR="00C81FF4" w:rsidRDefault="00C81FF4" w:rsidP="00527B15">
      <w:pPr>
        <w:rPr>
          <w:rFonts w:asciiTheme="minorHAnsi" w:hAnsiTheme="minorHAnsi"/>
          <w:color w:val="666666"/>
          <w:sz w:val="20"/>
          <w:szCs w:val="20"/>
        </w:rPr>
      </w:pPr>
    </w:p>
    <w:p w14:paraId="7235BA35" w14:textId="1078CF9E" w:rsidR="00527B15" w:rsidRPr="00CB0790" w:rsidRDefault="00527B15" w:rsidP="00527B15">
      <w:pPr>
        <w:rPr>
          <w:rFonts w:asciiTheme="minorHAnsi" w:hAnsiTheme="minorHAnsi"/>
          <w:b/>
          <w:bCs/>
          <w:color w:val="0F4761" w:themeColor="accent1" w:themeShade="BF"/>
          <w:sz w:val="30"/>
          <w:szCs w:val="30"/>
        </w:rPr>
      </w:pPr>
      <w:r w:rsidRPr="00CB0790">
        <w:rPr>
          <w:rFonts w:asciiTheme="minorHAnsi" w:hAnsiTheme="minorHAnsi"/>
          <w:b/>
          <w:bCs/>
          <w:color w:val="0F4761" w:themeColor="accent1" w:themeShade="BF"/>
          <w:sz w:val="30"/>
          <w:szCs w:val="30"/>
        </w:rPr>
        <w:t>Introduction</w:t>
      </w:r>
    </w:p>
    <w:p w14:paraId="2546D1BC" w14:textId="77777777" w:rsidR="00527B15" w:rsidRPr="00CB0790" w:rsidRDefault="00527B15" w:rsidP="00527B15">
      <w:pPr>
        <w:rPr>
          <w:rFonts w:asciiTheme="minorHAnsi" w:hAnsiTheme="minorHAnsi"/>
          <w:b/>
          <w:bCs/>
          <w:sz w:val="30"/>
          <w:szCs w:val="30"/>
        </w:rPr>
      </w:pPr>
    </w:p>
    <w:p w14:paraId="0F926AA0" w14:textId="5456FAD7" w:rsidR="00527B15" w:rsidRPr="00CB0790" w:rsidRDefault="00527B15" w:rsidP="00527B15">
      <w:pPr>
        <w:rPr>
          <w:rFonts w:asciiTheme="minorHAnsi" w:hAnsiTheme="minorHAnsi"/>
        </w:rPr>
      </w:pPr>
      <w:r w:rsidRPr="00CB0790">
        <w:rPr>
          <w:rFonts w:asciiTheme="minorHAnsi" w:hAnsiTheme="minorHAnsi"/>
        </w:rPr>
        <w:t>This report identifies and evaluates competitive risks associated with the potential acquisition and integration of Armis by ServiceNow in the cybersecurity and asset visibility market. Using the SWOT analysis conducted in Module 1, three competitive risks were identified: two negative risks related to market competition and pricing pressure, and one positive opportunity driven by increasing regulatory cybersecurity requirements. These risks were analyzed using a risk register framework and supported by Key Risk Indicators (KRIs) to help management monitor emerging threats and opportunities.</w:t>
      </w:r>
    </w:p>
    <w:p w14:paraId="6BF442E7" w14:textId="3B218259" w:rsidR="001F2FAE" w:rsidRPr="00CB0790" w:rsidRDefault="00000000">
      <w:pPr>
        <w:pStyle w:val="Heading1"/>
        <w:rPr>
          <w:rFonts w:asciiTheme="minorHAnsi" w:hAnsiTheme="minorHAnsi"/>
        </w:rPr>
      </w:pPr>
      <w:r w:rsidRPr="00CB0790">
        <w:rPr>
          <w:rFonts w:asciiTheme="minorHAnsi" w:hAnsiTheme="minorHAnsi"/>
        </w:rPr>
        <w:t>1. Company Overview and Scenario</w:t>
      </w:r>
    </w:p>
    <w:p w14:paraId="14B79653" w14:textId="77777777" w:rsidR="001F2FAE" w:rsidRPr="00CB0790" w:rsidRDefault="00000000">
      <w:pPr>
        <w:spacing w:after="160"/>
        <w:rPr>
          <w:rFonts w:asciiTheme="minorHAnsi" w:hAnsiTheme="minorHAnsi"/>
        </w:rPr>
      </w:pPr>
      <w:r w:rsidRPr="00CB0790">
        <w:rPr>
          <w:rFonts w:asciiTheme="minorHAnsi" w:hAnsiTheme="minorHAnsi"/>
          <w:color w:val="000000"/>
        </w:rPr>
        <w:t>ServiceNow (NYSE: NOW) is one of the largest enterprise software companies globally, reporting $13.278 billion in total revenue for fiscal year 2025. Its subscription revenue reached approximately $12.88 billion, growing 21% year-over-year, and the company serves over 8,800 enterprise customers including 85% of the Fortune 500. ServiceNow's Security and Risk business crossed $1 billion in annual contract value during Q3 2025.</w:t>
      </w:r>
    </w:p>
    <w:p w14:paraId="620EB21C" w14:textId="77777777" w:rsidR="001F2FAE" w:rsidRPr="00CB0790" w:rsidRDefault="00000000">
      <w:pPr>
        <w:spacing w:after="160"/>
        <w:rPr>
          <w:rFonts w:asciiTheme="minorHAnsi" w:hAnsiTheme="minorHAnsi"/>
        </w:rPr>
      </w:pPr>
      <w:r w:rsidRPr="00CB0790">
        <w:rPr>
          <w:rFonts w:asciiTheme="minorHAnsi" w:hAnsiTheme="minorHAnsi"/>
          <w:color w:val="000000"/>
        </w:rPr>
        <w:t>On December 23, 2025, ServiceNow announced a definitive agreement to acquire Armis, a leader in cyber exposure management and cyber-physical security, for approximately $7.75 billion in an all-cash transaction. This represents the largest acquisition in ServiceNow's history. Armis, founded in 2015, has grown to $340 million in ARR with over 50% year-over-year growth and employs approximately 950 people. The deal is expected to close in the second half of 2026.</w:t>
      </w:r>
    </w:p>
    <w:p w14:paraId="68D3D2B5" w14:textId="77777777" w:rsidR="001F2FAE" w:rsidRPr="00CB0790" w:rsidRDefault="00000000">
      <w:pPr>
        <w:spacing w:after="160"/>
        <w:rPr>
          <w:rFonts w:asciiTheme="minorHAnsi" w:hAnsiTheme="minorHAnsi"/>
        </w:rPr>
      </w:pPr>
      <w:r w:rsidRPr="00CB0790">
        <w:rPr>
          <w:rFonts w:asciiTheme="minorHAnsi" w:hAnsiTheme="minorHAnsi"/>
          <w:color w:val="000000"/>
        </w:rPr>
        <w:t>This analysis examines the acquisition from the perspective of strategic expansion, focusing on three competitive risks identified through our Module 1 SWOT analysis. The competitive environment is particularly dynamic, with several rival acquisitions exceeding $7 billion in 2025 reshaping the enterprise cybersecurity landscape.</w:t>
      </w:r>
    </w:p>
    <w:p w14:paraId="2147513B" w14:textId="77777777" w:rsidR="001F2FAE" w:rsidRPr="00CB0790" w:rsidRDefault="00000000">
      <w:pPr>
        <w:pStyle w:val="Heading1"/>
        <w:rPr>
          <w:rFonts w:asciiTheme="minorHAnsi" w:hAnsiTheme="minorHAnsi"/>
        </w:rPr>
      </w:pPr>
      <w:r w:rsidRPr="00CB0790">
        <w:rPr>
          <w:rFonts w:asciiTheme="minorHAnsi" w:hAnsiTheme="minorHAnsi"/>
        </w:rPr>
        <w:t>2. Competitive Environment</w:t>
      </w:r>
    </w:p>
    <w:p w14:paraId="4804185A" w14:textId="77777777" w:rsidR="001F2FAE" w:rsidRPr="00CB0790" w:rsidRDefault="00000000">
      <w:pPr>
        <w:spacing w:after="160"/>
        <w:rPr>
          <w:rFonts w:asciiTheme="minorHAnsi" w:hAnsiTheme="minorHAnsi"/>
        </w:rPr>
      </w:pPr>
      <w:r w:rsidRPr="00CB0790">
        <w:rPr>
          <w:rFonts w:asciiTheme="minorHAnsi" w:hAnsiTheme="minorHAnsi"/>
          <w:color w:val="000000"/>
        </w:rPr>
        <w:t>The enterprise cybersecurity industry underwent significant consolidation in 2025. Understanding the competitive landscape is critical to contextualizing the three risks identified in this analysis.</w:t>
      </w:r>
    </w:p>
    <w:p w14:paraId="60271F51" w14:textId="77777777" w:rsidR="001F2FAE" w:rsidRPr="00CB0790" w:rsidRDefault="00000000">
      <w:pPr>
        <w:pStyle w:val="Heading2"/>
        <w:rPr>
          <w:rFonts w:asciiTheme="minorHAnsi" w:hAnsiTheme="minorHAnsi"/>
        </w:rPr>
      </w:pPr>
      <w:r w:rsidRPr="00CB0790">
        <w:rPr>
          <w:rFonts w:asciiTheme="minorHAnsi" w:hAnsiTheme="minorHAnsi"/>
        </w:rPr>
        <w:t>Key Competitors</w:t>
      </w:r>
    </w:p>
    <w:tbl>
      <w:tblPr>
        <w:tblW w:w="11341"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1600"/>
        <w:gridCol w:w="3287"/>
        <w:gridCol w:w="3969"/>
      </w:tblGrid>
      <w:tr w:rsidR="001F2FAE" w:rsidRPr="00CB0790" w14:paraId="13C990E2" w14:textId="77777777" w:rsidTr="00384C7B">
        <w:tc>
          <w:tcPr>
            <w:tcW w:w="248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E95279" w14:textId="77777777" w:rsidR="001F2FAE" w:rsidRPr="00CB0790" w:rsidRDefault="00000000">
            <w:pPr>
              <w:rPr>
                <w:rFonts w:asciiTheme="minorHAnsi" w:hAnsiTheme="minorHAnsi"/>
              </w:rPr>
            </w:pPr>
            <w:r w:rsidRPr="00CB0790">
              <w:rPr>
                <w:rFonts w:asciiTheme="minorHAnsi" w:hAnsiTheme="minorHAnsi"/>
                <w:b/>
                <w:bCs/>
                <w:color w:val="FFFFFF"/>
                <w:sz w:val="20"/>
                <w:szCs w:val="20"/>
              </w:rPr>
              <w:t>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0DC2F3" w14:textId="77777777" w:rsidR="001F2FAE" w:rsidRPr="00CB0790" w:rsidRDefault="00000000">
            <w:pPr>
              <w:rPr>
                <w:rFonts w:asciiTheme="minorHAnsi" w:hAnsiTheme="minorHAnsi"/>
              </w:rPr>
            </w:pPr>
            <w:r w:rsidRPr="00CB0790">
              <w:rPr>
                <w:rFonts w:asciiTheme="minorHAnsi" w:hAnsiTheme="minorHAnsi"/>
                <w:b/>
                <w:bCs/>
                <w:color w:val="FFFFFF"/>
                <w:sz w:val="20"/>
                <w:szCs w:val="20"/>
              </w:rPr>
              <w:t>Deal Value</w:t>
            </w:r>
          </w:p>
        </w:tc>
        <w:tc>
          <w:tcPr>
            <w:tcW w:w="3287"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FCB9B3" w14:textId="77777777" w:rsidR="001F2FAE" w:rsidRPr="00CB0790" w:rsidRDefault="00000000">
            <w:pPr>
              <w:rPr>
                <w:rFonts w:asciiTheme="minorHAnsi" w:hAnsiTheme="minorHAnsi"/>
              </w:rPr>
            </w:pPr>
            <w:r w:rsidRPr="00CB0790">
              <w:rPr>
                <w:rFonts w:asciiTheme="minorHAnsi" w:hAnsiTheme="minorHAnsi"/>
                <w:b/>
                <w:bCs/>
                <w:color w:val="FFFFFF"/>
                <w:sz w:val="20"/>
                <w:szCs w:val="20"/>
              </w:rPr>
              <w:t>OT/IoT Relevance</w:t>
            </w:r>
          </w:p>
        </w:tc>
        <w:tc>
          <w:tcPr>
            <w:tcW w:w="396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6CBE34" w14:textId="77777777" w:rsidR="001F2FAE" w:rsidRPr="00CB0790" w:rsidRDefault="00000000">
            <w:pPr>
              <w:rPr>
                <w:rFonts w:asciiTheme="minorHAnsi" w:hAnsiTheme="minorHAnsi"/>
              </w:rPr>
            </w:pPr>
            <w:r w:rsidRPr="00CB0790">
              <w:rPr>
                <w:rFonts w:asciiTheme="minorHAnsi" w:hAnsiTheme="minorHAnsi"/>
                <w:b/>
                <w:bCs/>
                <w:color w:val="FFFFFF"/>
                <w:sz w:val="20"/>
                <w:szCs w:val="20"/>
              </w:rPr>
              <w:t>Threat to ServiceNow-Armis</w:t>
            </w:r>
          </w:p>
        </w:tc>
      </w:tr>
      <w:tr w:rsidR="001F2FAE" w:rsidRPr="00CB0790" w14:paraId="3CBA2D67"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E639" w14:textId="77777777" w:rsidR="001F2FAE" w:rsidRPr="00CB0790" w:rsidRDefault="00000000">
            <w:pPr>
              <w:rPr>
                <w:rFonts w:asciiTheme="minorHAnsi" w:hAnsiTheme="minorHAnsi"/>
              </w:rPr>
            </w:pPr>
            <w:r w:rsidRPr="00CB0790">
              <w:rPr>
                <w:rFonts w:asciiTheme="minorHAnsi" w:hAnsiTheme="minorHAnsi"/>
                <w:b/>
                <w:bCs/>
                <w:sz w:val="20"/>
                <w:szCs w:val="20"/>
              </w:rPr>
              <w:t>Google / Wiz</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F46C" w14:textId="77777777" w:rsidR="001F2FAE" w:rsidRPr="00CB0790" w:rsidRDefault="00000000">
            <w:pPr>
              <w:jc w:val="center"/>
              <w:rPr>
                <w:rFonts w:asciiTheme="minorHAnsi" w:hAnsiTheme="minorHAnsi"/>
              </w:rPr>
            </w:pPr>
            <w:r w:rsidRPr="00CB0790">
              <w:rPr>
                <w:rFonts w:asciiTheme="minorHAnsi" w:hAnsiTheme="minorHAnsi"/>
                <w:sz w:val="20"/>
                <w:szCs w:val="20"/>
              </w:rPr>
              <w:t>$32B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8934C" w14:textId="77777777" w:rsidR="001F2FAE" w:rsidRPr="00CB0790" w:rsidRDefault="00000000">
            <w:pPr>
              <w:rPr>
                <w:rFonts w:asciiTheme="minorHAnsi" w:hAnsiTheme="minorHAnsi"/>
              </w:rPr>
            </w:pPr>
            <w:r w:rsidRPr="00CB0790">
              <w:rPr>
                <w:rFonts w:asciiTheme="minorHAnsi" w:hAnsiTheme="minorHAnsi"/>
                <w:sz w:val="20"/>
                <w:szCs w:val="20"/>
              </w:rPr>
              <w:t>Cloud-native security posture management with growing OT visibility</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B010" w14:textId="77777777" w:rsidR="001F2FAE" w:rsidRPr="00CB0790" w:rsidRDefault="00000000">
            <w:pPr>
              <w:rPr>
                <w:rFonts w:asciiTheme="minorHAnsi" w:hAnsiTheme="minorHAnsi"/>
              </w:rPr>
            </w:pPr>
            <w:r w:rsidRPr="00CB0790">
              <w:rPr>
                <w:rFonts w:asciiTheme="minorHAnsi" w:hAnsiTheme="minorHAnsi"/>
                <w:sz w:val="20"/>
                <w:szCs w:val="20"/>
              </w:rPr>
              <w:t>Massive cloud infrastructure leverage; appeals to cloud-first enterprises</w:t>
            </w:r>
          </w:p>
        </w:tc>
      </w:tr>
      <w:tr w:rsidR="001F2FAE" w:rsidRPr="00CB0790" w14:paraId="1F3EDF6B"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AF38" w14:textId="77777777" w:rsidR="001F2FAE" w:rsidRPr="00CB0790" w:rsidRDefault="00000000">
            <w:pPr>
              <w:rPr>
                <w:rFonts w:asciiTheme="minorHAnsi" w:hAnsiTheme="minorHAnsi"/>
              </w:rPr>
            </w:pPr>
            <w:r w:rsidRPr="00CB0790">
              <w:rPr>
                <w:rFonts w:asciiTheme="minorHAnsi" w:hAnsiTheme="minorHAnsi"/>
                <w:b/>
                <w:bCs/>
                <w:sz w:val="20"/>
                <w:szCs w:val="20"/>
              </w:rPr>
              <w:t xml:space="preserve">Palo Alto / </w:t>
            </w:r>
            <w:proofErr w:type="spellStart"/>
            <w:r w:rsidRPr="00CB0790">
              <w:rPr>
                <w:rFonts w:asciiTheme="minorHAnsi" w:hAnsiTheme="minorHAnsi"/>
                <w:b/>
                <w:bCs/>
                <w:sz w:val="20"/>
                <w:szCs w:val="20"/>
              </w:rPr>
              <w:t>CyberArk</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D946" w14:textId="77777777" w:rsidR="001F2FAE" w:rsidRPr="00CB0790" w:rsidRDefault="00000000">
            <w:pPr>
              <w:jc w:val="center"/>
              <w:rPr>
                <w:rFonts w:asciiTheme="minorHAnsi" w:hAnsiTheme="minorHAnsi"/>
              </w:rPr>
            </w:pPr>
            <w:r w:rsidRPr="00CB0790">
              <w:rPr>
                <w:rFonts w:asciiTheme="minorHAnsi" w:hAnsiTheme="minorHAnsi"/>
                <w:sz w:val="20"/>
                <w:szCs w:val="20"/>
              </w:rPr>
              <w:t>$25B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3BC8" w14:textId="77777777" w:rsidR="001F2FAE" w:rsidRPr="00CB0790" w:rsidRDefault="00000000">
            <w:pPr>
              <w:rPr>
                <w:rFonts w:asciiTheme="minorHAnsi" w:hAnsiTheme="minorHAnsi"/>
              </w:rPr>
            </w:pPr>
            <w:r w:rsidRPr="00CB0790">
              <w:rPr>
                <w:rFonts w:asciiTheme="minorHAnsi" w:hAnsiTheme="minorHAnsi"/>
                <w:sz w:val="20"/>
                <w:szCs w:val="20"/>
              </w:rPr>
              <w:t>Forrester-rated most comprehensive OT security solution; identity-centric approach</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29F8" w14:textId="77777777" w:rsidR="001F2FAE" w:rsidRPr="00CB0790" w:rsidRDefault="00000000">
            <w:pPr>
              <w:rPr>
                <w:rFonts w:asciiTheme="minorHAnsi" w:hAnsiTheme="minorHAnsi"/>
              </w:rPr>
            </w:pPr>
            <w:r w:rsidRPr="00CB0790">
              <w:rPr>
                <w:rFonts w:asciiTheme="minorHAnsi" w:hAnsiTheme="minorHAnsi"/>
                <w:sz w:val="20"/>
                <w:szCs w:val="20"/>
              </w:rPr>
              <w:t>Strongest direct competitor in OT; deep security operations DNA</w:t>
            </w:r>
          </w:p>
        </w:tc>
      </w:tr>
      <w:tr w:rsidR="001F2FAE" w:rsidRPr="00CB0790" w14:paraId="145FED27"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DAEC" w14:textId="77777777" w:rsidR="001F2FAE" w:rsidRPr="00CB0790" w:rsidRDefault="00000000">
            <w:pPr>
              <w:rPr>
                <w:rFonts w:asciiTheme="minorHAnsi" w:hAnsiTheme="minorHAnsi"/>
              </w:rPr>
            </w:pPr>
            <w:r w:rsidRPr="00CB0790">
              <w:rPr>
                <w:rFonts w:asciiTheme="minorHAnsi" w:hAnsiTheme="minorHAnsi"/>
                <w:b/>
                <w:bCs/>
                <w:sz w:val="20"/>
                <w:szCs w:val="20"/>
              </w:rPr>
              <w:t>Cisco / Splunk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5B6A" w14:textId="77777777" w:rsidR="001F2FAE" w:rsidRPr="00CB0790" w:rsidRDefault="00000000">
            <w:pPr>
              <w:jc w:val="center"/>
              <w:rPr>
                <w:rFonts w:asciiTheme="minorHAnsi" w:hAnsiTheme="minorHAnsi"/>
              </w:rPr>
            </w:pPr>
            <w:r w:rsidRPr="00CB0790">
              <w:rPr>
                <w:rFonts w:asciiTheme="minorHAnsi" w:hAnsiTheme="minorHAnsi"/>
                <w:sz w:val="20"/>
                <w:szCs w:val="20"/>
              </w:rPr>
              <w:t>$28B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B685" w14:textId="77777777" w:rsidR="001F2FAE" w:rsidRPr="00CB0790" w:rsidRDefault="00000000">
            <w:pPr>
              <w:rPr>
                <w:rFonts w:asciiTheme="minorHAnsi" w:hAnsiTheme="minorHAnsi"/>
              </w:rPr>
            </w:pPr>
            <w:r w:rsidRPr="00CB0790">
              <w:rPr>
                <w:rFonts w:asciiTheme="minorHAnsi" w:hAnsiTheme="minorHAnsi"/>
                <w:sz w:val="20"/>
                <w:szCs w:val="20"/>
              </w:rPr>
              <w:t>Industrial Threat Defense combining Cisco Cyber Vision with Splunk analytics</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CAF5" w14:textId="77777777" w:rsidR="001F2FAE" w:rsidRPr="00CB0790" w:rsidRDefault="00000000">
            <w:pPr>
              <w:rPr>
                <w:rFonts w:asciiTheme="minorHAnsi" w:hAnsiTheme="minorHAnsi"/>
              </w:rPr>
            </w:pPr>
            <w:r w:rsidRPr="00CB0790">
              <w:rPr>
                <w:rFonts w:asciiTheme="minorHAnsi" w:hAnsiTheme="minorHAnsi"/>
                <w:sz w:val="20"/>
                <w:szCs w:val="20"/>
              </w:rPr>
              <w:t>Strong network-layer visibility; established in industrial environments</w:t>
            </w:r>
          </w:p>
        </w:tc>
      </w:tr>
      <w:tr w:rsidR="00384C7B" w:rsidRPr="00CB0790" w14:paraId="18FA8A29"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A3F8" w14:textId="77777777" w:rsidR="00384C7B" w:rsidRPr="00CB0790" w:rsidRDefault="00384C7B" w:rsidP="00384C7B">
            <w:pPr>
              <w:rPr>
                <w:rFonts w:asciiTheme="minorHAnsi" w:hAnsiTheme="minorHAnsi"/>
              </w:rPr>
            </w:pPr>
            <w:r w:rsidRPr="00CB0790">
              <w:rPr>
                <w:rFonts w:asciiTheme="minorHAnsi" w:hAnsiTheme="minorHAnsi"/>
                <w:b/>
                <w:bCs/>
                <w:sz w:val="20"/>
                <w:szCs w:val="20"/>
              </w:rPr>
              <w:t>Microsoft (Defender for IoT)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40C7" w14:textId="77777777" w:rsidR="00384C7B" w:rsidRPr="00CB0790" w:rsidRDefault="00384C7B" w:rsidP="00384C7B">
            <w:pPr>
              <w:jc w:val="center"/>
              <w:rPr>
                <w:rFonts w:asciiTheme="minorHAnsi" w:hAnsiTheme="minorHAnsi"/>
              </w:rPr>
            </w:pPr>
            <w:r w:rsidRPr="00CB0790">
              <w:rPr>
                <w:rFonts w:asciiTheme="minorHAnsi" w:hAnsiTheme="minorHAnsi"/>
                <w:sz w:val="20"/>
                <w:szCs w:val="20"/>
              </w:rPr>
              <w:t>Bundled in M365 E5</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5EA68" w14:textId="77777777" w:rsidR="00384C7B" w:rsidRPr="00CB0790" w:rsidRDefault="00384C7B" w:rsidP="00384C7B">
            <w:pPr>
              <w:rPr>
                <w:rFonts w:asciiTheme="minorHAnsi" w:hAnsiTheme="minorHAnsi"/>
              </w:rPr>
            </w:pPr>
            <w:r w:rsidRPr="00CB0790">
              <w:rPr>
                <w:rFonts w:asciiTheme="minorHAnsi" w:hAnsiTheme="minorHAnsi"/>
                <w:sz w:val="20"/>
                <w:szCs w:val="20"/>
              </w:rPr>
              <w:t>Agentless OT detection included at no incremental cost for E5 subscribers</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88FF" w14:textId="3925D553" w:rsidR="00384C7B" w:rsidRPr="00CB0790" w:rsidRDefault="00384C7B" w:rsidP="00384C7B">
            <w:pPr>
              <w:rPr>
                <w:rFonts w:asciiTheme="minorHAnsi" w:hAnsiTheme="minorHAnsi"/>
              </w:rPr>
            </w:pPr>
            <w:r w:rsidRPr="00A33815">
              <w:rPr>
                <w:rFonts w:asciiTheme="minorHAnsi" w:hAnsiTheme="minorHAnsi"/>
                <w:sz w:val="20"/>
                <w:szCs w:val="20"/>
              </w:rPr>
              <w:t>AI-enabled security integration across identity, endpoint, cloud, and OT environments reinforces Microsoft’s unified security ecosystem and enterprise platform leverage</w:t>
            </w:r>
          </w:p>
        </w:tc>
      </w:tr>
    </w:tbl>
    <w:p w14:paraId="5E93138B" w14:textId="77777777" w:rsidR="001F2FAE" w:rsidRPr="00CB0790" w:rsidRDefault="001F2FAE">
      <w:pPr>
        <w:spacing w:after="100"/>
        <w:rPr>
          <w:rFonts w:asciiTheme="minorHAnsi" w:hAnsiTheme="minorHAnsi"/>
        </w:rPr>
      </w:pPr>
    </w:p>
    <w:p w14:paraId="4B61B4BB" w14:textId="77777777" w:rsidR="001F2FAE" w:rsidRPr="00CB0790" w:rsidRDefault="00000000">
      <w:pPr>
        <w:spacing w:after="160"/>
        <w:rPr>
          <w:rFonts w:asciiTheme="minorHAnsi" w:hAnsiTheme="minorHAnsi"/>
        </w:rPr>
      </w:pPr>
      <w:r w:rsidRPr="00CB0790">
        <w:rPr>
          <w:rFonts w:asciiTheme="minorHAnsi" w:hAnsiTheme="minorHAnsi"/>
          <w:color w:val="000000"/>
        </w:rPr>
        <w:lastRenderedPageBreak/>
        <w:t>Pure-play specialists such as Claroty, Nozomi Networks, and Dragos continue to innovate rapidly in their core OT/IoT domains, though they lack the platform breadth that the mega-acquisitions are assembling.</w:t>
      </w:r>
    </w:p>
    <w:p w14:paraId="7E5F3FB9" w14:textId="77777777" w:rsidR="001F2FAE" w:rsidRPr="00CB0790" w:rsidRDefault="00000000">
      <w:pPr>
        <w:pStyle w:val="Heading1"/>
        <w:rPr>
          <w:rFonts w:asciiTheme="minorHAnsi" w:hAnsiTheme="minorHAnsi"/>
        </w:rPr>
      </w:pPr>
      <w:r w:rsidRPr="00CB0790">
        <w:rPr>
          <w:rFonts w:asciiTheme="minorHAnsi" w:hAnsiTheme="minorHAnsi"/>
        </w:rPr>
        <w:t>3. Risk Identification Summary</w:t>
      </w:r>
    </w:p>
    <w:p w14:paraId="271C9B96" w14:textId="77777777" w:rsidR="001F2FAE" w:rsidRPr="00CB0790" w:rsidRDefault="00000000">
      <w:pPr>
        <w:spacing w:after="160"/>
        <w:rPr>
          <w:rFonts w:asciiTheme="minorHAnsi" w:hAnsiTheme="minorHAnsi"/>
        </w:rPr>
      </w:pPr>
      <w:r w:rsidRPr="00CB0790">
        <w:rPr>
          <w:rFonts w:asciiTheme="minorHAnsi" w:hAnsiTheme="minorHAnsi"/>
          <w:color w:val="000000"/>
        </w:rPr>
        <w:t>Three competitive risks were identified from the Module 1 SWOT analysis: two negative risks and one positive risk. Each risk is documented in the accompanying Excel workbook using the required risk statement format and scoring methodology. The summary below provides the analytical rationale behind each selection.</w:t>
      </w:r>
    </w:p>
    <w:tbl>
      <w:tblPr>
        <w:tblW w:w="11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79"/>
        <w:gridCol w:w="3189"/>
        <w:gridCol w:w="1843"/>
        <w:gridCol w:w="1418"/>
        <w:gridCol w:w="992"/>
        <w:gridCol w:w="1559"/>
        <w:gridCol w:w="1418"/>
      </w:tblGrid>
      <w:tr w:rsidR="001F2FAE" w:rsidRPr="00CB0790" w14:paraId="3684DAAF" w14:textId="77777777" w:rsidTr="00A70313">
        <w:tc>
          <w:tcPr>
            <w:tcW w:w="77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899B3E"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w:t>
            </w:r>
          </w:p>
        </w:tc>
        <w:tc>
          <w:tcPr>
            <w:tcW w:w="318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155385"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Risk</w:t>
            </w:r>
          </w:p>
        </w:tc>
        <w:tc>
          <w:tcPr>
            <w:tcW w:w="184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31DF6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Type</w:t>
            </w:r>
          </w:p>
        </w:tc>
        <w:tc>
          <w:tcPr>
            <w:tcW w:w="141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4FE5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Likelihood</w:t>
            </w:r>
          </w:p>
        </w:tc>
        <w:tc>
          <w:tcPr>
            <w:tcW w:w="99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AEFE3D"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Impact</w:t>
            </w:r>
          </w:p>
        </w:tc>
        <w:tc>
          <w:tcPr>
            <w:tcW w:w="15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5C5CC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Score</w:t>
            </w:r>
          </w:p>
        </w:tc>
        <w:tc>
          <w:tcPr>
            <w:tcW w:w="141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60FADE"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Priority</w:t>
            </w:r>
          </w:p>
        </w:tc>
      </w:tr>
      <w:tr w:rsidR="001F2FAE" w:rsidRPr="00CB0790" w14:paraId="6F6B43DE" w14:textId="77777777" w:rsidTr="00A70313">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42B8" w14:textId="77777777" w:rsidR="001F2FAE" w:rsidRPr="00CB0790" w:rsidRDefault="00000000">
            <w:pPr>
              <w:jc w:val="center"/>
              <w:rPr>
                <w:rFonts w:asciiTheme="minorHAnsi" w:hAnsiTheme="minorHAnsi"/>
              </w:rPr>
            </w:pPr>
            <w:r w:rsidRPr="00CB0790">
              <w:rPr>
                <w:rFonts w:asciiTheme="minorHAnsi" w:hAnsiTheme="minorHAnsi"/>
                <w:b/>
                <w:bCs/>
                <w:sz w:val="20"/>
                <w:szCs w:val="20"/>
              </w:rPr>
              <w:t>1</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49D6" w14:textId="77777777" w:rsidR="001F2FAE" w:rsidRPr="00CB0790" w:rsidRDefault="00000000">
            <w:pPr>
              <w:rPr>
                <w:rFonts w:asciiTheme="minorHAnsi" w:hAnsiTheme="minorHAnsi"/>
              </w:rPr>
            </w:pPr>
            <w:r w:rsidRPr="00CB0790">
              <w:rPr>
                <w:rFonts w:asciiTheme="minorHAnsi" w:hAnsiTheme="minorHAnsi"/>
                <w:sz w:val="20"/>
                <w:szCs w:val="20"/>
              </w:rPr>
              <w:t>Competitive displacement by rival mega-acquisition platforms</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6B0A" w14:textId="77777777" w:rsidR="001F2FAE" w:rsidRPr="00CB0790" w:rsidRDefault="00000000">
            <w:pPr>
              <w:jc w:val="center"/>
              <w:rPr>
                <w:rFonts w:asciiTheme="minorHAnsi" w:hAnsiTheme="minorHAnsi"/>
              </w:rPr>
            </w:pPr>
            <w:r w:rsidRPr="00CB0790">
              <w:rPr>
                <w:rFonts w:asciiTheme="minorHAnsi" w:hAnsiTheme="minorHAnsi"/>
                <w:sz w:val="20"/>
                <w:szCs w:val="20"/>
              </w:rPr>
              <w:t>Strategic / Competitive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1F60" w14:textId="77777777" w:rsidR="001F2FAE" w:rsidRPr="00CB0790" w:rsidRDefault="00000000">
            <w:pPr>
              <w:jc w:val="center"/>
              <w:rPr>
                <w:rFonts w:asciiTheme="minorHAnsi" w:hAnsiTheme="minorHAnsi"/>
              </w:rPr>
            </w:pPr>
            <w:r w:rsidRPr="00CB0790">
              <w:rPr>
                <w:rFonts w:asciiTheme="minorHAnsi" w:hAnsiTheme="minorHAnsi"/>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56F4" w14:textId="77777777" w:rsidR="001F2FAE" w:rsidRPr="00CB0790" w:rsidRDefault="00000000">
            <w:pPr>
              <w:jc w:val="center"/>
              <w:rPr>
                <w:rFonts w:asciiTheme="minorHAnsi" w:hAnsiTheme="minorHAnsi"/>
              </w:rPr>
            </w:pPr>
            <w:r w:rsidRPr="00CB0790">
              <w:rPr>
                <w:rFonts w:asciiTheme="minorHAnsi" w:hAnsiTheme="minorHAnsi"/>
                <w:sz w:val="20"/>
                <w:szCs w:val="20"/>
              </w:rPr>
              <w:t>8</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A782" w14:textId="77777777" w:rsidR="001F2FAE" w:rsidRPr="00CB0790" w:rsidRDefault="00000000">
            <w:pPr>
              <w:jc w:val="center"/>
              <w:rPr>
                <w:rFonts w:asciiTheme="minorHAnsi" w:hAnsiTheme="minorHAnsi"/>
              </w:rPr>
            </w:pPr>
            <w:r w:rsidRPr="00CB0790">
              <w:rPr>
                <w:rFonts w:asciiTheme="minorHAnsi" w:hAnsiTheme="minorHAnsi"/>
                <w:b/>
                <w:bCs/>
                <w:sz w:val="20"/>
                <w:szCs w:val="20"/>
              </w:rPr>
              <w:t>56</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49BCEA09" w14:textId="77777777" w:rsidR="001F2FAE" w:rsidRPr="00CB0790" w:rsidRDefault="00000000">
            <w:pPr>
              <w:jc w:val="center"/>
              <w:rPr>
                <w:rFonts w:asciiTheme="minorHAnsi" w:hAnsiTheme="minorHAnsi"/>
              </w:rPr>
            </w:pPr>
            <w:r w:rsidRPr="00CB0790">
              <w:rPr>
                <w:rFonts w:asciiTheme="minorHAnsi" w:hAnsiTheme="minorHAnsi"/>
                <w:b/>
                <w:bCs/>
                <w:sz w:val="20"/>
                <w:szCs w:val="20"/>
              </w:rPr>
              <w:t>HIGH</w:t>
            </w:r>
          </w:p>
        </w:tc>
      </w:tr>
      <w:tr w:rsidR="001F2FAE" w:rsidRPr="00CB0790" w14:paraId="0755F031" w14:textId="77777777" w:rsidTr="00384C7B">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78B5F" w14:textId="77777777" w:rsidR="001F2FAE" w:rsidRPr="00CB0790" w:rsidRDefault="00000000">
            <w:pPr>
              <w:jc w:val="center"/>
              <w:rPr>
                <w:rFonts w:asciiTheme="minorHAnsi" w:hAnsiTheme="minorHAnsi"/>
              </w:rPr>
            </w:pPr>
            <w:r w:rsidRPr="00CB0790">
              <w:rPr>
                <w:rFonts w:asciiTheme="minorHAnsi" w:hAnsiTheme="minorHAnsi"/>
                <w:b/>
                <w:bCs/>
                <w:sz w:val="20"/>
                <w:szCs w:val="20"/>
              </w:rPr>
              <w:t>2</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6864" w14:textId="463707EC" w:rsidR="001F2FAE" w:rsidRPr="00CB0790" w:rsidRDefault="00384C7B">
            <w:pPr>
              <w:rPr>
                <w:rFonts w:asciiTheme="minorHAnsi" w:hAnsiTheme="minorHAnsi"/>
              </w:rPr>
            </w:pPr>
            <w:r w:rsidRPr="00F255FA">
              <w:rPr>
                <w:rFonts w:asciiTheme="minorHAnsi" w:hAnsiTheme="minorHAnsi"/>
                <w:sz w:val="20"/>
                <w:szCs w:val="20"/>
              </w:rPr>
              <w:t>Platform relevance erosion due to AI-driven platform convergence</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BCF6" w14:textId="1EB401DD" w:rsidR="001F2FAE" w:rsidRPr="00CB0790" w:rsidRDefault="00384C7B">
            <w:pPr>
              <w:jc w:val="center"/>
              <w:rPr>
                <w:rFonts w:asciiTheme="minorHAnsi" w:hAnsiTheme="minorHAnsi"/>
              </w:rPr>
            </w:pPr>
            <w:r w:rsidRPr="00C459CC">
              <w:rPr>
                <w:rFonts w:asciiTheme="minorHAnsi" w:hAnsiTheme="minorHAnsi"/>
                <w:sz w:val="20"/>
                <w:szCs w:val="20"/>
              </w:rPr>
              <w:t>Strategic / Competitive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1FAF" w14:textId="77777777" w:rsidR="001F2FAE" w:rsidRPr="00CB0790" w:rsidRDefault="00000000">
            <w:pPr>
              <w:jc w:val="center"/>
              <w:rPr>
                <w:rFonts w:asciiTheme="minorHAnsi" w:hAnsiTheme="minorHAnsi"/>
              </w:rPr>
            </w:pPr>
            <w:r w:rsidRPr="00CB0790">
              <w:rPr>
                <w:rFonts w:asciiTheme="minorHAnsi" w:hAnsiTheme="minorHAnsi"/>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28C9" w14:textId="57764793" w:rsidR="001F2FAE" w:rsidRPr="00CB0790" w:rsidRDefault="00384C7B">
            <w:pPr>
              <w:jc w:val="center"/>
              <w:rPr>
                <w:rFonts w:asciiTheme="minorHAnsi" w:hAnsiTheme="minorHAnsi"/>
              </w:rPr>
            </w:pPr>
            <w:r>
              <w:rPr>
                <w:rFonts w:asciiTheme="minorHAnsi" w:hAnsiTheme="minorHAnsi"/>
                <w:sz w:val="20"/>
                <w:szCs w:val="20"/>
              </w:rPr>
              <w:t>9</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260F1" w14:textId="27BBE6A9" w:rsidR="001F2FAE" w:rsidRPr="00CB0790" w:rsidRDefault="00384C7B">
            <w:pPr>
              <w:jc w:val="center"/>
              <w:rPr>
                <w:rFonts w:asciiTheme="minorHAnsi" w:hAnsiTheme="minorHAnsi"/>
              </w:rPr>
            </w:pPr>
            <w:r>
              <w:rPr>
                <w:rFonts w:asciiTheme="minorHAnsi" w:hAnsiTheme="minorHAnsi"/>
                <w:b/>
                <w:bCs/>
                <w:sz w:val="20"/>
                <w:szCs w:val="20"/>
              </w:rPr>
              <w:t>63</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247DC0B0" w14:textId="09795F93" w:rsidR="001F2FAE" w:rsidRPr="00CB0790" w:rsidRDefault="00384C7B">
            <w:pPr>
              <w:jc w:val="center"/>
              <w:rPr>
                <w:rFonts w:asciiTheme="minorHAnsi" w:hAnsiTheme="minorHAnsi"/>
              </w:rPr>
            </w:pPr>
            <w:r>
              <w:rPr>
                <w:rFonts w:asciiTheme="minorHAnsi" w:hAnsiTheme="minorHAnsi"/>
                <w:b/>
                <w:bCs/>
                <w:sz w:val="20"/>
                <w:szCs w:val="20"/>
              </w:rPr>
              <w:t>HIGH</w:t>
            </w:r>
          </w:p>
        </w:tc>
      </w:tr>
      <w:tr w:rsidR="001F2FAE" w:rsidRPr="00CB0790" w14:paraId="5698DC74" w14:textId="77777777" w:rsidTr="00A70313">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2986" w14:textId="77777777" w:rsidR="001F2FAE" w:rsidRPr="00CB0790" w:rsidRDefault="00000000">
            <w:pPr>
              <w:jc w:val="center"/>
              <w:rPr>
                <w:rFonts w:asciiTheme="minorHAnsi" w:hAnsiTheme="minorHAnsi"/>
              </w:rPr>
            </w:pPr>
            <w:r w:rsidRPr="00CB0790">
              <w:rPr>
                <w:rFonts w:asciiTheme="minorHAnsi" w:hAnsiTheme="minorHAnsi"/>
                <w:b/>
                <w:bCs/>
                <w:sz w:val="20"/>
                <w:szCs w:val="20"/>
              </w:rPr>
              <w:t>3</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A31E" w14:textId="77777777" w:rsidR="001F2FAE" w:rsidRPr="00CB0790" w:rsidRDefault="00000000">
            <w:pPr>
              <w:rPr>
                <w:rFonts w:asciiTheme="minorHAnsi" w:hAnsiTheme="minorHAnsi"/>
              </w:rPr>
            </w:pPr>
            <w:r w:rsidRPr="00CB0790">
              <w:rPr>
                <w:rFonts w:asciiTheme="minorHAnsi" w:hAnsiTheme="minorHAnsi"/>
                <w:sz w:val="20"/>
                <w:szCs w:val="20"/>
              </w:rPr>
              <w:t>Regulatory-driven market demand acceleration</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7A89" w14:textId="77777777" w:rsidR="001F2FAE" w:rsidRPr="00CB0790" w:rsidRDefault="00000000">
            <w:pPr>
              <w:jc w:val="center"/>
              <w:rPr>
                <w:rFonts w:asciiTheme="minorHAnsi" w:hAnsiTheme="minorHAnsi"/>
              </w:rPr>
            </w:pPr>
            <w:r w:rsidRPr="00CB0790">
              <w:rPr>
                <w:rFonts w:asciiTheme="minorHAnsi" w:hAnsiTheme="minorHAnsi"/>
                <w:sz w:val="20"/>
                <w:szCs w:val="20"/>
              </w:rPr>
              <w:t>Strategic Opportunity</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89BEF" w14:textId="77777777" w:rsidR="001F2FAE" w:rsidRPr="00CB0790" w:rsidRDefault="00000000">
            <w:pPr>
              <w:jc w:val="center"/>
              <w:rPr>
                <w:rFonts w:asciiTheme="minorHAnsi" w:hAnsiTheme="minorHAnsi"/>
              </w:rPr>
            </w:pPr>
            <w:r w:rsidRPr="00CB0790">
              <w:rPr>
                <w:rFonts w:asciiTheme="minorHAnsi" w:hAnsiTheme="minorHAnsi"/>
                <w:sz w:val="20"/>
                <w:szCs w:val="20"/>
              </w:rPr>
              <w:t>9</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E235" w14:textId="77777777" w:rsidR="001F2FAE" w:rsidRPr="00CB0790" w:rsidRDefault="00000000">
            <w:pPr>
              <w:jc w:val="center"/>
              <w:rPr>
                <w:rFonts w:asciiTheme="minorHAnsi" w:hAnsiTheme="minorHAnsi"/>
              </w:rPr>
            </w:pPr>
            <w:r w:rsidRPr="00CB0790">
              <w:rPr>
                <w:rFonts w:asciiTheme="minorHAnsi" w:hAnsiTheme="minorHAnsi"/>
                <w:sz w:val="20"/>
                <w:szCs w:val="20"/>
              </w:rPr>
              <w:t>8</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08EA" w14:textId="77777777" w:rsidR="001F2FAE" w:rsidRPr="00CB0790" w:rsidRDefault="00000000">
            <w:pPr>
              <w:jc w:val="center"/>
              <w:rPr>
                <w:rFonts w:asciiTheme="minorHAnsi" w:hAnsiTheme="minorHAnsi"/>
              </w:rPr>
            </w:pPr>
            <w:r w:rsidRPr="00CB0790">
              <w:rPr>
                <w:rFonts w:asciiTheme="minorHAnsi" w:hAnsiTheme="minorHAnsi"/>
                <w:b/>
                <w:bCs/>
                <w:sz w:val="20"/>
                <w:szCs w:val="20"/>
              </w:rPr>
              <w:t>72</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36BB9D93" w14:textId="77777777" w:rsidR="001F2FAE" w:rsidRPr="00CB0790" w:rsidRDefault="00000000">
            <w:pPr>
              <w:jc w:val="center"/>
              <w:rPr>
                <w:rFonts w:asciiTheme="minorHAnsi" w:hAnsiTheme="minorHAnsi"/>
              </w:rPr>
            </w:pPr>
            <w:r w:rsidRPr="00CB0790">
              <w:rPr>
                <w:rFonts w:asciiTheme="minorHAnsi" w:hAnsiTheme="minorHAnsi"/>
                <w:b/>
                <w:bCs/>
                <w:sz w:val="20"/>
                <w:szCs w:val="20"/>
              </w:rPr>
              <w:t>HIGH</w:t>
            </w:r>
          </w:p>
        </w:tc>
      </w:tr>
    </w:tbl>
    <w:p w14:paraId="414E35FE" w14:textId="77777777" w:rsidR="001F2FAE" w:rsidRPr="00CB0790" w:rsidRDefault="00000000">
      <w:pPr>
        <w:pStyle w:val="Heading2"/>
        <w:rPr>
          <w:rFonts w:asciiTheme="minorHAnsi" w:hAnsiTheme="minorHAnsi"/>
        </w:rPr>
      </w:pPr>
      <w:r w:rsidRPr="00CB0790">
        <w:rPr>
          <w:rFonts w:asciiTheme="minorHAnsi" w:hAnsiTheme="minorHAnsi"/>
        </w:rPr>
        <w:t>Risk 1: Competitive Displacement by Rival Platforms (Negative)</w:t>
      </w:r>
    </w:p>
    <w:p w14:paraId="707A21AB"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SWOT Source: </w:t>
      </w:r>
      <w:r w:rsidRPr="00CB0790">
        <w:rPr>
          <w:rFonts w:asciiTheme="minorHAnsi" w:hAnsiTheme="minorHAnsi"/>
          <w:color w:val="000000"/>
        </w:rPr>
        <w:t>Threats #1 from Module 1 SWOT Analysis</w:t>
      </w:r>
    </w:p>
    <w:p w14:paraId="186A9981" w14:textId="77777777" w:rsidR="001F2FAE" w:rsidRPr="00CB0790" w:rsidRDefault="00000000">
      <w:pPr>
        <w:spacing w:after="160"/>
        <w:rPr>
          <w:rFonts w:asciiTheme="minorHAnsi" w:hAnsiTheme="minorHAnsi"/>
        </w:rPr>
      </w:pPr>
      <w:r w:rsidRPr="00CB0790">
        <w:rPr>
          <w:rFonts w:asciiTheme="minorHAnsi" w:hAnsiTheme="minorHAnsi"/>
          <w:color w:val="000000"/>
        </w:rPr>
        <w:t>This risk captures the strategic threat of losing market position to competitors who completed or advanced major acquisitions in 2025. The three largest cybersecurity acquisitions of the year (Google/Wiz, Palo Alto/</w:t>
      </w:r>
      <w:proofErr w:type="spellStart"/>
      <w:r w:rsidRPr="00CB0790">
        <w:rPr>
          <w:rFonts w:asciiTheme="minorHAnsi" w:hAnsiTheme="minorHAnsi"/>
          <w:color w:val="000000"/>
        </w:rPr>
        <w:t>CyberArk</w:t>
      </w:r>
      <w:proofErr w:type="spellEnd"/>
      <w:r w:rsidRPr="00CB0790">
        <w:rPr>
          <w:rFonts w:asciiTheme="minorHAnsi" w:hAnsiTheme="minorHAnsi"/>
          <w:color w:val="000000"/>
        </w:rPr>
        <w:t>, Cisco/Splunk) each created integrated platforms with direct OT/IoT capabilities that overlap with ServiceNow-Armis's combined offering.</w:t>
      </w:r>
    </w:p>
    <w:p w14:paraId="4C8FB16B" w14:textId="77777777" w:rsidR="001F2FAE" w:rsidRPr="00CB0790" w:rsidRDefault="00000000">
      <w:pPr>
        <w:spacing w:after="160"/>
        <w:rPr>
          <w:rFonts w:asciiTheme="minorHAnsi" w:hAnsiTheme="minorHAnsi"/>
        </w:rPr>
      </w:pPr>
      <w:r w:rsidRPr="00CB0790">
        <w:rPr>
          <w:rFonts w:asciiTheme="minorHAnsi" w:hAnsiTheme="minorHAnsi"/>
          <w:color w:val="000000"/>
        </w:rPr>
        <w:t>The likelihood is rated at 7 (Somewhat Likely) because all three rival integrations are actively underway, customers are making vendor consolidation decisions in current budget cycles, and Palo Alto Networks already holds Forrester's top rating for OT security. The impact is rated at 8 (High) because competitive displacement would directly undermine the strategic rationale for a $7.75 billion investment, with a projected 10-15% decline in OT/IoT deal win rates translating to hundreds of millions in lost revenue potential.</w:t>
      </w:r>
    </w:p>
    <w:p w14:paraId="3F96419E"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KRI: Competitive Win Rate in OT/IoT Deals. </w:t>
      </w:r>
      <w:r w:rsidRPr="00CB0790">
        <w:rPr>
          <w:rFonts w:asciiTheme="minorHAnsi" w:hAnsiTheme="minorHAnsi"/>
          <w:color w:val="000000"/>
        </w:rPr>
        <w:t>This leading indicator tracks the percentage of qualified opportunities where ServiceNow-Armis wins against integrated rival platforms, measured monthly through CRM pipeline data and win/loss interviews. A declining win rate signals that competitors are gaining ground before the full integration is complete.</w:t>
      </w:r>
    </w:p>
    <w:p w14:paraId="7F408A84" w14:textId="77777777" w:rsidR="00384C7B" w:rsidRPr="00C459CC" w:rsidRDefault="00000000" w:rsidP="00384C7B">
      <w:pPr>
        <w:pStyle w:val="Heading2"/>
        <w:rPr>
          <w:rFonts w:asciiTheme="minorHAnsi" w:hAnsiTheme="minorHAnsi"/>
        </w:rPr>
      </w:pPr>
      <w:r w:rsidRPr="00CB0790">
        <w:rPr>
          <w:rFonts w:asciiTheme="minorHAnsi" w:hAnsiTheme="minorHAnsi"/>
        </w:rPr>
        <w:t xml:space="preserve">Risk 2: </w:t>
      </w:r>
      <w:r w:rsidR="00384C7B" w:rsidRPr="00F255FA">
        <w:rPr>
          <w:rFonts w:asciiTheme="minorHAnsi" w:hAnsiTheme="minorHAnsi"/>
        </w:rPr>
        <w:t>AI-Driven Platform Convergence and Structural Relevance Risk (Negative)</w:t>
      </w:r>
    </w:p>
    <w:p w14:paraId="3E803CA4" w14:textId="6A0EDCF7" w:rsidR="001F2FAE" w:rsidRPr="00CB0790" w:rsidRDefault="00000000" w:rsidP="00384C7B">
      <w:pPr>
        <w:pStyle w:val="Heading2"/>
        <w:rPr>
          <w:rFonts w:asciiTheme="minorHAnsi" w:hAnsiTheme="minorHAnsi"/>
        </w:rPr>
      </w:pPr>
      <w:r w:rsidRPr="00CB0790">
        <w:rPr>
          <w:rFonts w:asciiTheme="minorHAnsi" w:hAnsiTheme="minorHAnsi"/>
          <w:color w:val="000000"/>
        </w:rPr>
        <w:t xml:space="preserve">SWOT Source: </w:t>
      </w:r>
      <w:r w:rsidRPr="00384C7B">
        <w:rPr>
          <w:rFonts w:asciiTheme="minorHAnsi" w:hAnsiTheme="minorHAnsi"/>
          <w:b w:val="0"/>
          <w:bCs w:val="0"/>
          <w:color w:val="000000"/>
          <w:sz w:val="22"/>
          <w:szCs w:val="22"/>
        </w:rPr>
        <w:t>Threats #1 from Module 1 SWOT Analysis</w:t>
      </w:r>
    </w:p>
    <w:p w14:paraId="0363C273" w14:textId="77777777" w:rsidR="00384C7B" w:rsidRPr="00F255FA" w:rsidRDefault="00384C7B" w:rsidP="00384C7B">
      <w:pPr>
        <w:spacing w:after="160"/>
        <w:rPr>
          <w:rFonts w:asciiTheme="minorHAnsi" w:hAnsiTheme="minorHAnsi"/>
          <w:lang w:val="en-IN"/>
        </w:rPr>
      </w:pPr>
      <w:r w:rsidRPr="00F14524">
        <w:rPr>
          <w:rFonts w:asciiTheme="minorHAnsi" w:hAnsiTheme="minorHAnsi"/>
        </w:rPr>
        <w:t>This risk reflects the structural competitive threat created by hyperscale and security-native competitors embedding advanced AI-driven detection, automation, and analytics capabilities into unified security ecosystems.</w:t>
      </w:r>
      <w:r w:rsidRPr="00F255FA">
        <w:rPr>
          <w:rFonts w:asciiTheme="minorHAnsi" w:hAnsiTheme="minorHAnsi"/>
          <w:lang w:val="en-IN"/>
        </w:rPr>
        <w:t xml:space="preserve"> As enterprise buyers increasingly prioritize AI-native platforms, innovation velocity becomes a primary competitive differentiator.</w:t>
      </w:r>
    </w:p>
    <w:p w14:paraId="25276595" w14:textId="77777777" w:rsidR="00384C7B" w:rsidRPr="00F255FA" w:rsidRDefault="00384C7B" w:rsidP="00384C7B">
      <w:pPr>
        <w:spacing w:after="160"/>
        <w:rPr>
          <w:rFonts w:asciiTheme="minorHAnsi" w:hAnsiTheme="minorHAnsi"/>
          <w:lang w:val="en-IN"/>
        </w:rPr>
      </w:pPr>
      <w:r w:rsidRPr="00F255FA">
        <w:rPr>
          <w:rFonts w:asciiTheme="minorHAnsi" w:hAnsiTheme="minorHAnsi"/>
          <w:lang w:val="en-IN"/>
        </w:rPr>
        <w:t>The likelihood is rated at 7 (Somewhat Likely) because leading competitors such as Google, Palo Alto Networks, and Microsoft are accelerating AI integration across their security stacks, and analyst evaluations increasingly emphasize AI capability depth. The impact is rated at 9 (Extremely High) because structural AI disadvantage would affect not only OT/IoT segments but broader enterprise security positioning, potentially shifting long-term competitive perception and market valuation.</w:t>
      </w:r>
    </w:p>
    <w:p w14:paraId="7370DA9F" w14:textId="77777777" w:rsidR="00384C7B" w:rsidRPr="00F255FA" w:rsidRDefault="00384C7B" w:rsidP="00384C7B">
      <w:pPr>
        <w:spacing w:after="160"/>
        <w:rPr>
          <w:rFonts w:asciiTheme="minorHAnsi" w:hAnsiTheme="minorHAnsi"/>
          <w:lang w:val="en-IN"/>
        </w:rPr>
      </w:pPr>
      <w:r w:rsidRPr="00F255FA">
        <w:rPr>
          <w:rFonts w:asciiTheme="minorHAnsi" w:hAnsiTheme="minorHAnsi"/>
          <w:b/>
          <w:bCs/>
          <w:lang w:val="en-IN"/>
        </w:rPr>
        <w:lastRenderedPageBreak/>
        <w:t>KRI: AI Capability Gap Index (Competitive Feature Parity Score).</w:t>
      </w:r>
      <w:r w:rsidRPr="00F255FA">
        <w:rPr>
          <w:rFonts w:asciiTheme="minorHAnsi" w:hAnsiTheme="minorHAnsi"/>
          <w:lang w:val="en-IN"/>
        </w:rPr>
        <w:t xml:space="preserve"> This leading indicator tracks relative AI feature parity against top competitors using product release benchmarking and analyst evaluations. Sustained parity below defined thresholds signals emerging structural disadvantage.</w:t>
      </w:r>
    </w:p>
    <w:p w14:paraId="609FF25E" w14:textId="77777777" w:rsidR="001F2FAE" w:rsidRPr="00CB0790" w:rsidRDefault="00000000" w:rsidP="00A70313">
      <w:pPr>
        <w:pStyle w:val="Heading2"/>
        <w:spacing w:after="0"/>
        <w:rPr>
          <w:rFonts w:asciiTheme="minorHAnsi" w:hAnsiTheme="minorHAnsi"/>
        </w:rPr>
      </w:pPr>
      <w:r w:rsidRPr="00CB0790">
        <w:rPr>
          <w:rFonts w:asciiTheme="minorHAnsi" w:hAnsiTheme="minorHAnsi"/>
        </w:rPr>
        <w:t>Risk 3: Regulatory-Driven Demand Acceleration (Positive)</w:t>
      </w:r>
    </w:p>
    <w:p w14:paraId="7321E034"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SWOT Source: </w:t>
      </w:r>
      <w:r w:rsidRPr="00CB0790">
        <w:rPr>
          <w:rFonts w:asciiTheme="minorHAnsi" w:hAnsiTheme="minorHAnsi"/>
          <w:color w:val="000000"/>
        </w:rPr>
        <w:t>Opportunities #2 from Module 1 SWOT Analysis</w:t>
      </w:r>
    </w:p>
    <w:p w14:paraId="0C468338" w14:textId="77777777" w:rsidR="00A70313" w:rsidRPr="00A70313" w:rsidRDefault="00A70313" w:rsidP="00A70313">
      <w:pPr>
        <w:pStyle w:val="Heading1"/>
        <w:spacing w:before="0" w:after="0"/>
        <w:rPr>
          <w:rFonts w:asciiTheme="minorHAnsi" w:hAnsiTheme="minorHAnsi"/>
          <w:b w:val="0"/>
          <w:bCs w:val="0"/>
          <w:color w:val="000000"/>
          <w:sz w:val="22"/>
          <w:szCs w:val="22"/>
        </w:rPr>
      </w:pPr>
      <w:r w:rsidRPr="00A70313">
        <w:rPr>
          <w:rFonts w:asciiTheme="minorHAnsi" w:hAnsiTheme="minorHAnsi"/>
          <w:b w:val="0"/>
          <w:bCs w:val="0"/>
          <w:color w:val="000000"/>
          <w:sz w:val="22"/>
          <w:szCs w:val="22"/>
        </w:rPr>
        <w:t>This positive risk reflects multiple regulatory mandates taking effect in 2025-2026. CMMC phases in defense industrial base requirements, EU NIS2 introduces board-level liability for cybersecurity, CIRCIA mandates 72-hour incident reporting, and updated HIPAA rules elevate network segmentation. Each drives mandatory demand for asset visibility and risk management, precisely what ServiceNow-Armis delivers.</w:t>
      </w:r>
    </w:p>
    <w:p w14:paraId="2A30D022" w14:textId="7F164399" w:rsidR="00A70313" w:rsidRPr="00A70313" w:rsidRDefault="003E0D42" w:rsidP="00A70313">
      <w:pPr>
        <w:pStyle w:val="Heading1"/>
        <w:spacing w:after="0"/>
        <w:rPr>
          <w:rFonts w:asciiTheme="minorHAnsi" w:hAnsiTheme="minorHAnsi"/>
          <w:b w:val="0"/>
          <w:bCs w:val="0"/>
          <w:color w:val="000000"/>
          <w:sz w:val="22"/>
          <w:szCs w:val="22"/>
        </w:rPr>
      </w:pPr>
      <w:r w:rsidRPr="003E0D42">
        <w:rPr>
          <w:rFonts w:asciiTheme="minorHAnsi" w:hAnsiTheme="minorHAnsi"/>
          <w:b w:val="0"/>
          <w:bCs w:val="0"/>
          <w:color w:val="000000"/>
          <w:sz w:val="22"/>
          <w:szCs w:val="22"/>
        </w:rPr>
        <w:t>The likelihood is rated at 9 (Very Likely) because these are active mandates with enforcement already underway, not speculative proposals. The impact is rated at 8 (High) because compliance urgency compels investment regardless of budget pressures</w:t>
      </w:r>
      <w:r w:rsidR="00A70313" w:rsidRPr="00A70313">
        <w:rPr>
          <w:rFonts w:asciiTheme="minorHAnsi" w:hAnsiTheme="minorHAnsi"/>
          <w:b w:val="0"/>
          <w:bCs w:val="0"/>
          <w:color w:val="000000"/>
          <w:sz w:val="22"/>
          <w:szCs w:val="22"/>
        </w:rPr>
        <w:t>, creating an estimated $500M+ incremental pipeline over 24 months. ServiceNow-Armis's FedRAMP Moderate, DISA IL5, and KLAS Healthcare IoT authorizations provide pre-qualified access to the highest-value segments, with Armis's federal business growing 120%+ year-over-year.</w:t>
      </w:r>
      <w:r w:rsidR="00A70313">
        <w:rPr>
          <w:rFonts w:asciiTheme="minorHAnsi" w:hAnsiTheme="minorHAnsi"/>
          <w:b w:val="0"/>
          <w:bCs w:val="0"/>
          <w:color w:val="000000"/>
          <w:sz w:val="22"/>
          <w:szCs w:val="22"/>
        </w:rPr>
        <w:br/>
      </w:r>
    </w:p>
    <w:p w14:paraId="483B2EA3" w14:textId="04EE1C9E" w:rsidR="001F2FAE" w:rsidRPr="00CB0790" w:rsidRDefault="00A70313" w:rsidP="00A70313">
      <w:pPr>
        <w:pStyle w:val="Heading1"/>
        <w:spacing w:before="0" w:after="0"/>
        <w:rPr>
          <w:rFonts w:asciiTheme="minorHAnsi" w:hAnsiTheme="minorHAnsi"/>
        </w:rPr>
      </w:pPr>
      <w:r w:rsidRPr="00A70313">
        <w:rPr>
          <w:rFonts w:asciiTheme="minorHAnsi" w:hAnsiTheme="minorHAnsi"/>
          <w:color w:val="000000"/>
          <w:sz w:val="22"/>
          <w:szCs w:val="22"/>
        </w:rPr>
        <w:t>KRI: Regulatory-Driven Pipeline Growth Rate</w:t>
      </w:r>
      <w:r w:rsidRPr="00A70313">
        <w:rPr>
          <w:rFonts w:asciiTheme="minorHAnsi" w:hAnsiTheme="minorHAnsi"/>
          <w:b w:val="0"/>
          <w:bCs w:val="0"/>
          <w:color w:val="000000"/>
          <w:sz w:val="22"/>
          <w:szCs w:val="22"/>
        </w:rPr>
        <w:t>. This leading indicator tracks quarter-over-quarter growth in new pipeline attributed to regulatory compliance triggers, sourced from CRM opportunity tagging. Growth above 25% QoQ confirms regulatory demand is converting to commercial opportunity; a slowdown signals competitors may be capturing compliance-driven deals.</w:t>
      </w:r>
      <w:r>
        <w:rPr>
          <w:rFonts w:asciiTheme="minorHAnsi" w:hAnsiTheme="minorHAnsi"/>
          <w:b w:val="0"/>
          <w:bCs w:val="0"/>
          <w:color w:val="000000"/>
          <w:sz w:val="22"/>
          <w:szCs w:val="22"/>
        </w:rPr>
        <w:br/>
      </w:r>
      <w:r>
        <w:rPr>
          <w:rFonts w:asciiTheme="minorHAnsi" w:hAnsiTheme="minorHAnsi"/>
          <w:b w:val="0"/>
          <w:bCs w:val="0"/>
          <w:color w:val="000000"/>
          <w:sz w:val="22"/>
          <w:szCs w:val="22"/>
        </w:rPr>
        <w:br/>
      </w:r>
      <w:r w:rsidRPr="00CB0790">
        <w:rPr>
          <w:rFonts w:asciiTheme="minorHAnsi" w:hAnsiTheme="minorHAnsi"/>
        </w:rPr>
        <w:t>4. Scoring Rationale</w:t>
      </w:r>
    </w:p>
    <w:p w14:paraId="36B245A2" w14:textId="77777777" w:rsidR="00384C7B" w:rsidRPr="00C459CC" w:rsidRDefault="00384C7B" w:rsidP="00384C7B">
      <w:pPr>
        <w:spacing w:after="160"/>
        <w:rPr>
          <w:rFonts w:asciiTheme="minorHAnsi" w:hAnsiTheme="minorHAnsi"/>
        </w:rPr>
      </w:pPr>
      <w:r w:rsidRPr="00C459CC">
        <w:rPr>
          <w:rFonts w:asciiTheme="minorHAnsi" w:hAnsiTheme="minorHAnsi"/>
          <w:color w:val="000000"/>
        </w:rPr>
        <w:t>All likelihood and impact scores use the 1-9 scale provided in the course Risk Calculation Sheet template. The Risk Calculation Sheet tab in the accompanying Excel workbook contains ServiceNow-Armis-specific impact descriptions across all six dimensions (Financial, Operational, Competitive, Reputational, Technical, Legal/Compliance) calibrated to the scale of this acquisition.</w:t>
      </w:r>
    </w:p>
    <w:p w14:paraId="702630CA" w14:textId="77777777" w:rsidR="00384C7B" w:rsidRPr="00C459CC" w:rsidRDefault="00384C7B" w:rsidP="00384C7B">
      <w:pPr>
        <w:spacing w:after="160"/>
        <w:rPr>
          <w:rFonts w:asciiTheme="minorHAnsi" w:hAnsiTheme="minorHAnsi"/>
        </w:rPr>
      </w:pPr>
      <w:r w:rsidRPr="00C459CC">
        <w:rPr>
          <w:rFonts w:asciiTheme="minorHAnsi" w:hAnsiTheme="minorHAnsi"/>
          <w:color w:val="000000"/>
        </w:rPr>
        <w:t>Risk scores are calculated as Likelihood multiplied by Impact. Priority thresholds follow the course framework: High (score 45 or above), Medium (score 20-44), and Low (score below 20). Two of the three risks score as High priority, reflecting the intensity of competitive dynamics in the enterprise cybersecurity market during this consolidation wave.</w:t>
      </w:r>
    </w:p>
    <w:p w14:paraId="042AA687" w14:textId="77777777" w:rsidR="00384C7B" w:rsidRPr="00C459CC" w:rsidRDefault="00384C7B" w:rsidP="00384C7B">
      <w:pPr>
        <w:spacing w:after="160"/>
        <w:rPr>
          <w:rFonts w:asciiTheme="minorHAnsi" w:hAnsiTheme="minorHAnsi"/>
        </w:rPr>
      </w:pPr>
      <w:r w:rsidRPr="00C459CC">
        <w:rPr>
          <w:rFonts w:asciiTheme="minorHAnsi" w:hAnsiTheme="minorHAnsi"/>
          <w:color w:val="000000"/>
        </w:rPr>
        <w:t xml:space="preserve">The heatmap in the Excel workbook plots all three risks on the Likelihood-Impact matrix, visually confirming that Risk 3 (regulatory tailwinds, score 72) represents the highest-scoring risk, </w:t>
      </w:r>
      <w:r w:rsidRPr="00A33815">
        <w:rPr>
          <w:rFonts w:asciiTheme="minorHAnsi" w:hAnsiTheme="minorHAnsi"/>
          <w:color w:val="000000"/>
        </w:rPr>
        <w:t>followed by Risk 2 (AI-driven platform convergence, score 63) and Risk 1 (rival platforms, score 56).</w:t>
      </w:r>
    </w:p>
    <w:p w14:paraId="7BD0D8D1" w14:textId="77777777" w:rsidR="001F2FAE" w:rsidRPr="00CB0790" w:rsidRDefault="00000000" w:rsidP="00A70313">
      <w:pPr>
        <w:pStyle w:val="Heading1"/>
        <w:spacing w:after="0"/>
        <w:rPr>
          <w:rFonts w:asciiTheme="minorHAnsi" w:hAnsiTheme="minorHAnsi"/>
        </w:rPr>
      </w:pPr>
      <w:r w:rsidRPr="00CB0790">
        <w:rPr>
          <w:rFonts w:asciiTheme="minorHAnsi" w:hAnsiTheme="minorHAnsi"/>
        </w:rPr>
        <w:t>5. Workbook Guide</w:t>
      </w:r>
    </w:p>
    <w:p w14:paraId="161AB5C0" w14:textId="77777777" w:rsidR="001F2FAE" w:rsidRPr="00CB0790" w:rsidRDefault="00000000">
      <w:pPr>
        <w:spacing w:after="160"/>
        <w:rPr>
          <w:rFonts w:asciiTheme="minorHAnsi" w:hAnsiTheme="minorHAnsi"/>
        </w:rPr>
      </w:pPr>
      <w:r w:rsidRPr="00CB0790">
        <w:rPr>
          <w:rFonts w:asciiTheme="minorHAnsi" w:hAnsiTheme="minorHAnsi"/>
          <w:color w:val="000000"/>
        </w:rPr>
        <w:t>The accompanying Excel workbook contains five sheets, each serving a distinct purpose in the risk identification process: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8505"/>
      </w:tblGrid>
      <w:tr w:rsidR="001F2FAE" w:rsidRPr="00CB0790" w14:paraId="450128FC" w14:textId="77777777" w:rsidTr="00A70313">
        <w:tc>
          <w:tcPr>
            <w:tcW w:w="2267"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BB48EA" w14:textId="77777777" w:rsidR="001F2FAE" w:rsidRPr="00CB0790" w:rsidRDefault="00000000">
            <w:pPr>
              <w:rPr>
                <w:rFonts w:asciiTheme="minorHAnsi" w:hAnsiTheme="minorHAnsi"/>
              </w:rPr>
            </w:pPr>
            <w:r w:rsidRPr="00CB0790">
              <w:rPr>
                <w:rFonts w:asciiTheme="minorHAnsi" w:hAnsiTheme="minorHAnsi"/>
                <w:b/>
                <w:bCs/>
                <w:color w:val="FFFFFF"/>
                <w:sz w:val="20"/>
                <w:szCs w:val="20"/>
              </w:rPr>
              <w:t>Sheet</w:t>
            </w:r>
          </w:p>
        </w:tc>
        <w:tc>
          <w:tcPr>
            <w:tcW w:w="850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E8FB65" w14:textId="77777777" w:rsidR="001F2FAE" w:rsidRPr="00CB0790" w:rsidRDefault="00000000">
            <w:pPr>
              <w:rPr>
                <w:rFonts w:asciiTheme="minorHAnsi" w:hAnsiTheme="minorHAnsi"/>
              </w:rPr>
            </w:pPr>
            <w:r w:rsidRPr="00CB0790">
              <w:rPr>
                <w:rFonts w:asciiTheme="minorHAnsi" w:hAnsiTheme="minorHAnsi"/>
                <w:b/>
                <w:bCs/>
                <w:color w:val="FFFFFF"/>
                <w:sz w:val="20"/>
                <w:szCs w:val="20"/>
              </w:rPr>
              <w:t>Contents</w:t>
            </w:r>
          </w:p>
        </w:tc>
      </w:tr>
      <w:tr w:rsidR="001F2FAE" w:rsidRPr="00CB0790" w14:paraId="6A2AAE5C" w14:textId="77777777" w:rsidTr="00A7031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1679" w14:textId="77777777" w:rsidR="001F2FAE" w:rsidRPr="00CB0790" w:rsidRDefault="00000000">
            <w:pPr>
              <w:rPr>
                <w:rFonts w:asciiTheme="minorHAnsi" w:hAnsiTheme="minorHAnsi"/>
              </w:rPr>
            </w:pPr>
            <w:r w:rsidRPr="00CB0790">
              <w:rPr>
                <w:rFonts w:asciiTheme="minorHAnsi" w:hAnsiTheme="minorHAnsi"/>
                <w:b/>
                <w:bCs/>
                <w:sz w:val="20"/>
                <w:szCs w:val="20"/>
              </w:rPr>
              <w:t>Problem Statement</w:t>
            </w:r>
          </w:p>
        </w:tc>
        <w:tc>
          <w:tcPr>
            <w:tcW w:w="8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125F" w14:textId="77777777" w:rsidR="001F2FAE" w:rsidRPr="00CB0790" w:rsidRDefault="00000000">
            <w:pPr>
              <w:rPr>
                <w:rFonts w:asciiTheme="minorHAnsi" w:hAnsiTheme="minorHAnsi"/>
              </w:rPr>
            </w:pPr>
            <w:r w:rsidRPr="00CB0790">
              <w:rPr>
                <w:rFonts w:asciiTheme="minorHAnsi" w:hAnsiTheme="minorHAnsi"/>
                <w:sz w:val="20"/>
                <w:szCs w:val="20"/>
              </w:rPr>
              <w:t>Translates SWOT findings into clear problem statements for each risk, identifying the specific competitive pressure and why monitoring is required now.</w:t>
            </w:r>
          </w:p>
        </w:tc>
      </w:tr>
      <w:tr w:rsidR="001F2FAE" w:rsidRPr="00CB0790" w14:paraId="01354348" w14:textId="77777777" w:rsidTr="00A7031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F630" w14:textId="77777777" w:rsidR="001F2FAE" w:rsidRPr="00CB0790" w:rsidRDefault="00000000">
            <w:pPr>
              <w:rPr>
                <w:rFonts w:asciiTheme="minorHAnsi" w:hAnsiTheme="minorHAnsi"/>
              </w:rPr>
            </w:pPr>
            <w:r w:rsidRPr="00CB0790">
              <w:rPr>
                <w:rFonts w:asciiTheme="minorHAnsi" w:hAnsiTheme="minorHAnsi"/>
                <w:b/>
                <w:bCs/>
                <w:sz w:val="20"/>
                <w:szCs w:val="20"/>
              </w:rPr>
              <w:t>KRI Framework</w:t>
            </w:r>
          </w:p>
        </w:tc>
        <w:tc>
          <w:tcPr>
            <w:tcW w:w="8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3F18" w14:textId="77777777" w:rsidR="001F2FAE" w:rsidRPr="00CB0790" w:rsidRDefault="00000000">
            <w:pPr>
              <w:rPr>
                <w:rFonts w:asciiTheme="minorHAnsi" w:hAnsiTheme="minorHAnsi"/>
              </w:rPr>
            </w:pPr>
            <w:r w:rsidRPr="00CB0790">
              <w:rPr>
                <w:rFonts w:asciiTheme="minorHAnsi" w:hAnsiTheme="minorHAnsi"/>
                <w:sz w:val="20"/>
                <w:szCs w:val="20"/>
              </w:rPr>
              <w:t>Defines one leading indicator per risk with measurement methodology and Green/Amber/Red escalation thresholds.</w:t>
            </w:r>
          </w:p>
        </w:tc>
      </w:tr>
      <w:tr w:rsidR="001F2FAE" w:rsidRPr="00CB0790" w14:paraId="59A135E4" w14:textId="77777777" w:rsidTr="00A7031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D72D" w14:textId="77777777" w:rsidR="001F2FAE" w:rsidRPr="00CB0790" w:rsidRDefault="00000000">
            <w:pPr>
              <w:rPr>
                <w:rFonts w:asciiTheme="minorHAnsi" w:hAnsiTheme="minorHAnsi"/>
              </w:rPr>
            </w:pPr>
            <w:proofErr w:type="spellStart"/>
            <w:r w:rsidRPr="00CB0790">
              <w:rPr>
                <w:rFonts w:asciiTheme="minorHAnsi" w:hAnsiTheme="minorHAnsi"/>
                <w:b/>
                <w:bCs/>
                <w:sz w:val="20"/>
                <w:szCs w:val="20"/>
              </w:rPr>
              <w:t>RiskCalculationSheet</w:t>
            </w:r>
            <w:proofErr w:type="spellEnd"/>
          </w:p>
        </w:tc>
        <w:tc>
          <w:tcPr>
            <w:tcW w:w="8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D821" w14:textId="77777777" w:rsidR="001F2FAE" w:rsidRPr="00CB0790" w:rsidRDefault="00000000">
            <w:pPr>
              <w:rPr>
                <w:rFonts w:asciiTheme="minorHAnsi" w:hAnsiTheme="minorHAnsi"/>
              </w:rPr>
            </w:pPr>
            <w:r w:rsidRPr="00CB0790">
              <w:rPr>
                <w:rFonts w:asciiTheme="minorHAnsi" w:hAnsiTheme="minorHAnsi"/>
                <w:sz w:val="20"/>
                <w:szCs w:val="20"/>
              </w:rPr>
              <w:t>Probability (1-9) and impact (1-9) scoring rubrics with ServiceNow-Armis-specific descriptions across Financial, Operational, Competitive, Reputational, Technical, and Legal/Compliance dimensions.</w:t>
            </w:r>
          </w:p>
        </w:tc>
      </w:tr>
      <w:tr w:rsidR="001F2FAE" w:rsidRPr="00CB0790" w14:paraId="059AE908" w14:textId="77777777" w:rsidTr="00A7031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45BF" w14:textId="77777777" w:rsidR="001F2FAE" w:rsidRPr="00CB0790" w:rsidRDefault="00000000">
            <w:pPr>
              <w:rPr>
                <w:rFonts w:asciiTheme="minorHAnsi" w:hAnsiTheme="minorHAnsi"/>
              </w:rPr>
            </w:pPr>
            <w:proofErr w:type="spellStart"/>
            <w:r w:rsidRPr="00CB0790">
              <w:rPr>
                <w:rFonts w:asciiTheme="minorHAnsi" w:hAnsiTheme="minorHAnsi"/>
                <w:b/>
                <w:bCs/>
                <w:sz w:val="20"/>
                <w:szCs w:val="20"/>
              </w:rPr>
              <w:lastRenderedPageBreak/>
              <w:t>RiskRegister</w:t>
            </w:r>
            <w:proofErr w:type="spellEnd"/>
          </w:p>
        </w:tc>
        <w:tc>
          <w:tcPr>
            <w:tcW w:w="8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62A9" w14:textId="77777777" w:rsidR="001F2FAE" w:rsidRPr="00CB0790" w:rsidRDefault="00000000">
            <w:pPr>
              <w:rPr>
                <w:rFonts w:asciiTheme="minorHAnsi" w:hAnsiTheme="minorHAnsi"/>
              </w:rPr>
            </w:pPr>
            <w:r w:rsidRPr="00CB0790">
              <w:rPr>
                <w:rFonts w:asciiTheme="minorHAnsi" w:hAnsiTheme="minorHAnsi"/>
                <w:sz w:val="20"/>
                <w:szCs w:val="20"/>
              </w:rPr>
              <w:t>Three competitive risks in 'The risk of... caused by... resulting in...' format with likelihood, impact, calculated risk score, priority rating, mitigation strategy, risk owner, and status. Includes an embedded heatmap.</w:t>
            </w:r>
          </w:p>
        </w:tc>
      </w:tr>
      <w:tr w:rsidR="001F2FAE" w:rsidRPr="00CB0790" w14:paraId="33BF4B39" w14:textId="77777777" w:rsidTr="00A70313">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025" w14:textId="77777777" w:rsidR="001F2FAE" w:rsidRPr="00CB0790" w:rsidRDefault="00000000">
            <w:pPr>
              <w:rPr>
                <w:rFonts w:asciiTheme="minorHAnsi" w:hAnsiTheme="minorHAnsi"/>
              </w:rPr>
            </w:pPr>
            <w:r w:rsidRPr="00CB0790">
              <w:rPr>
                <w:rFonts w:asciiTheme="minorHAnsi" w:hAnsiTheme="minorHAnsi"/>
                <w:b/>
                <w:bCs/>
                <w:sz w:val="20"/>
                <w:szCs w:val="20"/>
              </w:rPr>
              <w:t>Heatmap</w:t>
            </w:r>
          </w:p>
        </w:tc>
        <w:tc>
          <w:tcPr>
            <w:tcW w:w="8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2D3AD" w14:textId="77777777" w:rsidR="001F2FAE" w:rsidRPr="00CB0790" w:rsidRDefault="00000000">
            <w:pPr>
              <w:rPr>
                <w:rFonts w:asciiTheme="minorHAnsi" w:hAnsiTheme="minorHAnsi"/>
              </w:rPr>
            </w:pPr>
            <w:r w:rsidRPr="00CB0790">
              <w:rPr>
                <w:rFonts w:asciiTheme="minorHAnsi" w:hAnsiTheme="minorHAnsi"/>
                <w:sz w:val="20"/>
                <w:szCs w:val="20"/>
              </w:rPr>
              <w:t>Standalone visual heatmap plotting all three risks on the Likelihood-Impact matrix with color-coded risk zones and response plan options.</w:t>
            </w:r>
          </w:p>
        </w:tc>
      </w:tr>
    </w:tbl>
    <w:p w14:paraId="4CB58619" w14:textId="77777777" w:rsidR="001F2FAE" w:rsidRPr="00CB0790" w:rsidRDefault="00000000">
      <w:pPr>
        <w:pStyle w:val="Heading1"/>
        <w:rPr>
          <w:rFonts w:asciiTheme="minorHAnsi" w:hAnsiTheme="minorHAnsi"/>
        </w:rPr>
      </w:pPr>
      <w:r w:rsidRPr="00CB0790">
        <w:rPr>
          <w:rFonts w:asciiTheme="minorHAnsi" w:hAnsiTheme="minorHAnsi"/>
        </w:rPr>
        <w:t>6. References</w:t>
      </w:r>
    </w:p>
    <w:p w14:paraId="6AE6565B" w14:textId="77777777" w:rsidR="001F2FAE" w:rsidRPr="00CB0790" w:rsidRDefault="00000000">
      <w:pPr>
        <w:spacing w:after="160"/>
        <w:rPr>
          <w:rFonts w:asciiTheme="minorHAnsi" w:hAnsiTheme="minorHAnsi"/>
        </w:rPr>
      </w:pPr>
      <w:r w:rsidRPr="00CB0790">
        <w:rPr>
          <w:rFonts w:asciiTheme="minorHAnsi" w:hAnsiTheme="minorHAnsi"/>
        </w:rPr>
        <w:t xml:space="preserve">ServiceNow. (2025, December 23). </w:t>
      </w:r>
      <w:hyperlink r:id="rId8" w:history="1">
        <w:r w:rsidR="001F2FAE" w:rsidRPr="00CB0790">
          <w:rPr>
            <w:rFonts w:asciiTheme="minorHAnsi" w:hAnsiTheme="minorHAnsi"/>
            <w:color w:val="0563C1"/>
            <w:u w:val="single"/>
          </w:rPr>
          <w:t>ServiceNow to acquire Armis to expand cyber exposure and security across the full attack surface.</w:t>
        </w:r>
      </w:hyperlink>
      <w:r w:rsidRPr="00CB0790">
        <w:rPr>
          <w:rFonts w:asciiTheme="minorHAnsi" w:hAnsiTheme="minorHAnsi"/>
        </w:rPr>
        <w:t xml:space="preserve"> ServiceNow Newsroom.</w:t>
      </w:r>
    </w:p>
    <w:p w14:paraId="218BC2C4" w14:textId="77777777" w:rsidR="001F2FAE" w:rsidRPr="00CB0790" w:rsidRDefault="00000000">
      <w:pPr>
        <w:spacing w:after="160"/>
        <w:rPr>
          <w:rFonts w:asciiTheme="minorHAnsi" w:hAnsiTheme="minorHAnsi"/>
        </w:rPr>
      </w:pPr>
      <w:r w:rsidRPr="00CB0790">
        <w:rPr>
          <w:rFonts w:asciiTheme="minorHAnsi" w:hAnsiTheme="minorHAnsi"/>
        </w:rPr>
        <w:t xml:space="preserve">Armis. (2025, December 23). </w:t>
      </w:r>
      <w:hyperlink r:id="rId9" w:history="1">
        <w:r w:rsidR="001F2FAE" w:rsidRPr="00CB0790">
          <w:rPr>
            <w:rFonts w:asciiTheme="minorHAnsi" w:hAnsiTheme="minorHAnsi"/>
            <w:color w:val="0563C1"/>
            <w:u w:val="single"/>
          </w:rPr>
          <w:t>Armis to join ServiceNow: Strengthening our mission to protect our customers' most critical environments and reduce cyber risk at scale.</w:t>
        </w:r>
      </w:hyperlink>
      <w:r w:rsidRPr="00CB0790">
        <w:rPr>
          <w:rFonts w:asciiTheme="minorHAnsi" w:hAnsiTheme="minorHAnsi"/>
        </w:rPr>
        <w:t xml:space="preserve"> Armis Blog.</w:t>
      </w:r>
    </w:p>
    <w:p w14:paraId="09BBADA7" w14:textId="77777777" w:rsidR="001F2FAE" w:rsidRPr="00CB0790" w:rsidRDefault="00000000">
      <w:pPr>
        <w:spacing w:after="160"/>
        <w:rPr>
          <w:rFonts w:asciiTheme="minorHAnsi" w:hAnsiTheme="minorHAnsi"/>
        </w:rPr>
      </w:pPr>
      <w:r w:rsidRPr="00CB0790">
        <w:rPr>
          <w:rFonts w:asciiTheme="minorHAnsi" w:hAnsiTheme="minorHAnsi"/>
        </w:rPr>
        <w:t xml:space="preserve">Palmer, A. (2025, December 23). </w:t>
      </w:r>
      <w:hyperlink r:id="rId10" w:history="1">
        <w:r w:rsidR="001F2FAE" w:rsidRPr="00CB0790">
          <w:rPr>
            <w:rFonts w:asciiTheme="minorHAnsi" w:hAnsiTheme="minorHAnsi"/>
            <w:color w:val="0563C1"/>
            <w:u w:val="single"/>
          </w:rPr>
          <w:t>ServiceNow acquiring cybersecurity startup Armis for nearly $8 billion.</w:t>
        </w:r>
      </w:hyperlink>
      <w:r w:rsidRPr="00CB0790">
        <w:rPr>
          <w:rFonts w:asciiTheme="minorHAnsi" w:hAnsiTheme="minorHAnsi"/>
        </w:rPr>
        <w:t xml:space="preserve"> CNBC.</w:t>
      </w:r>
    </w:p>
    <w:p w14:paraId="000187FC" w14:textId="77777777" w:rsidR="001F2FAE" w:rsidRPr="00CB0790" w:rsidRDefault="00000000">
      <w:pPr>
        <w:spacing w:after="160"/>
        <w:rPr>
          <w:rFonts w:asciiTheme="minorHAnsi" w:hAnsiTheme="minorHAnsi"/>
        </w:rPr>
      </w:pPr>
      <w:r w:rsidRPr="00CB0790">
        <w:rPr>
          <w:rFonts w:asciiTheme="minorHAnsi" w:hAnsiTheme="minorHAnsi"/>
        </w:rPr>
        <w:t xml:space="preserve">ServiceNow. (2026, January 29). </w:t>
      </w:r>
      <w:hyperlink r:id="rId11" w:history="1">
        <w:r w:rsidR="001F2FAE" w:rsidRPr="00CB0790">
          <w:rPr>
            <w:rFonts w:asciiTheme="minorHAnsi" w:hAnsiTheme="minorHAnsi"/>
            <w:color w:val="0563C1"/>
            <w:u w:val="single"/>
          </w:rPr>
          <w:t>ServiceNow reports fourth quarter and full-year 2025 financial results.</w:t>
        </w:r>
      </w:hyperlink>
      <w:r w:rsidRPr="00CB0790">
        <w:rPr>
          <w:rFonts w:asciiTheme="minorHAnsi" w:hAnsiTheme="minorHAnsi"/>
        </w:rPr>
        <w:t xml:space="preserve"> ServiceNow Investor Relations.</w:t>
      </w:r>
    </w:p>
    <w:p w14:paraId="55CA7762" w14:textId="77777777" w:rsidR="001F2FAE" w:rsidRPr="00CB0790" w:rsidRDefault="00000000">
      <w:pPr>
        <w:spacing w:after="160"/>
        <w:rPr>
          <w:rFonts w:asciiTheme="minorHAnsi" w:hAnsiTheme="minorHAnsi"/>
        </w:rPr>
      </w:pPr>
      <w:r w:rsidRPr="00CB0790">
        <w:rPr>
          <w:rFonts w:asciiTheme="minorHAnsi" w:hAnsiTheme="minorHAnsi"/>
        </w:rPr>
        <w:t xml:space="preserve">Armis. (2025, August 4). </w:t>
      </w:r>
      <w:hyperlink r:id="rId12" w:history="1">
        <w:r w:rsidR="001F2FAE" w:rsidRPr="00CB0790">
          <w:rPr>
            <w:rFonts w:asciiTheme="minorHAnsi" w:hAnsiTheme="minorHAnsi"/>
            <w:color w:val="0563C1"/>
            <w:u w:val="single"/>
          </w:rPr>
          <w:t>Armis surpasses $300M ARR as demand for exposure management security soars.</w:t>
        </w:r>
      </w:hyperlink>
      <w:r w:rsidRPr="00CB0790">
        <w:rPr>
          <w:rFonts w:asciiTheme="minorHAnsi" w:hAnsiTheme="minorHAnsi"/>
        </w:rPr>
        <w:t xml:space="preserve"> Armis Newsroom.</w:t>
      </w:r>
    </w:p>
    <w:p w14:paraId="5352C437" w14:textId="77777777" w:rsidR="001F2FAE" w:rsidRPr="00CB0790" w:rsidRDefault="00000000">
      <w:pPr>
        <w:spacing w:after="160"/>
        <w:rPr>
          <w:rFonts w:asciiTheme="minorHAnsi" w:hAnsiTheme="minorHAnsi"/>
        </w:rPr>
      </w:pPr>
      <w:proofErr w:type="spellStart"/>
      <w:r w:rsidRPr="00CB0790">
        <w:rPr>
          <w:rFonts w:asciiTheme="minorHAnsi" w:hAnsiTheme="minorHAnsi"/>
        </w:rPr>
        <w:t>MarketsandMarkets</w:t>
      </w:r>
      <w:proofErr w:type="spellEnd"/>
      <w:r w:rsidRPr="00CB0790">
        <w:rPr>
          <w:rFonts w:asciiTheme="minorHAnsi" w:hAnsiTheme="minorHAnsi"/>
        </w:rPr>
        <w:t xml:space="preserve">. (2025). </w:t>
      </w:r>
      <w:hyperlink r:id="rId13" w:history="1">
        <w:r w:rsidR="001F2FAE" w:rsidRPr="00CB0790">
          <w:rPr>
            <w:rFonts w:asciiTheme="minorHAnsi" w:hAnsiTheme="minorHAnsi"/>
            <w:color w:val="0563C1"/>
            <w:u w:val="single"/>
          </w:rPr>
          <w:t>Operational Technology (OT) Security Market Global Forecast to 2030.</w:t>
        </w:r>
      </w:hyperlink>
    </w:p>
    <w:p w14:paraId="293E62F9" w14:textId="77777777" w:rsidR="001F2FAE" w:rsidRPr="00CB0790" w:rsidRDefault="00000000">
      <w:pPr>
        <w:spacing w:after="160"/>
        <w:rPr>
          <w:rFonts w:asciiTheme="minorHAnsi" w:hAnsiTheme="minorHAnsi"/>
        </w:rPr>
      </w:pPr>
      <w:r w:rsidRPr="00CB0790">
        <w:rPr>
          <w:rFonts w:asciiTheme="minorHAnsi" w:hAnsiTheme="minorHAnsi"/>
        </w:rPr>
        <w:t xml:space="preserve">Gartner. (2025). </w:t>
      </w:r>
      <w:hyperlink r:id="rId14" w:history="1">
        <w:r w:rsidR="001F2FAE" w:rsidRPr="00CB0790">
          <w:rPr>
            <w:rFonts w:asciiTheme="minorHAnsi" w:hAnsiTheme="minorHAnsi"/>
            <w:color w:val="0563C1"/>
            <w:u w:val="single"/>
          </w:rPr>
          <w:t>Forecast: Information Security, Worldwide, 2023-2028.</w:t>
        </w:r>
      </w:hyperlink>
    </w:p>
    <w:p w14:paraId="5967C0FF" w14:textId="77777777" w:rsidR="001F2FAE" w:rsidRPr="00CB0790" w:rsidRDefault="00000000">
      <w:pPr>
        <w:spacing w:after="160"/>
        <w:rPr>
          <w:rFonts w:asciiTheme="minorHAnsi" w:hAnsiTheme="minorHAnsi"/>
        </w:rPr>
      </w:pPr>
      <w:r w:rsidRPr="00CB0790">
        <w:rPr>
          <w:rFonts w:asciiTheme="minorHAnsi" w:hAnsiTheme="minorHAnsi"/>
        </w:rPr>
        <w:t xml:space="preserve">Forrester Research. (2025). </w:t>
      </w:r>
      <w:hyperlink r:id="rId15" w:history="1">
        <w:r w:rsidR="001F2FAE" w:rsidRPr="00CB0790">
          <w:rPr>
            <w:rFonts w:asciiTheme="minorHAnsi" w:hAnsiTheme="minorHAnsi"/>
            <w:color w:val="0563C1"/>
            <w:u w:val="single"/>
          </w:rPr>
          <w:t>The State of Cybersecurity Spending 2025.</w:t>
        </w:r>
      </w:hyperlink>
    </w:p>
    <w:sectPr w:rsidR="001F2FAE" w:rsidRPr="00CB0790" w:rsidSect="00A70313">
      <w:headerReference w:type="default" r:id="rId16"/>
      <w:footerReference w:type="default" r:id="rId17"/>
      <w:pgSz w:w="12240" w:h="15840"/>
      <w:pgMar w:top="720" w:right="720" w:bottom="720" w:left="720" w:header="0" w:footer="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FE58" w14:textId="77777777" w:rsidR="000579DC" w:rsidRDefault="000579DC">
      <w:r>
        <w:separator/>
      </w:r>
    </w:p>
  </w:endnote>
  <w:endnote w:type="continuationSeparator" w:id="0">
    <w:p w14:paraId="4135EB6D" w14:textId="77777777" w:rsidR="000579DC" w:rsidRDefault="0005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44723"/>
      <w:docPartObj>
        <w:docPartGallery w:val="Page Numbers (Bottom of Page)"/>
        <w:docPartUnique/>
      </w:docPartObj>
    </w:sdtPr>
    <w:sdtEndPr>
      <w:rPr>
        <w:noProof/>
      </w:rPr>
    </w:sdtEndPr>
    <w:sdtContent>
      <w:p w14:paraId="53632DEB" w14:textId="11F89387" w:rsidR="00384C7B" w:rsidRDefault="00384C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4D70A3" w14:textId="77777777" w:rsidR="00384C7B" w:rsidRDefault="00384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0DD8" w14:textId="77777777" w:rsidR="000579DC" w:rsidRDefault="000579DC">
      <w:r>
        <w:separator/>
      </w:r>
    </w:p>
  </w:footnote>
  <w:footnote w:type="continuationSeparator" w:id="0">
    <w:p w14:paraId="3E34514E" w14:textId="77777777" w:rsidR="000579DC" w:rsidRDefault="00057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52A9" w14:textId="6B3879F1" w:rsidR="001F2FAE" w:rsidRDefault="001F2FA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3CB6"/>
    <w:multiLevelType w:val="hybridMultilevel"/>
    <w:tmpl w:val="8728927A"/>
    <w:lvl w:ilvl="0" w:tplc="EF24E8BE">
      <w:start w:val="1"/>
      <w:numFmt w:val="bullet"/>
      <w:lvlText w:val="•"/>
      <w:lvlJc w:val="left"/>
      <w:pPr>
        <w:ind w:left="720" w:hanging="360"/>
      </w:pPr>
    </w:lvl>
    <w:lvl w:ilvl="1" w:tplc="849AB258">
      <w:numFmt w:val="decimal"/>
      <w:lvlText w:val=""/>
      <w:lvlJc w:val="left"/>
    </w:lvl>
    <w:lvl w:ilvl="2" w:tplc="58C63E9C">
      <w:numFmt w:val="decimal"/>
      <w:lvlText w:val=""/>
      <w:lvlJc w:val="left"/>
    </w:lvl>
    <w:lvl w:ilvl="3" w:tplc="389C2A12">
      <w:numFmt w:val="decimal"/>
      <w:lvlText w:val=""/>
      <w:lvlJc w:val="left"/>
    </w:lvl>
    <w:lvl w:ilvl="4" w:tplc="4BD46536">
      <w:numFmt w:val="decimal"/>
      <w:lvlText w:val=""/>
      <w:lvlJc w:val="left"/>
    </w:lvl>
    <w:lvl w:ilvl="5" w:tplc="5DDE7440">
      <w:numFmt w:val="decimal"/>
      <w:lvlText w:val=""/>
      <w:lvlJc w:val="left"/>
    </w:lvl>
    <w:lvl w:ilvl="6" w:tplc="3E0EF484">
      <w:numFmt w:val="decimal"/>
      <w:lvlText w:val=""/>
      <w:lvlJc w:val="left"/>
    </w:lvl>
    <w:lvl w:ilvl="7" w:tplc="FEF48240">
      <w:numFmt w:val="decimal"/>
      <w:lvlText w:val=""/>
      <w:lvlJc w:val="left"/>
    </w:lvl>
    <w:lvl w:ilvl="8" w:tplc="56AEDE3A">
      <w:numFmt w:val="decimal"/>
      <w:lvlText w:val=""/>
      <w:lvlJc w:val="left"/>
    </w:lvl>
  </w:abstractNum>
  <w:abstractNum w:abstractNumId="1" w15:restartNumberingAfterBreak="0">
    <w:nsid w:val="4A9C0EA2"/>
    <w:multiLevelType w:val="hybridMultilevel"/>
    <w:tmpl w:val="1BA25A7E"/>
    <w:lvl w:ilvl="0" w:tplc="0952F38C">
      <w:start w:val="1"/>
      <w:numFmt w:val="bullet"/>
      <w:lvlText w:val="●"/>
      <w:lvlJc w:val="left"/>
      <w:pPr>
        <w:ind w:left="720" w:hanging="360"/>
      </w:pPr>
    </w:lvl>
    <w:lvl w:ilvl="1" w:tplc="083433B6">
      <w:start w:val="1"/>
      <w:numFmt w:val="bullet"/>
      <w:lvlText w:val="○"/>
      <w:lvlJc w:val="left"/>
      <w:pPr>
        <w:ind w:left="1440" w:hanging="360"/>
      </w:pPr>
    </w:lvl>
    <w:lvl w:ilvl="2" w:tplc="3D2C3B5C">
      <w:start w:val="1"/>
      <w:numFmt w:val="bullet"/>
      <w:lvlText w:val="■"/>
      <w:lvlJc w:val="left"/>
      <w:pPr>
        <w:ind w:left="2160" w:hanging="360"/>
      </w:pPr>
    </w:lvl>
    <w:lvl w:ilvl="3" w:tplc="832252DC">
      <w:start w:val="1"/>
      <w:numFmt w:val="bullet"/>
      <w:lvlText w:val="●"/>
      <w:lvlJc w:val="left"/>
      <w:pPr>
        <w:ind w:left="2880" w:hanging="360"/>
      </w:pPr>
    </w:lvl>
    <w:lvl w:ilvl="4" w:tplc="12F48408">
      <w:start w:val="1"/>
      <w:numFmt w:val="bullet"/>
      <w:lvlText w:val="○"/>
      <w:lvlJc w:val="left"/>
      <w:pPr>
        <w:ind w:left="3600" w:hanging="360"/>
      </w:pPr>
    </w:lvl>
    <w:lvl w:ilvl="5" w:tplc="AFB89C9C">
      <w:start w:val="1"/>
      <w:numFmt w:val="bullet"/>
      <w:lvlText w:val="■"/>
      <w:lvlJc w:val="left"/>
      <w:pPr>
        <w:ind w:left="4320" w:hanging="360"/>
      </w:pPr>
    </w:lvl>
    <w:lvl w:ilvl="6" w:tplc="8968DA94">
      <w:start w:val="1"/>
      <w:numFmt w:val="bullet"/>
      <w:lvlText w:val="●"/>
      <w:lvlJc w:val="left"/>
      <w:pPr>
        <w:ind w:left="5040" w:hanging="360"/>
      </w:pPr>
    </w:lvl>
    <w:lvl w:ilvl="7" w:tplc="D78E113C">
      <w:start w:val="1"/>
      <w:numFmt w:val="bullet"/>
      <w:lvlText w:val="●"/>
      <w:lvlJc w:val="left"/>
      <w:pPr>
        <w:ind w:left="5760" w:hanging="360"/>
      </w:pPr>
    </w:lvl>
    <w:lvl w:ilvl="8" w:tplc="6924FF14">
      <w:start w:val="1"/>
      <w:numFmt w:val="bullet"/>
      <w:lvlText w:val="●"/>
      <w:lvlJc w:val="left"/>
      <w:pPr>
        <w:ind w:left="6480" w:hanging="360"/>
      </w:pPr>
    </w:lvl>
  </w:abstractNum>
  <w:abstractNum w:abstractNumId="2" w15:restartNumberingAfterBreak="0">
    <w:nsid w:val="66954060"/>
    <w:multiLevelType w:val="hybridMultilevel"/>
    <w:tmpl w:val="9E800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123077">
    <w:abstractNumId w:val="1"/>
    <w:lvlOverride w:ilvl="0">
      <w:startOverride w:val="1"/>
    </w:lvlOverride>
  </w:num>
  <w:num w:numId="2" w16cid:durableId="1928271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AE"/>
    <w:rsid w:val="000579DC"/>
    <w:rsid w:val="001F2FAE"/>
    <w:rsid w:val="00335CBF"/>
    <w:rsid w:val="00384C7B"/>
    <w:rsid w:val="003E0D42"/>
    <w:rsid w:val="00434437"/>
    <w:rsid w:val="0050230D"/>
    <w:rsid w:val="00527B15"/>
    <w:rsid w:val="0054096E"/>
    <w:rsid w:val="006A7CFC"/>
    <w:rsid w:val="007C7726"/>
    <w:rsid w:val="007E11D8"/>
    <w:rsid w:val="00845F4C"/>
    <w:rsid w:val="008A34CB"/>
    <w:rsid w:val="008D56DC"/>
    <w:rsid w:val="008F3A4B"/>
    <w:rsid w:val="00924D75"/>
    <w:rsid w:val="009329A0"/>
    <w:rsid w:val="00A1659C"/>
    <w:rsid w:val="00A70313"/>
    <w:rsid w:val="00AB0484"/>
    <w:rsid w:val="00AD3DCF"/>
    <w:rsid w:val="00C459CC"/>
    <w:rsid w:val="00C57CE0"/>
    <w:rsid w:val="00C81FF4"/>
    <w:rsid w:val="00CB0790"/>
    <w:rsid w:val="00CC4F02"/>
    <w:rsid w:val="00F53FB4"/>
    <w:rsid w:val="00FD4C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E743"/>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0"/>
      <w:szCs w:val="30"/>
    </w:rPr>
  </w:style>
  <w:style w:type="paragraph" w:styleId="Heading2">
    <w:name w:val="heading 2"/>
    <w:uiPriority w:val="9"/>
    <w:unhideWhenUsed/>
    <w:qFormat/>
    <w:pPr>
      <w:spacing w:before="240" w:after="16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59CC"/>
    <w:pPr>
      <w:tabs>
        <w:tab w:val="center" w:pos="4680"/>
        <w:tab w:val="right" w:pos="9360"/>
      </w:tabs>
    </w:pPr>
  </w:style>
  <w:style w:type="character" w:customStyle="1" w:styleId="HeaderChar">
    <w:name w:val="Header Char"/>
    <w:basedOn w:val="DefaultParagraphFont"/>
    <w:link w:val="Header"/>
    <w:uiPriority w:val="99"/>
    <w:rsid w:val="00C459CC"/>
  </w:style>
  <w:style w:type="paragraph" w:styleId="Footer">
    <w:name w:val="footer"/>
    <w:basedOn w:val="Normal"/>
    <w:link w:val="FooterChar"/>
    <w:uiPriority w:val="99"/>
    <w:unhideWhenUsed/>
    <w:rsid w:val="00C459CC"/>
    <w:pPr>
      <w:tabs>
        <w:tab w:val="center" w:pos="4680"/>
        <w:tab w:val="right" w:pos="9360"/>
      </w:tabs>
    </w:pPr>
  </w:style>
  <w:style w:type="character" w:customStyle="1" w:styleId="FooterChar">
    <w:name w:val="Footer Char"/>
    <w:basedOn w:val="DefaultParagraphFont"/>
    <w:link w:val="Footer"/>
    <w:uiPriority w:val="99"/>
    <w:rsid w:val="00C45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room.servicenow.com/press-releases/details/2025/ServiceNow-to-acquire-Armis-to-expand-cyber-exposure-and-security-across-the-full-attack-surface-in-IT-OT-and-medical-devices-for-companies-governments-and-critical-infrastructure-worldwide/default.aspx" TargetMode="External"/><Relationship Id="rId13" Type="http://schemas.openxmlformats.org/officeDocument/2006/relationships/hyperlink" Target="https://www.marketsandmarkets.com/Market-Reports/operational-technology-ot-security-market-18524133.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rmis.com/newsroom/press/armis-surpasses-300m-arr-as-demand-for-exposure-management-security-soar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room.servicenow.com/press-releases/details/2026/ServiceNow-Reports-Fourth-Quarter-and-Full-Year-2025-Financial-Results-Board-of-Directors-Authorizes-Additional-5B-for-Share-Repurchase-Program/default.aspx" TargetMode="External"/><Relationship Id="rId5" Type="http://schemas.openxmlformats.org/officeDocument/2006/relationships/footnotes" Target="footnotes.xml"/><Relationship Id="rId15" Type="http://schemas.openxmlformats.org/officeDocument/2006/relationships/hyperlink" Target="https://www.forrester.com/research/cybersecurity/" TargetMode="External"/><Relationship Id="rId10" Type="http://schemas.openxmlformats.org/officeDocument/2006/relationships/hyperlink" Target="https://www.cnbc.com/2025/12/23/servicenow-armis-cybersecurity-acquisition.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rmis.com/blog/armis-to-join-servicenow-strengthening-our-mission-to-protect-our-customers-most-critical-environments-and-reduce-cyber-risk-at-scale/" TargetMode="External"/><Relationship Id="rId14" Type="http://schemas.openxmlformats.org/officeDocument/2006/relationships/hyperlink" Target="https://www.gartner.com/en/newsroom/press-releases/2025-08-28-gartner-forecasts-global-information-security-spending-to-grow-15-percent-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1869</Words>
  <Characters>10656</Characters>
  <Application>Microsoft Office Word</Application>
  <DocSecurity>0</DocSecurity>
  <Lines>88</Lines>
  <Paragraphs>24</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Adwoa Bempomaa</cp:lastModifiedBy>
  <cp:revision>2</cp:revision>
  <dcterms:created xsi:type="dcterms:W3CDTF">2026-03-07T00:18:00Z</dcterms:created>
  <dcterms:modified xsi:type="dcterms:W3CDTF">2026-03-07T00:18:00Z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d582a609-44b2-461f-9c75-0113489c48e0</vt:lpwstr>
  </property>
</Properties>
</file>