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0824" w14:textId="77777777" w:rsidR="00EC26F7" w:rsidRDefault="00EC26F7" w:rsidP="00EC26F7">
      <w:pPr>
        <w:jc w:val="center"/>
      </w:pPr>
      <w:r w:rsidRPr="00B953A9">
        <w:rPr>
          <w:noProof/>
          <w:color w:val="FFC000" w:themeColor="accent4"/>
          <w:sz w:val="32"/>
          <w:szCs w:val="32"/>
        </w:rPr>
        <w:drawing>
          <wp:inline distT="0" distB="0" distL="0" distR="0" wp14:anchorId="2AC5C3F2" wp14:editId="598FBA6F">
            <wp:extent cx="3063240" cy="3063240"/>
            <wp:effectExtent l="0" t="0" r="3810" b="3810"/>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2365" cy="3232365"/>
                    </a:xfrm>
                    <a:prstGeom prst="rect">
                      <a:avLst/>
                    </a:prstGeom>
                    <a:noFill/>
                    <a:ln>
                      <a:noFill/>
                    </a:ln>
                  </pic:spPr>
                </pic:pic>
              </a:graphicData>
            </a:graphic>
          </wp:inline>
        </w:drawing>
      </w:r>
    </w:p>
    <w:p w14:paraId="39232F9C" w14:textId="77777777" w:rsidR="00EC26F7" w:rsidRDefault="00EC26F7" w:rsidP="00EC26F7">
      <w:pPr>
        <w:jc w:val="center"/>
      </w:pPr>
    </w:p>
    <w:p w14:paraId="4671385B" w14:textId="77777777" w:rsidR="00EC26F7" w:rsidRPr="00CB0790" w:rsidRDefault="00EC26F7" w:rsidP="00EC26F7">
      <w:pPr>
        <w:jc w:val="center"/>
        <w:rPr>
          <w:sz w:val="40"/>
          <w:szCs w:val="40"/>
        </w:rPr>
      </w:pPr>
      <w:r w:rsidRPr="00CB0790">
        <w:rPr>
          <w:b/>
          <w:bCs/>
          <w:color w:val="2E4057"/>
          <w:sz w:val="40"/>
          <w:szCs w:val="40"/>
        </w:rPr>
        <w:t>ALY6130 - Risk Management Analytics</w:t>
      </w:r>
    </w:p>
    <w:p w14:paraId="008BE1B7" w14:textId="77777777" w:rsidR="00EC26F7" w:rsidRPr="00CB0790" w:rsidRDefault="00EC26F7" w:rsidP="00EC26F7">
      <w:pPr>
        <w:jc w:val="center"/>
        <w:rPr>
          <w:sz w:val="40"/>
          <w:szCs w:val="40"/>
        </w:rPr>
      </w:pPr>
      <w:r w:rsidRPr="00CB0790">
        <w:rPr>
          <w:b/>
          <w:bCs/>
          <w:color w:val="2E4057"/>
          <w:sz w:val="40"/>
          <w:szCs w:val="40"/>
        </w:rPr>
        <w:t xml:space="preserve">Module </w:t>
      </w:r>
      <w:r>
        <w:rPr>
          <w:b/>
          <w:bCs/>
          <w:color w:val="2E4057"/>
          <w:sz w:val="40"/>
          <w:szCs w:val="40"/>
        </w:rPr>
        <w:t>4</w:t>
      </w:r>
      <w:r w:rsidRPr="00CB0790">
        <w:rPr>
          <w:b/>
          <w:bCs/>
          <w:color w:val="2E4057"/>
          <w:sz w:val="40"/>
          <w:szCs w:val="40"/>
        </w:rPr>
        <w:t xml:space="preserve">: Risk </w:t>
      </w:r>
      <w:r>
        <w:rPr>
          <w:b/>
          <w:bCs/>
          <w:color w:val="2E4057"/>
          <w:sz w:val="40"/>
          <w:szCs w:val="40"/>
        </w:rPr>
        <w:t>Assessment</w:t>
      </w:r>
    </w:p>
    <w:p w14:paraId="115EE294" w14:textId="77777777" w:rsidR="00EC26F7" w:rsidRPr="00CB0790" w:rsidRDefault="00EC26F7" w:rsidP="00EC26F7">
      <w:pPr>
        <w:spacing w:after="300"/>
        <w:rPr>
          <w:sz w:val="36"/>
          <w:szCs w:val="36"/>
        </w:rPr>
      </w:pPr>
    </w:p>
    <w:p w14:paraId="00270AFB" w14:textId="77777777" w:rsidR="00EC26F7" w:rsidRPr="00434437" w:rsidRDefault="00EC26F7" w:rsidP="00EC26F7">
      <w:pPr>
        <w:jc w:val="center"/>
        <w:rPr>
          <w:i/>
          <w:iCs/>
          <w:color w:val="C45911" w:themeColor="accent2" w:themeShade="BF"/>
          <w:sz w:val="36"/>
          <w:szCs w:val="36"/>
        </w:rPr>
      </w:pPr>
      <w:r w:rsidRPr="00434437">
        <w:rPr>
          <w:b/>
          <w:bCs/>
          <w:i/>
          <w:iCs/>
          <w:color w:val="C45911" w:themeColor="accent2" w:themeShade="BF"/>
          <w:sz w:val="36"/>
          <w:szCs w:val="36"/>
        </w:rPr>
        <w:t>ServiceNow's $7.75 Billion Acquisition of Armis</w:t>
      </w:r>
    </w:p>
    <w:p w14:paraId="74DCFB89" w14:textId="0C4A712E" w:rsidR="00EC26F7" w:rsidRDefault="00EC26F7" w:rsidP="00EC26F7">
      <w:pPr>
        <w:spacing w:after="600"/>
        <w:jc w:val="center"/>
        <w:rPr>
          <w:color w:val="666666"/>
          <w:sz w:val="36"/>
          <w:szCs w:val="36"/>
        </w:rPr>
      </w:pPr>
      <w:r>
        <w:rPr>
          <w:color w:val="666666"/>
          <w:sz w:val="36"/>
          <w:szCs w:val="36"/>
        </w:rPr>
        <w:t>Risk Assessment with Indicators and Warning Analysis Technique</w:t>
      </w:r>
    </w:p>
    <w:p w14:paraId="1B24EB1C" w14:textId="77777777" w:rsidR="00EC26F7" w:rsidRPr="00FD4C7B" w:rsidRDefault="00EC26F7" w:rsidP="00EC26F7">
      <w:pPr>
        <w:jc w:val="center"/>
        <w:rPr>
          <w:sz w:val="28"/>
          <w:szCs w:val="28"/>
        </w:rPr>
      </w:pPr>
      <w:r w:rsidRPr="00FD4C7B">
        <w:rPr>
          <w:color w:val="000000"/>
          <w:sz w:val="28"/>
          <w:szCs w:val="28"/>
        </w:rPr>
        <w:t>Group 4: Adwoa Bempomaa, Sara Mathai, Lawrence Dass</w:t>
      </w:r>
    </w:p>
    <w:p w14:paraId="725C57E7" w14:textId="77777777" w:rsidR="00EC26F7" w:rsidRPr="00FD4C7B" w:rsidRDefault="00EC26F7" w:rsidP="00EC26F7">
      <w:pPr>
        <w:jc w:val="center"/>
        <w:rPr>
          <w:sz w:val="28"/>
          <w:szCs w:val="28"/>
        </w:rPr>
      </w:pPr>
      <w:r w:rsidRPr="00FD4C7B">
        <w:rPr>
          <w:color w:val="666666"/>
          <w:sz w:val="28"/>
          <w:szCs w:val="28"/>
        </w:rPr>
        <w:t>Northeastern University Vancouver | College of Professional Studies</w:t>
      </w:r>
    </w:p>
    <w:p w14:paraId="5BA524BD" w14:textId="77777777" w:rsidR="00EC26F7" w:rsidRDefault="00EC26F7" w:rsidP="00EC26F7">
      <w:pPr>
        <w:rPr>
          <w:color w:val="666666"/>
          <w:sz w:val="20"/>
          <w:szCs w:val="20"/>
        </w:rPr>
      </w:pPr>
    </w:p>
    <w:p w14:paraId="697F4F2F" w14:textId="77777777" w:rsidR="00EC26F7" w:rsidRPr="00CB0790" w:rsidRDefault="00EC26F7" w:rsidP="00EC26F7">
      <w:pPr>
        <w:rPr>
          <w:color w:val="666666"/>
          <w:sz w:val="20"/>
          <w:szCs w:val="20"/>
        </w:rPr>
      </w:pPr>
    </w:p>
    <w:p w14:paraId="540DA6D3" w14:textId="77777777" w:rsidR="00EC26F7" w:rsidRPr="00CB0790" w:rsidRDefault="00EC26F7" w:rsidP="00EC26F7">
      <w:pPr>
        <w:rPr>
          <w:color w:val="666666"/>
          <w:sz w:val="20"/>
          <w:szCs w:val="20"/>
        </w:rPr>
      </w:pPr>
      <w:r>
        <w:rPr>
          <w:color w:val="666666"/>
          <w:sz w:val="20"/>
          <w:szCs w:val="20"/>
        </w:rPr>
        <w:t>Date: 18</w:t>
      </w:r>
      <w:r w:rsidRPr="00843994">
        <w:rPr>
          <w:color w:val="666666"/>
          <w:sz w:val="20"/>
          <w:szCs w:val="20"/>
          <w:vertAlign w:val="superscript"/>
        </w:rPr>
        <w:t>th</w:t>
      </w:r>
      <w:r>
        <w:rPr>
          <w:color w:val="666666"/>
          <w:sz w:val="20"/>
          <w:szCs w:val="20"/>
        </w:rPr>
        <w:t xml:space="preserve"> March 2026</w:t>
      </w:r>
    </w:p>
    <w:p w14:paraId="3A8ADFCF" w14:textId="606676AE" w:rsidR="008F4832" w:rsidRPr="00692847" w:rsidRDefault="008F4832" w:rsidP="008F4832">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692847">
        <w:rPr>
          <w:rFonts w:ascii="Times New Roman" w:eastAsia="Times New Roman" w:hAnsi="Times New Roman" w:cs="Times New Roman"/>
          <w:b/>
          <w:bCs/>
          <w:kern w:val="36"/>
          <w:sz w:val="36"/>
          <w:szCs w:val="36"/>
          <w14:ligatures w14:val="none"/>
        </w:rPr>
        <w:lastRenderedPageBreak/>
        <w:t>Quantitative Assessment of Competitive Risks Using the Indicators &amp; Warnings (I&amp;W) Technique</w:t>
      </w:r>
    </w:p>
    <w:p w14:paraId="7CB8E63B" w14:textId="77777777" w:rsidR="008F4832" w:rsidRPr="00692847"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Introduction</w:t>
      </w:r>
    </w:p>
    <w:p w14:paraId="5C656410" w14:textId="08D17EA4"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This summary outlines how the three competitive risks identified in the ServiceNow–Armis acquisition analysis were quantitatively assessed using the Indicators and Warnings (I&amp;W) methodology. I&amp;W is a structured analytic technique originally developed for intelligence analysis and now widely applied in strategic risk management to detect early signals of emerging threats and opportunities. Its purpose is to convert qualitative risk drivers into measurable indicators that can be monitored over time to quantify </w:t>
      </w:r>
      <w:r w:rsidR="00B50B50">
        <w:rPr>
          <w:rFonts w:ascii="Times New Roman" w:eastAsia="Times New Roman" w:hAnsi="Times New Roman" w:cs="Times New Roman"/>
          <w:kern w:val="0"/>
          <w14:ligatures w14:val="none"/>
        </w:rPr>
        <w:t>trends in probability and impact</w:t>
      </w:r>
      <w:r w:rsidRPr="008F4832">
        <w:rPr>
          <w:rFonts w:ascii="Times New Roman" w:eastAsia="Times New Roman" w:hAnsi="Times New Roman" w:cs="Times New Roman"/>
          <w:kern w:val="0"/>
          <w14:ligatures w14:val="none"/>
        </w:rPr>
        <w:t>. As described in I&amp;W frameworks, analysts “connect clues gleaned from massive quantities of evolving data” to reduce uncertainty and anticipate strategic shifts before they materialize.</w:t>
      </w:r>
    </w:p>
    <w:p w14:paraId="38BC92C1"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The three risks assessed are:</w:t>
      </w:r>
    </w:p>
    <w:p w14:paraId="3556C0E5" w14:textId="77777777" w:rsidR="008F4832" w:rsidRPr="008F4832" w:rsidRDefault="008F4832" w:rsidP="008F48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Competitive displacement by rival mega</w:t>
      </w:r>
      <w:r w:rsidRPr="008F4832">
        <w:rPr>
          <w:rFonts w:ascii="Times New Roman" w:eastAsia="Times New Roman" w:hAnsi="Times New Roman" w:cs="Times New Roman"/>
          <w:b/>
          <w:bCs/>
          <w:kern w:val="0"/>
          <w14:ligatures w14:val="none"/>
        </w:rPr>
        <w:noBreakHyphen/>
        <w:t>acquisition platforms</w:t>
      </w:r>
    </w:p>
    <w:p w14:paraId="5C32CF4E" w14:textId="77777777" w:rsidR="008F4832" w:rsidRPr="008F4832" w:rsidRDefault="008F4832" w:rsidP="008F48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AI</w:t>
      </w:r>
      <w:r w:rsidRPr="008F4832">
        <w:rPr>
          <w:rFonts w:ascii="Times New Roman" w:eastAsia="Times New Roman" w:hAnsi="Times New Roman" w:cs="Times New Roman"/>
          <w:b/>
          <w:bCs/>
          <w:kern w:val="0"/>
          <w14:ligatures w14:val="none"/>
        </w:rPr>
        <w:noBreakHyphen/>
        <w:t>driven platform convergence and relevance erosion</w:t>
      </w:r>
    </w:p>
    <w:p w14:paraId="2447D36E" w14:textId="77777777" w:rsidR="008F4832" w:rsidRPr="008F4832" w:rsidRDefault="008F4832" w:rsidP="008F48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Regulatory</w:t>
      </w:r>
      <w:r w:rsidRPr="008F4832">
        <w:rPr>
          <w:rFonts w:ascii="Times New Roman" w:eastAsia="Times New Roman" w:hAnsi="Times New Roman" w:cs="Times New Roman"/>
          <w:b/>
          <w:bCs/>
          <w:kern w:val="0"/>
          <w14:ligatures w14:val="none"/>
        </w:rPr>
        <w:noBreakHyphen/>
        <w:t>driven market demand acceleration (opportunity)</w:t>
      </w:r>
    </w:p>
    <w:p w14:paraId="7286F29B"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Each risk was evaluated using a quantitative I&amp;W process consisting of indicator selection, threshold calibration, scoring, and trend</w:t>
      </w:r>
      <w:r w:rsidRPr="008F4832">
        <w:rPr>
          <w:rFonts w:ascii="Times New Roman" w:eastAsia="Times New Roman" w:hAnsi="Times New Roman" w:cs="Times New Roman"/>
          <w:kern w:val="0"/>
          <w14:ligatures w14:val="none"/>
        </w:rPr>
        <w:noBreakHyphen/>
        <w:t>based probability estimation.</w:t>
      </w:r>
    </w:p>
    <w:p w14:paraId="72FF21D9" w14:textId="77777777" w:rsidR="008F4832" w:rsidRPr="008F4832"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4832">
        <w:rPr>
          <w:rFonts w:ascii="Times New Roman" w:eastAsia="Times New Roman" w:hAnsi="Times New Roman" w:cs="Times New Roman"/>
          <w:b/>
          <w:bCs/>
          <w:kern w:val="0"/>
          <w:sz w:val="36"/>
          <w:szCs w:val="36"/>
          <w14:ligatures w14:val="none"/>
        </w:rPr>
        <w:t xml:space="preserve">1. </w:t>
      </w:r>
      <w:r w:rsidRPr="00692847">
        <w:rPr>
          <w:rFonts w:ascii="Times New Roman" w:eastAsia="Times New Roman" w:hAnsi="Times New Roman" w:cs="Times New Roman"/>
          <w:b/>
          <w:bCs/>
          <w:kern w:val="0"/>
          <w:sz w:val="28"/>
          <w:szCs w:val="28"/>
          <w14:ligatures w14:val="none"/>
        </w:rPr>
        <w:t>Establishing the I&amp;W Framework</w:t>
      </w:r>
    </w:p>
    <w:p w14:paraId="40C277C5" w14:textId="02C4101D"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The first step involved translating each risk into a set of </w:t>
      </w:r>
      <w:r w:rsidR="00B50B50" w:rsidRPr="008F4832">
        <w:rPr>
          <w:rFonts w:ascii="Times New Roman" w:eastAsia="Times New Roman" w:hAnsi="Times New Roman" w:cs="Times New Roman"/>
          <w:kern w:val="0"/>
          <w14:ligatures w14:val="none"/>
        </w:rPr>
        <w:t>observables</w:t>
      </w:r>
      <w:r w:rsidRPr="008F4832">
        <w:rPr>
          <w:rFonts w:ascii="Times New Roman" w:eastAsia="Times New Roman" w:hAnsi="Times New Roman" w:cs="Times New Roman"/>
          <w:kern w:val="0"/>
          <w14:ligatures w14:val="none"/>
        </w:rPr>
        <w:t xml:space="preserve">, measurable indicators. According to </w:t>
      </w:r>
      <w:r w:rsidR="00B50B50">
        <w:rPr>
          <w:rFonts w:ascii="Times New Roman" w:eastAsia="Times New Roman" w:hAnsi="Times New Roman" w:cs="Times New Roman"/>
          <w:kern w:val="0"/>
          <w14:ligatures w14:val="none"/>
        </w:rPr>
        <w:t xml:space="preserve">the </w:t>
      </w:r>
      <w:r w:rsidRPr="008F4832">
        <w:rPr>
          <w:rFonts w:ascii="Times New Roman" w:eastAsia="Times New Roman" w:hAnsi="Times New Roman" w:cs="Times New Roman"/>
          <w:kern w:val="0"/>
          <w14:ligatures w14:val="none"/>
        </w:rPr>
        <w:t xml:space="preserve">I&amp;W methodology, indicators must be </w:t>
      </w:r>
      <w:r w:rsidRPr="008F4832">
        <w:rPr>
          <w:rFonts w:ascii="Times New Roman" w:eastAsia="Times New Roman" w:hAnsi="Times New Roman" w:cs="Times New Roman"/>
          <w:b/>
          <w:bCs/>
          <w:kern w:val="0"/>
          <w14:ligatures w14:val="none"/>
        </w:rPr>
        <w:t>specific, observable, diagnostic, and quantifiable</w:t>
      </w:r>
      <w:r w:rsidRPr="008F4832">
        <w:rPr>
          <w:rFonts w:ascii="Times New Roman" w:eastAsia="Times New Roman" w:hAnsi="Times New Roman" w:cs="Times New Roman"/>
          <w:kern w:val="0"/>
          <w14:ligatures w14:val="none"/>
        </w:rPr>
        <w:t xml:space="preserve"> to support early detection of risk escalation or opportunity emergence</w:t>
      </w:r>
      <w:r w:rsidR="000E5F93">
        <w:rPr>
          <w:rFonts w:ascii="Times New Roman" w:eastAsia="Times New Roman" w:hAnsi="Times New Roman" w:cs="Times New Roman"/>
          <w:kern w:val="0"/>
          <w14:ligatures w14:val="none"/>
        </w:rPr>
        <w:t>.</w:t>
      </w:r>
    </w:p>
    <w:p w14:paraId="7F7996CE"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For each risk, one primary Key Risk Indicator (KRI) was selected from the Module 3 KRI Framework:</w:t>
      </w:r>
    </w:p>
    <w:p w14:paraId="769B5FA8" w14:textId="77777777" w:rsidR="008F4832" w:rsidRPr="008F4832" w:rsidRDefault="008F4832" w:rsidP="008F48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Risk 1:</w:t>
      </w:r>
      <w:r w:rsidRPr="008F4832">
        <w:rPr>
          <w:rFonts w:ascii="Times New Roman" w:eastAsia="Times New Roman" w:hAnsi="Times New Roman" w:cs="Times New Roman"/>
          <w:kern w:val="0"/>
          <w14:ligatures w14:val="none"/>
        </w:rPr>
        <w:t xml:space="preserve"> Competitive Win Rate in OT/IoT Deals</w:t>
      </w:r>
    </w:p>
    <w:p w14:paraId="41B1B5EE" w14:textId="77777777" w:rsidR="008F4832" w:rsidRPr="008F4832" w:rsidRDefault="008F4832" w:rsidP="008F48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Risk 2:</w:t>
      </w:r>
      <w:r w:rsidRPr="008F4832">
        <w:rPr>
          <w:rFonts w:ascii="Times New Roman" w:eastAsia="Times New Roman" w:hAnsi="Times New Roman" w:cs="Times New Roman"/>
          <w:kern w:val="0"/>
          <w14:ligatures w14:val="none"/>
        </w:rPr>
        <w:t xml:space="preserve"> AI Capability Gap Index (Feature Parity Score)</w:t>
      </w:r>
    </w:p>
    <w:p w14:paraId="599D35B7" w14:textId="77777777" w:rsidR="008F4832" w:rsidRPr="008F4832" w:rsidRDefault="008F4832" w:rsidP="008F48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Risk 3:</w:t>
      </w:r>
      <w:r w:rsidRPr="008F4832">
        <w:rPr>
          <w:rFonts w:ascii="Times New Roman" w:eastAsia="Times New Roman" w:hAnsi="Times New Roman" w:cs="Times New Roman"/>
          <w:kern w:val="0"/>
          <w14:ligatures w14:val="none"/>
        </w:rPr>
        <w:t xml:space="preserve"> Regulatory</w:t>
      </w:r>
      <w:r w:rsidRPr="008F4832">
        <w:rPr>
          <w:rFonts w:ascii="Times New Roman" w:eastAsia="Times New Roman" w:hAnsi="Times New Roman" w:cs="Times New Roman"/>
          <w:kern w:val="0"/>
          <w14:ligatures w14:val="none"/>
        </w:rPr>
        <w:noBreakHyphen/>
        <w:t>Driven Pipeline Growth Rate</w:t>
      </w:r>
    </w:p>
    <w:p w14:paraId="7F22878A"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These KRIs were chosen because they directly reflect the underlying causal mechanisms of each risk and can be measured monthly or quarterly using CRM data, analyst reports, and product release benchmarking.</w:t>
      </w:r>
    </w:p>
    <w:p w14:paraId="64C3B19B" w14:textId="77777777" w:rsidR="00692847" w:rsidRDefault="008F4832" w:rsidP="0069284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2. Quantifying Probability Using Indicator Thresholds</w:t>
      </w:r>
    </w:p>
    <w:p w14:paraId="360FC0AE" w14:textId="638447CF" w:rsidR="008F4832" w:rsidRPr="008F4832" w:rsidRDefault="008F4832" w:rsidP="00692847">
      <w:pPr>
        <w:spacing w:before="100" w:beforeAutospacing="1" w:after="100" w:afterAutospacing="1" w:line="240" w:lineRule="auto"/>
        <w:outlineLvl w:val="1"/>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lastRenderedPageBreak/>
        <w:t xml:space="preserve">I&amp;W analysis quantifies probability by monitoring how indicators move across </w:t>
      </w:r>
      <w:r w:rsidRPr="008F4832">
        <w:rPr>
          <w:rFonts w:ascii="Times New Roman" w:eastAsia="Times New Roman" w:hAnsi="Times New Roman" w:cs="Times New Roman"/>
          <w:b/>
          <w:bCs/>
          <w:kern w:val="0"/>
          <w14:ligatures w14:val="none"/>
        </w:rPr>
        <w:t>Green–Amber–Red thresholds</w:t>
      </w:r>
      <w:r w:rsidRPr="008F4832">
        <w:rPr>
          <w:rFonts w:ascii="Times New Roman" w:eastAsia="Times New Roman" w:hAnsi="Times New Roman" w:cs="Times New Roman"/>
          <w:kern w:val="0"/>
          <w14:ligatures w14:val="none"/>
        </w:rPr>
        <w:t xml:space="preserve">, which represent increasing </w:t>
      </w:r>
      <w:r w:rsidR="00B50B50">
        <w:rPr>
          <w:rFonts w:ascii="Times New Roman" w:eastAsia="Times New Roman" w:hAnsi="Times New Roman" w:cs="Times New Roman"/>
          <w:kern w:val="0"/>
          <w14:ligatures w14:val="none"/>
        </w:rPr>
        <w:t>risk levels</w:t>
      </w:r>
      <w:r w:rsidRPr="008F4832">
        <w:rPr>
          <w:rFonts w:ascii="Times New Roman" w:eastAsia="Times New Roman" w:hAnsi="Times New Roman" w:cs="Times New Roman"/>
          <w:kern w:val="0"/>
          <w14:ligatures w14:val="none"/>
        </w:rPr>
        <w:t>. Thresholds were calibrated using historical performance, industry benchmarks, and expected competitive dynamics.</w:t>
      </w:r>
    </w:p>
    <w:p w14:paraId="155FB6A5" w14:textId="77777777" w:rsidR="008F4832" w:rsidRPr="008F4832" w:rsidRDefault="008F4832" w:rsidP="008F4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832">
        <w:rPr>
          <w:rFonts w:ascii="Times New Roman" w:eastAsia="Times New Roman" w:hAnsi="Times New Roman" w:cs="Times New Roman"/>
          <w:b/>
          <w:bCs/>
          <w:kern w:val="0"/>
          <w:sz w:val="27"/>
          <w:szCs w:val="27"/>
          <w14:ligatures w14:val="none"/>
        </w:rPr>
        <w:t>Risk 1: Competitive Displacement</w:t>
      </w:r>
    </w:p>
    <w:p w14:paraId="13EE984F" w14:textId="77777777" w:rsidR="008F4832" w:rsidRPr="008F4832" w:rsidRDefault="008F4832" w:rsidP="008F48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Green:</w:t>
      </w:r>
      <w:r w:rsidRPr="008F4832">
        <w:rPr>
          <w:rFonts w:ascii="Times New Roman" w:eastAsia="Times New Roman" w:hAnsi="Times New Roman" w:cs="Times New Roman"/>
          <w:kern w:val="0"/>
          <w14:ligatures w14:val="none"/>
        </w:rPr>
        <w:t xml:space="preserve"> Win rate &gt; 35%</w:t>
      </w:r>
    </w:p>
    <w:p w14:paraId="4355C34D" w14:textId="77777777" w:rsidR="008F4832" w:rsidRPr="008F4832" w:rsidRDefault="008F4832" w:rsidP="008F48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Amber:</w:t>
      </w:r>
      <w:r w:rsidRPr="008F4832">
        <w:rPr>
          <w:rFonts w:ascii="Times New Roman" w:eastAsia="Times New Roman" w:hAnsi="Times New Roman" w:cs="Times New Roman"/>
          <w:kern w:val="0"/>
          <w14:ligatures w14:val="none"/>
        </w:rPr>
        <w:t xml:space="preserve"> 25–35%</w:t>
      </w:r>
    </w:p>
    <w:p w14:paraId="4C322814" w14:textId="77777777" w:rsidR="008F4832" w:rsidRPr="008F4832" w:rsidRDefault="008F4832" w:rsidP="008F48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Red:</w:t>
      </w:r>
      <w:r w:rsidRPr="008F4832">
        <w:rPr>
          <w:rFonts w:ascii="Times New Roman" w:eastAsia="Times New Roman" w:hAnsi="Times New Roman" w:cs="Times New Roman"/>
          <w:kern w:val="0"/>
          <w14:ligatures w14:val="none"/>
        </w:rPr>
        <w:t xml:space="preserve"> &lt; 25%</w:t>
      </w:r>
    </w:p>
    <w:p w14:paraId="3B386F91" w14:textId="140FDC2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A declining win rate signals </w:t>
      </w:r>
      <w:r w:rsidR="00B50B50">
        <w:rPr>
          <w:rFonts w:ascii="Times New Roman" w:eastAsia="Times New Roman" w:hAnsi="Times New Roman" w:cs="Times New Roman"/>
          <w:kern w:val="0"/>
          <w14:ligatures w14:val="none"/>
        </w:rPr>
        <w:t xml:space="preserve">a </w:t>
      </w:r>
      <w:r w:rsidRPr="008F4832">
        <w:rPr>
          <w:rFonts w:ascii="Times New Roman" w:eastAsia="Times New Roman" w:hAnsi="Times New Roman" w:cs="Times New Roman"/>
          <w:kern w:val="0"/>
          <w14:ligatures w14:val="none"/>
        </w:rPr>
        <w:t>rising probability of displacement. For example, if the win rate drops from 38% to 28% over two quarters, the probability score would shift from “Somewhat Likely (7)” toward “Very Likely (9).”</w:t>
      </w:r>
    </w:p>
    <w:p w14:paraId="7F1CE184" w14:textId="77777777" w:rsidR="008F4832" w:rsidRPr="008F4832" w:rsidRDefault="008F4832" w:rsidP="008F4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832">
        <w:rPr>
          <w:rFonts w:ascii="Times New Roman" w:eastAsia="Times New Roman" w:hAnsi="Times New Roman" w:cs="Times New Roman"/>
          <w:b/>
          <w:bCs/>
          <w:kern w:val="0"/>
          <w:sz w:val="27"/>
          <w:szCs w:val="27"/>
          <w14:ligatures w14:val="none"/>
        </w:rPr>
        <w:t>Risk 2: AI</w:t>
      </w:r>
      <w:r w:rsidRPr="008F4832">
        <w:rPr>
          <w:rFonts w:ascii="Times New Roman" w:eastAsia="Times New Roman" w:hAnsi="Times New Roman" w:cs="Times New Roman"/>
          <w:b/>
          <w:bCs/>
          <w:kern w:val="0"/>
          <w:sz w:val="27"/>
          <w:szCs w:val="27"/>
          <w14:ligatures w14:val="none"/>
        </w:rPr>
        <w:noBreakHyphen/>
        <w:t>Driven Platform Convergence</w:t>
      </w:r>
    </w:p>
    <w:p w14:paraId="12048EF9" w14:textId="77777777" w:rsidR="008F4832" w:rsidRPr="008F4832" w:rsidRDefault="008F4832" w:rsidP="008F48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Green:</w:t>
      </w:r>
      <w:r w:rsidRPr="008F4832">
        <w:rPr>
          <w:rFonts w:ascii="Times New Roman" w:eastAsia="Times New Roman" w:hAnsi="Times New Roman" w:cs="Times New Roman"/>
          <w:kern w:val="0"/>
          <w14:ligatures w14:val="none"/>
        </w:rPr>
        <w:t xml:space="preserve"> ≥ 85% feature parity</w:t>
      </w:r>
    </w:p>
    <w:p w14:paraId="53EDB069" w14:textId="77777777" w:rsidR="008F4832" w:rsidRPr="008F4832" w:rsidRDefault="008F4832" w:rsidP="008F48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Amber:</w:t>
      </w:r>
      <w:r w:rsidRPr="008F4832">
        <w:rPr>
          <w:rFonts w:ascii="Times New Roman" w:eastAsia="Times New Roman" w:hAnsi="Times New Roman" w:cs="Times New Roman"/>
          <w:kern w:val="0"/>
          <w14:ligatures w14:val="none"/>
        </w:rPr>
        <w:t xml:space="preserve"> 70–84%</w:t>
      </w:r>
    </w:p>
    <w:p w14:paraId="609590B2" w14:textId="77777777" w:rsidR="008F4832" w:rsidRPr="008F4832" w:rsidRDefault="008F4832" w:rsidP="008F48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Red:</w:t>
      </w:r>
      <w:r w:rsidRPr="008F4832">
        <w:rPr>
          <w:rFonts w:ascii="Times New Roman" w:eastAsia="Times New Roman" w:hAnsi="Times New Roman" w:cs="Times New Roman"/>
          <w:kern w:val="0"/>
          <w14:ligatures w14:val="none"/>
        </w:rPr>
        <w:t xml:space="preserve"> &lt; 70%</w:t>
      </w:r>
    </w:p>
    <w:p w14:paraId="64DCF3B9" w14:textId="67F7D789"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A sustained decline in parity indicates </w:t>
      </w:r>
      <w:r w:rsidR="00B50B50">
        <w:rPr>
          <w:rFonts w:ascii="Times New Roman" w:eastAsia="Times New Roman" w:hAnsi="Times New Roman" w:cs="Times New Roman"/>
          <w:kern w:val="0"/>
          <w14:ligatures w14:val="none"/>
        </w:rPr>
        <w:t xml:space="preserve">an </w:t>
      </w:r>
      <w:r w:rsidRPr="008F4832">
        <w:rPr>
          <w:rFonts w:ascii="Times New Roman" w:eastAsia="Times New Roman" w:hAnsi="Times New Roman" w:cs="Times New Roman"/>
          <w:kern w:val="0"/>
          <w14:ligatures w14:val="none"/>
        </w:rPr>
        <w:t>increasing probability that ServiceNow falls behind competitors’ AI innovation cycles.</w:t>
      </w:r>
    </w:p>
    <w:p w14:paraId="0B7EF21A" w14:textId="77777777" w:rsidR="008F4832" w:rsidRPr="008F4832" w:rsidRDefault="008F4832" w:rsidP="008F48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4832">
        <w:rPr>
          <w:rFonts w:ascii="Times New Roman" w:eastAsia="Times New Roman" w:hAnsi="Times New Roman" w:cs="Times New Roman"/>
          <w:b/>
          <w:bCs/>
          <w:kern w:val="0"/>
          <w:sz w:val="27"/>
          <w:szCs w:val="27"/>
          <w14:ligatures w14:val="none"/>
        </w:rPr>
        <w:t>Risk 3: Regulatory</w:t>
      </w:r>
      <w:r w:rsidRPr="008F4832">
        <w:rPr>
          <w:rFonts w:ascii="Times New Roman" w:eastAsia="Times New Roman" w:hAnsi="Times New Roman" w:cs="Times New Roman"/>
          <w:b/>
          <w:bCs/>
          <w:kern w:val="0"/>
          <w:sz w:val="27"/>
          <w:szCs w:val="27"/>
          <w14:ligatures w14:val="none"/>
        </w:rPr>
        <w:noBreakHyphen/>
        <w:t>Driven Demand Acceleration</w:t>
      </w:r>
    </w:p>
    <w:p w14:paraId="201A8685" w14:textId="77777777" w:rsidR="008F4832" w:rsidRPr="008F4832" w:rsidRDefault="008F4832" w:rsidP="008F48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Green:</w:t>
      </w:r>
      <w:r w:rsidRPr="008F4832">
        <w:rPr>
          <w:rFonts w:ascii="Times New Roman" w:eastAsia="Times New Roman" w:hAnsi="Times New Roman" w:cs="Times New Roman"/>
          <w:kern w:val="0"/>
          <w14:ligatures w14:val="none"/>
        </w:rPr>
        <w:t xml:space="preserve"> Pipeline growth &gt; 25% QoQ</w:t>
      </w:r>
    </w:p>
    <w:p w14:paraId="34A76333" w14:textId="77777777" w:rsidR="008F4832" w:rsidRPr="008F4832" w:rsidRDefault="008F4832" w:rsidP="008F48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Amber:</w:t>
      </w:r>
      <w:r w:rsidRPr="008F4832">
        <w:rPr>
          <w:rFonts w:ascii="Times New Roman" w:eastAsia="Times New Roman" w:hAnsi="Times New Roman" w:cs="Times New Roman"/>
          <w:kern w:val="0"/>
          <w14:ligatures w14:val="none"/>
        </w:rPr>
        <w:t xml:space="preserve"> 10–25%</w:t>
      </w:r>
    </w:p>
    <w:p w14:paraId="14956EED" w14:textId="77777777" w:rsidR="008F4832" w:rsidRPr="008F4832" w:rsidRDefault="008F4832" w:rsidP="008F48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Red:</w:t>
      </w:r>
      <w:r w:rsidRPr="008F4832">
        <w:rPr>
          <w:rFonts w:ascii="Times New Roman" w:eastAsia="Times New Roman" w:hAnsi="Times New Roman" w:cs="Times New Roman"/>
          <w:kern w:val="0"/>
          <w14:ligatures w14:val="none"/>
        </w:rPr>
        <w:t xml:space="preserve"> &lt; 10%</w:t>
      </w:r>
    </w:p>
    <w:p w14:paraId="43CD33F1" w14:textId="3167AC37" w:rsidR="008F4832" w:rsidRPr="008F4832" w:rsidRDefault="00B50B50" w:rsidP="008F48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this is a positive risk, moving toward </w:t>
      </w:r>
      <w:proofErr w:type="gramStart"/>
      <w:r>
        <w:rPr>
          <w:rFonts w:ascii="Times New Roman" w:eastAsia="Times New Roman" w:hAnsi="Times New Roman" w:cs="Times New Roman"/>
          <w:kern w:val="0"/>
          <w14:ligatures w14:val="none"/>
        </w:rPr>
        <w:t>Green</w:t>
      </w:r>
      <w:proofErr w:type="gramEnd"/>
      <w:r>
        <w:rPr>
          <w:rFonts w:ascii="Times New Roman" w:eastAsia="Times New Roman" w:hAnsi="Times New Roman" w:cs="Times New Roman"/>
          <w:kern w:val="0"/>
          <w14:ligatures w14:val="none"/>
        </w:rPr>
        <w:t xml:space="preserve"> raises the chance of seizing opportunities.</w:t>
      </w:r>
    </w:p>
    <w:p w14:paraId="09A10500" w14:textId="77777777" w:rsidR="008F4832" w:rsidRPr="008F4832"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4832">
        <w:rPr>
          <w:rFonts w:ascii="Times New Roman" w:eastAsia="Times New Roman" w:hAnsi="Times New Roman" w:cs="Times New Roman"/>
          <w:b/>
          <w:bCs/>
          <w:kern w:val="0"/>
          <w:sz w:val="36"/>
          <w:szCs w:val="36"/>
          <w14:ligatures w14:val="none"/>
        </w:rPr>
        <w:t xml:space="preserve">3. </w:t>
      </w:r>
      <w:r w:rsidRPr="00692847">
        <w:rPr>
          <w:rFonts w:ascii="Times New Roman" w:eastAsia="Times New Roman" w:hAnsi="Times New Roman" w:cs="Times New Roman"/>
          <w:b/>
          <w:bCs/>
          <w:kern w:val="0"/>
          <w:sz w:val="28"/>
          <w:szCs w:val="28"/>
          <w14:ligatures w14:val="none"/>
        </w:rPr>
        <w:t>Quantifying Impact Using I&amp;W</w:t>
      </w:r>
      <w:r w:rsidRPr="00692847">
        <w:rPr>
          <w:rFonts w:ascii="Times New Roman" w:eastAsia="Times New Roman" w:hAnsi="Times New Roman" w:cs="Times New Roman"/>
          <w:b/>
          <w:bCs/>
          <w:kern w:val="0"/>
          <w:sz w:val="28"/>
          <w:szCs w:val="28"/>
          <w14:ligatures w14:val="none"/>
        </w:rPr>
        <w:noBreakHyphen/>
        <w:t>Aligned Metrics</w:t>
      </w:r>
    </w:p>
    <w:p w14:paraId="014998B6" w14:textId="6A3FA069"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Impact scoring followed the 1–9 scale defined in the Module 3 Risk Calculation Sheet. I&amp;W analysis enhances impact quantification by linking indicator movement to </w:t>
      </w:r>
      <w:r w:rsidR="00B50B50">
        <w:rPr>
          <w:rFonts w:ascii="Times New Roman" w:eastAsia="Times New Roman" w:hAnsi="Times New Roman" w:cs="Times New Roman"/>
          <w:kern w:val="0"/>
          <w14:ligatures w14:val="none"/>
        </w:rPr>
        <w:t xml:space="preserve">the </w:t>
      </w:r>
      <w:r w:rsidRPr="008F4832">
        <w:rPr>
          <w:rFonts w:ascii="Times New Roman" w:eastAsia="Times New Roman" w:hAnsi="Times New Roman" w:cs="Times New Roman"/>
          <w:b/>
          <w:bCs/>
          <w:kern w:val="0"/>
          <w14:ligatures w14:val="none"/>
        </w:rPr>
        <w:t>expected magnitude of consequences</w:t>
      </w:r>
      <w:r w:rsidRPr="008F4832">
        <w:rPr>
          <w:rFonts w:ascii="Times New Roman" w:eastAsia="Times New Roman" w:hAnsi="Times New Roman" w:cs="Times New Roman"/>
          <w:kern w:val="0"/>
          <w14:ligatures w14:val="none"/>
        </w:rPr>
        <w:t>.</w:t>
      </w:r>
    </w:p>
    <w:p w14:paraId="7F742B12"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Examples:</w:t>
      </w:r>
    </w:p>
    <w:p w14:paraId="26A55125" w14:textId="77777777" w:rsidR="008F4832" w:rsidRPr="008F4832" w:rsidRDefault="008F4832" w:rsidP="008F48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A drop in OT/IoT win rate below 25% corresponds to an estimated </w:t>
      </w:r>
      <w:r w:rsidRPr="008F4832">
        <w:rPr>
          <w:rFonts w:ascii="Times New Roman" w:eastAsia="Times New Roman" w:hAnsi="Times New Roman" w:cs="Times New Roman"/>
          <w:b/>
          <w:bCs/>
          <w:kern w:val="0"/>
          <w14:ligatures w14:val="none"/>
        </w:rPr>
        <w:t>10–15% revenue loss</w:t>
      </w:r>
      <w:r w:rsidRPr="008F4832">
        <w:rPr>
          <w:rFonts w:ascii="Times New Roman" w:eastAsia="Times New Roman" w:hAnsi="Times New Roman" w:cs="Times New Roman"/>
          <w:kern w:val="0"/>
          <w14:ligatures w14:val="none"/>
        </w:rPr>
        <w:t xml:space="preserve">, aligning with an </w:t>
      </w:r>
      <w:r w:rsidRPr="008F4832">
        <w:rPr>
          <w:rFonts w:ascii="Times New Roman" w:eastAsia="Times New Roman" w:hAnsi="Times New Roman" w:cs="Times New Roman"/>
          <w:b/>
          <w:bCs/>
          <w:kern w:val="0"/>
          <w14:ligatures w14:val="none"/>
        </w:rPr>
        <w:t>Impact score of 8 (High)</w:t>
      </w:r>
      <w:r w:rsidRPr="008F4832">
        <w:rPr>
          <w:rFonts w:ascii="Times New Roman" w:eastAsia="Times New Roman" w:hAnsi="Times New Roman" w:cs="Times New Roman"/>
          <w:kern w:val="0"/>
          <w14:ligatures w14:val="none"/>
        </w:rPr>
        <w:t>.</w:t>
      </w:r>
    </w:p>
    <w:p w14:paraId="2F26C458" w14:textId="366C5875" w:rsidR="008F4832" w:rsidRPr="008F4832" w:rsidRDefault="008F4832" w:rsidP="008F48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A decline in AI feature parity below 70% signals </w:t>
      </w:r>
      <w:r w:rsidRPr="008F4832">
        <w:rPr>
          <w:rFonts w:ascii="Times New Roman" w:eastAsia="Times New Roman" w:hAnsi="Times New Roman" w:cs="Times New Roman"/>
          <w:b/>
          <w:bCs/>
          <w:kern w:val="0"/>
          <w14:ligatures w14:val="none"/>
        </w:rPr>
        <w:t>structural competitive disadvantage</w:t>
      </w:r>
      <w:r w:rsidRPr="008F4832">
        <w:rPr>
          <w:rFonts w:ascii="Times New Roman" w:eastAsia="Times New Roman" w:hAnsi="Times New Roman" w:cs="Times New Roman"/>
          <w:kern w:val="0"/>
          <w14:ligatures w14:val="none"/>
        </w:rPr>
        <w:t xml:space="preserve">, aligning with </w:t>
      </w:r>
      <w:r w:rsidR="00B50B50">
        <w:rPr>
          <w:rFonts w:ascii="Times New Roman" w:eastAsia="Times New Roman" w:hAnsi="Times New Roman" w:cs="Times New Roman"/>
          <w:kern w:val="0"/>
          <w14:ligatures w14:val="none"/>
        </w:rPr>
        <w:t xml:space="preserve">an </w:t>
      </w:r>
      <w:r w:rsidRPr="008F4832">
        <w:rPr>
          <w:rFonts w:ascii="Times New Roman" w:eastAsia="Times New Roman" w:hAnsi="Times New Roman" w:cs="Times New Roman"/>
          <w:b/>
          <w:bCs/>
          <w:kern w:val="0"/>
          <w14:ligatures w14:val="none"/>
        </w:rPr>
        <w:t>Impact score of 9 (Extremely High)</w:t>
      </w:r>
      <w:r w:rsidRPr="008F4832">
        <w:rPr>
          <w:rFonts w:ascii="Times New Roman" w:eastAsia="Times New Roman" w:hAnsi="Times New Roman" w:cs="Times New Roman"/>
          <w:kern w:val="0"/>
          <w14:ligatures w14:val="none"/>
        </w:rPr>
        <w:t>.</w:t>
      </w:r>
    </w:p>
    <w:p w14:paraId="7D473DE1" w14:textId="77777777" w:rsidR="008F4832" w:rsidRPr="008F4832" w:rsidRDefault="008F4832" w:rsidP="008F48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Regulatory</w:t>
      </w:r>
      <w:r w:rsidRPr="008F4832">
        <w:rPr>
          <w:rFonts w:ascii="Times New Roman" w:eastAsia="Times New Roman" w:hAnsi="Times New Roman" w:cs="Times New Roman"/>
          <w:kern w:val="0"/>
          <w14:ligatures w14:val="none"/>
        </w:rPr>
        <w:noBreakHyphen/>
        <w:t xml:space="preserve">driven pipeline growth above 25% QoQ corresponds to </w:t>
      </w:r>
      <w:r w:rsidRPr="008F4832">
        <w:rPr>
          <w:rFonts w:ascii="Times New Roman" w:eastAsia="Times New Roman" w:hAnsi="Times New Roman" w:cs="Times New Roman"/>
          <w:b/>
          <w:bCs/>
          <w:kern w:val="0"/>
          <w14:ligatures w14:val="none"/>
        </w:rPr>
        <w:t>&gt;$500M incremental pipeline</w:t>
      </w:r>
      <w:r w:rsidRPr="008F4832">
        <w:rPr>
          <w:rFonts w:ascii="Times New Roman" w:eastAsia="Times New Roman" w:hAnsi="Times New Roman" w:cs="Times New Roman"/>
          <w:kern w:val="0"/>
          <w14:ligatures w14:val="none"/>
        </w:rPr>
        <w:t xml:space="preserve">, aligning with </w:t>
      </w:r>
      <w:r w:rsidRPr="008F4832">
        <w:rPr>
          <w:rFonts w:ascii="Times New Roman" w:eastAsia="Times New Roman" w:hAnsi="Times New Roman" w:cs="Times New Roman"/>
          <w:b/>
          <w:bCs/>
          <w:kern w:val="0"/>
          <w14:ligatures w14:val="none"/>
        </w:rPr>
        <w:t>Impact score of 8 (High)</w:t>
      </w:r>
      <w:r w:rsidRPr="008F4832">
        <w:rPr>
          <w:rFonts w:ascii="Times New Roman" w:eastAsia="Times New Roman" w:hAnsi="Times New Roman" w:cs="Times New Roman"/>
          <w:kern w:val="0"/>
          <w14:ligatures w14:val="none"/>
        </w:rPr>
        <w:t>.</w:t>
      </w:r>
    </w:p>
    <w:p w14:paraId="311DDFBE"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lastRenderedPageBreak/>
        <w:t>Thus, I&amp;W indicators serve as quantitative proxies for the magnitude of expected outcomes.</w:t>
      </w:r>
    </w:p>
    <w:p w14:paraId="19C758B8" w14:textId="77777777" w:rsidR="008F4832" w:rsidRPr="00692847"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4. Converting Indicators into Quantitative Risk Scores</w:t>
      </w:r>
    </w:p>
    <w:p w14:paraId="0FA34EF5"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Each risk’s probability and impact were multiplied to produce a quantitative score:</w:t>
      </w:r>
    </w:p>
    <w:p w14:paraId="0718C4C1"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w:t>
      </w:r>
      <w:proofErr w:type="gramStart"/>
      <w:r w:rsidRPr="008F4832">
        <w:rPr>
          <w:rFonts w:ascii="Times New Roman" w:eastAsia="Times New Roman" w:hAnsi="Times New Roman" w:cs="Times New Roman"/>
          <w:kern w:val="0"/>
          <w14:ligatures w14:val="none"/>
        </w:rPr>
        <w:t>text{</w:t>
      </w:r>
      <w:proofErr w:type="gramEnd"/>
      <w:r w:rsidRPr="008F4832">
        <w:rPr>
          <w:rFonts w:ascii="Times New Roman" w:eastAsia="Times New Roman" w:hAnsi="Times New Roman" w:cs="Times New Roman"/>
          <w:kern w:val="0"/>
          <w14:ligatures w14:val="none"/>
        </w:rPr>
        <w:t>Risk Score} = \</w:t>
      </w:r>
      <w:proofErr w:type="gramStart"/>
      <w:r w:rsidRPr="008F4832">
        <w:rPr>
          <w:rFonts w:ascii="Times New Roman" w:eastAsia="Times New Roman" w:hAnsi="Times New Roman" w:cs="Times New Roman"/>
          <w:kern w:val="0"/>
          <w14:ligatures w14:val="none"/>
        </w:rPr>
        <w:t>text{</w:t>
      </w:r>
      <w:proofErr w:type="gramEnd"/>
      <w:r w:rsidRPr="008F4832">
        <w:rPr>
          <w:rFonts w:ascii="Times New Roman" w:eastAsia="Times New Roman" w:hAnsi="Times New Roman" w:cs="Times New Roman"/>
          <w:kern w:val="0"/>
          <w14:ligatures w14:val="none"/>
        </w:rPr>
        <w:t>Likelihood (1–9)} \times \</w:t>
      </w:r>
      <w:proofErr w:type="gramStart"/>
      <w:r w:rsidRPr="008F4832">
        <w:rPr>
          <w:rFonts w:ascii="Times New Roman" w:eastAsia="Times New Roman" w:hAnsi="Times New Roman" w:cs="Times New Roman"/>
          <w:kern w:val="0"/>
          <w14:ligatures w14:val="none"/>
        </w:rPr>
        <w:t>text{</w:t>
      </w:r>
      <w:proofErr w:type="gramEnd"/>
      <w:r w:rsidRPr="008F4832">
        <w:rPr>
          <w:rFonts w:ascii="Times New Roman" w:eastAsia="Times New Roman" w:hAnsi="Times New Roman" w:cs="Times New Roman"/>
          <w:kern w:val="0"/>
          <w14:ligatures w14:val="none"/>
        </w:rPr>
        <w:t>Impact (1–9)</w:t>
      </w:r>
      <w:proofErr w:type="gramStart"/>
      <w:r w:rsidRPr="008F4832">
        <w:rPr>
          <w:rFonts w:ascii="Times New Roman" w:eastAsia="Times New Roman" w:hAnsi="Times New Roman" w:cs="Times New Roman"/>
          <w:kern w:val="0"/>
          <w14:ligatures w14:val="none"/>
        </w:rPr>
        <w:t>} ]</w:t>
      </w:r>
      <w:proofErr w:type="gramEnd"/>
    </w:p>
    <w:p w14:paraId="5C40D8FC"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Using the I&amp;W</w:t>
      </w:r>
      <w:r w:rsidRPr="008F4832">
        <w:rPr>
          <w:rFonts w:ascii="Times New Roman" w:eastAsia="Times New Roman" w:hAnsi="Times New Roman" w:cs="Times New Roman"/>
          <w:kern w:val="0"/>
          <w14:ligatures w14:val="none"/>
        </w:rPr>
        <w:noBreakHyphen/>
        <w:t>informed likelihood estimates:</w:t>
      </w:r>
    </w:p>
    <w:p w14:paraId="3ED11037" w14:textId="77777777" w:rsidR="008F4832" w:rsidRPr="008F4832" w:rsidRDefault="008F4832" w:rsidP="008F48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Risk 1:</w:t>
      </w:r>
      <w:r w:rsidRPr="008F4832">
        <w:rPr>
          <w:rFonts w:ascii="Times New Roman" w:eastAsia="Times New Roman" w:hAnsi="Times New Roman" w:cs="Times New Roman"/>
          <w:kern w:val="0"/>
          <w14:ligatures w14:val="none"/>
        </w:rPr>
        <w:t xml:space="preserve"> 7 × 8 = </w:t>
      </w:r>
      <w:r w:rsidRPr="008F4832">
        <w:rPr>
          <w:rFonts w:ascii="Times New Roman" w:eastAsia="Times New Roman" w:hAnsi="Times New Roman" w:cs="Times New Roman"/>
          <w:b/>
          <w:bCs/>
          <w:kern w:val="0"/>
          <w14:ligatures w14:val="none"/>
        </w:rPr>
        <w:t>56 (High)</w:t>
      </w:r>
    </w:p>
    <w:p w14:paraId="7567F18F" w14:textId="77777777" w:rsidR="008F4832" w:rsidRPr="008F4832" w:rsidRDefault="008F4832" w:rsidP="008F48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Risk 2:</w:t>
      </w:r>
      <w:r w:rsidRPr="008F4832">
        <w:rPr>
          <w:rFonts w:ascii="Times New Roman" w:eastAsia="Times New Roman" w:hAnsi="Times New Roman" w:cs="Times New Roman"/>
          <w:kern w:val="0"/>
          <w14:ligatures w14:val="none"/>
        </w:rPr>
        <w:t xml:space="preserve"> 7 × 9 = </w:t>
      </w:r>
      <w:r w:rsidRPr="008F4832">
        <w:rPr>
          <w:rFonts w:ascii="Times New Roman" w:eastAsia="Times New Roman" w:hAnsi="Times New Roman" w:cs="Times New Roman"/>
          <w:b/>
          <w:bCs/>
          <w:kern w:val="0"/>
          <w14:ligatures w14:val="none"/>
        </w:rPr>
        <w:t>63 (High)</w:t>
      </w:r>
    </w:p>
    <w:p w14:paraId="2FAAE426" w14:textId="77777777" w:rsidR="008F4832" w:rsidRPr="008F4832" w:rsidRDefault="008F4832" w:rsidP="008F48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Risk 3:</w:t>
      </w:r>
      <w:r w:rsidRPr="008F4832">
        <w:rPr>
          <w:rFonts w:ascii="Times New Roman" w:eastAsia="Times New Roman" w:hAnsi="Times New Roman" w:cs="Times New Roman"/>
          <w:kern w:val="0"/>
          <w14:ligatures w14:val="none"/>
        </w:rPr>
        <w:t xml:space="preserve"> 9 × 8 = </w:t>
      </w:r>
      <w:r w:rsidRPr="008F4832">
        <w:rPr>
          <w:rFonts w:ascii="Times New Roman" w:eastAsia="Times New Roman" w:hAnsi="Times New Roman" w:cs="Times New Roman"/>
          <w:b/>
          <w:bCs/>
          <w:kern w:val="0"/>
          <w14:ligatures w14:val="none"/>
        </w:rPr>
        <w:t>72 (High)</w:t>
      </w:r>
    </w:p>
    <w:p w14:paraId="49FF608B"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These scores match the Module 3 results and validate that I&amp;W indicators provide a consistent quantitative basis for risk prioritization.</w:t>
      </w:r>
    </w:p>
    <w:p w14:paraId="395B6D1D" w14:textId="77777777" w:rsidR="008F4832" w:rsidRPr="00692847"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5. Trend Analysis and Early Warning Interpretation</w:t>
      </w:r>
    </w:p>
    <w:p w14:paraId="0375C443"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A core strength of I&amp;W analysis is its emphasis on </w:t>
      </w:r>
      <w:r w:rsidRPr="008F4832">
        <w:rPr>
          <w:rFonts w:ascii="Times New Roman" w:eastAsia="Times New Roman" w:hAnsi="Times New Roman" w:cs="Times New Roman"/>
          <w:b/>
          <w:bCs/>
          <w:kern w:val="0"/>
          <w14:ligatures w14:val="none"/>
        </w:rPr>
        <w:t>trend</w:t>
      </w:r>
      <w:r w:rsidRPr="008F4832">
        <w:rPr>
          <w:rFonts w:ascii="Times New Roman" w:eastAsia="Times New Roman" w:hAnsi="Times New Roman" w:cs="Times New Roman"/>
          <w:b/>
          <w:bCs/>
          <w:kern w:val="0"/>
          <w14:ligatures w14:val="none"/>
        </w:rPr>
        <w:noBreakHyphen/>
        <w:t>based probability forecasting</w:t>
      </w:r>
      <w:r w:rsidRPr="008F4832">
        <w:rPr>
          <w:rFonts w:ascii="Times New Roman" w:eastAsia="Times New Roman" w:hAnsi="Times New Roman" w:cs="Times New Roman"/>
          <w:kern w:val="0"/>
          <w14:ligatures w14:val="none"/>
        </w:rPr>
        <w:t>. Rather than relying on static scores, analysts monitor indicator trajectories:</w:t>
      </w:r>
    </w:p>
    <w:p w14:paraId="57F6DFD5" w14:textId="77777777" w:rsidR="008F4832" w:rsidRPr="008F4832" w:rsidRDefault="008F4832" w:rsidP="008F48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Downward win</w:t>
      </w:r>
      <w:r w:rsidRPr="008F4832">
        <w:rPr>
          <w:rFonts w:ascii="Times New Roman" w:eastAsia="Times New Roman" w:hAnsi="Times New Roman" w:cs="Times New Roman"/>
          <w:b/>
          <w:bCs/>
          <w:kern w:val="0"/>
          <w14:ligatures w14:val="none"/>
        </w:rPr>
        <w:noBreakHyphen/>
        <w:t>rate trend</w:t>
      </w:r>
      <w:r w:rsidRPr="008F4832">
        <w:rPr>
          <w:rFonts w:ascii="Times New Roman" w:eastAsia="Times New Roman" w:hAnsi="Times New Roman" w:cs="Times New Roman"/>
          <w:kern w:val="0"/>
          <w14:ligatures w14:val="none"/>
        </w:rPr>
        <w:t xml:space="preserve"> → rising competitive displacement risk</w:t>
      </w:r>
    </w:p>
    <w:p w14:paraId="34F5CFA3" w14:textId="77777777" w:rsidR="008F4832" w:rsidRPr="008F4832" w:rsidRDefault="008F4832" w:rsidP="008F48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Widening AI capability gap</w:t>
      </w:r>
      <w:r w:rsidRPr="008F4832">
        <w:rPr>
          <w:rFonts w:ascii="Times New Roman" w:eastAsia="Times New Roman" w:hAnsi="Times New Roman" w:cs="Times New Roman"/>
          <w:kern w:val="0"/>
          <w14:ligatures w14:val="none"/>
        </w:rPr>
        <w:t xml:space="preserve"> → accelerating relevance erosion</w:t>
      </w:r>
    </w:p>
    <w:p w14:paraId="552B7136" w14:textId="77777777" w:rsidR="008F4832" w:rsidRPr="008F4832" w:rsidRDefault="008F4832" w:rsidP="008F48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b/>
          <w:bCs/>
          <w:kern w:val="0"/>
          <w14:ligatures w14:val="none"/>
        </w:rPr>
        <w:t>Increasing compliance</w:t>
      </w:r>
      <w:r w:rsidRPr="008F4832">
        <w:rPr>
          <w:rFonts w:ascii="Times New Roman" w:eastAsia="Times New Roman" w:hAnsi="Times New Roman" w:cs="Times New Roman"/>
          <w:b/>
          <w:bCs/>
          <w:kern w:val="0"/>
          <w14:ligatures w14:val="none"/>
        </w:rPr>
        <w:noBreakHyphen/>
        <w:t>driven pipeline</w:t>
      </w:r>
      <w:r w:rsidRPr="008F4832">
        <w:rPr>
          <w:rFonts w:ascii="Times New Roman" w:eastAsia="Times New Roman" w:hAnsi="Times New Roman" w:cs="Times New Roman"/>
          <w:kern w:val="0"/>
          <w14:ligatures w14:val="none"/>
        </w:rPr>
        <w:t xml:space="preserve"> → strengthening opportunity</w:t>
      </w:r>
    </w:p>
    <w:p w14:paraId="7EA30C04" w14:textId="4983DCD1"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This aligns with the I&amp;W principle that early signals often appear as </w:t>
      </w:r>
      <w:r w:rsidRPr="008F4832">
        <w:rPr>
          <w:rFonts w:ascii="Times New Roman" w:eastAsia="Times New Roman" w:hAnsi="Times New Roman" w:cs="Times New Roman"/>
          <w:b/>
          <w:bCs/>
          <w:kern w:val="0"/>
          <w14:ligatures w14:val="none"/>
        </w:rPr>
        <w:t>small deviations</w:t>
      </w:r>
      <w:r w:rsidRPr="008F4832">
        <w:rPr>
          <w:rFonts w:ascii="Times New Roman" w:eastAsia="Times New Roman" w:hAnsi="Times New Roman" w:cs="Times New Roman"/>
          <w:kern w:val="0"/>
          <w14:ligatures w14:val="none"/>
        </w:rPr>
        <w:t xml:space="preserve"> before major shifts occur</w:t>
      </w:r>
      <w:r w:rsidR="00692847">
        <w:rPr>
          <w:rFonts w:ascii="Times New Roman" w:eastAsia="Times New Roman" w:hAnsi="Times New Roman" w:cs="Times New Roman"/>
          <w:kern w:val="0"/>
          <w14:ligatures w14:val="none"/>
        </w:rPr>
        <w:t>.</w:t>
      </w:r>
    </w:p>
    <w:p w14:paraId="33BE9606" w14:textId="77777777" w:rsidR="008F4832" w:rsidRPr="00692847"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6. Integrating I&amp;W Results into the Risk Register and Heatmap</w:t>
      </w:r>
    </w:p>
    <w:p w14:paraId="318E3075" w14:textId="77777777" w:rsidR="008F4832" w:rsidRP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The final step was updating the Risk Register and heatmap with:</w:t>
      </w:r>
    </w:p>
    <w:p w14:paraId="36E5CEE6" w14:textId="77777777" w:rsidR="008F4832" w:rsidRPr="008F4832" w:rsidRDefault="008F4832" w:rsidP="008F48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Revised likelihood scores informed by indicator thresholds</w:t>
      </w:r>
    </w:p>
    <w:p w14:paraId="293F1197" w14:textId="77777777" w:rsidR="008F4832" w:rsidRPr="008F4832" w:rsidRDefault="008F4832" w:rsidP="008F48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Quantitative justification for impact scores</w:t>
      </w:r>
    </w:p>
    <w:p w14:paraId="7392A4FF" w14:textId="77777777" w:rsidR="008F4832" w:rsidRPr="008F4832" w:rsidRDefault="008F4832" w:rsidP="008F48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Monitoring status based on current indicator trends</w:t>
      </w:r>
    </w:p>
    <w:p w14:paraId="5BD0ADFE" w14:textId="77777777" w:rsidR="008F4832" w:rsidRDefault="008F4832" w:rsidP="008F4832">
      <w:pPr>
        <w:spacing w:before="100" w:beforeAutospacing="1" w:after="100" w:afterAutospacing="1" w:line="240" w:lineRule="auto"/>
        <w:rPr>
          <w:rFonts w:ascii="Times New Roman" w:eastAsia="Times New Roman" w:hAnsi="Times New Roman" w:cs="Times New Roman"/>
          <w:kern w:val="0"/>
          <w14:ligatures w14:val="none"/>
        </w:rPr>
      </w:pPr>
      <w:r w:rsidRPr="008F4832">
        <w:rPr>
          <w:rFonts w:ascii="Times New Roman" w:eastAsia="Times New Roman" w:hAnsi="Times New Roman" w:cs="Times New Roman"/>
          <w:kern w:val="0"/>
          <w14:ligatures w14:val="none"/>
        </w:rPr>
        <w:t xml:space="preserve">This ensures that the risk register reflects </w:t>
      </w:r>
      <w:r w:rsidRPr="008F4832">
        <w:rPr>
          <w:rFonts w:ascii="Times New Roman" w:eastAsia="Times New Roman" w:hAnsi="Times New Roman" w:cs="Times New Roman"/>
          <w:b/>
          <w:bCs/>
          <w:kern w:val="0"/>
          <w14:ligatures w14:val="none"/>
        </w:rPr>
        <w:t>dynamic, data</w:t>
      </w:r>
      <w:r w:rsidRPr="008F4832">
        <w:rPr>
          <w:rFonts w:ascii="Times New Roman" w:eastAsia="Times New Roman" w:hAnsi="Times New Roman" w:cs="Times New Roman"/>
          <w:b/>
          <w:bCs/>
          <w:kern w:val="0"/>
          <w14:ligatures w14:val="none"/>
        </w:rPr>
        <w:noBreakHyphen/>
        <w:t>driven probability estimates</w:t>
      </w:r>
      <w:r w:rsidRPr="008F4832">
        <w:rPr>
          <w:rFonts w:ascii="Times New Roman" w:eastAsia="Times New Roman" w:hAnsi="Times New Roman" w:cs="Times New Roman"/>
          <w:kern w:val="0"/>
          <w14:ligatures w14:val="none"/>
        </w:rPr>
        <w:t xml:space="preserve"> rather than static qualitative judgments.</w:t>
      </w:r>
    </w:p>
    <w:p w14:paraId="15C933FA" w14:textId="1D9395DE" w:rsidR="00692847" w:rsidRPr="003035DA" w:rsidRDefault="00692847" w:rsidP="0069284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 xml:space="preserve">7. </w:t>
      </w:r>
      <w:r w:rsidRPr="003035DA">
        <w:rPr>
          <w:rFonts w:ascii="Times New Roman" w:eastAsia="Times New Roman" w:hAnsi="Times New Roman" w:cs="Times New Roman"/>
          <w:b/>
          <w:bCs/>
          <w:kern w:val="0"/>
          <w:sz w:val="28"/>
          <w:szCs w:val="28"/>
          <w14:ligatures w14:val="none"/>
        </w:rPr>
        <w:t>Monte Carlo Simulation and Machine Learning Integration</w:t>
      </w:r>
    </w:p>
    <w:p w14:paraId="62DBAC80" w14:textId="77777777" w:rsidR="00692847" w:rsidRPr="003035DA"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3035DA">
        <w:rPr>
          <w:rFonts w:ascii="Times New Roman" w:eastAsia="Times New Roman" w:hAnsi="Times New Roman" w:cs="Times New Roman"/>
          <w:kern w:val="0"/>
          <w14:ligatures w14:val="none"/>
        </w:rPr>
        <w:t xml:space="preserve">In addition to the I&amp;W framework, quantitative modeling techniques discussed in Module 4 can enhance risk forecasting. </w:t>
      </w:r>
      <w:r w:rsidRPr="003035DA">
        <w:rPr>
          <w:rFonts w:ascii="Times New Roman" w:eastAsia="Times New Roman" w:hAnsi="Times New Roman" w:cs="Times New Roman"/>
          <w:b/>
          <w:bCs/>
          <w:kern w:val="0"/>
          <w14:ligatures w14:val="none"/>
        </w:rPr>
        <w:t>Monte Carlo simulation</w:t>
      </w:r>
      <w:r w:rsidRPr="003035DA">
        <w:rPr>
          <w:rFonts w:ascii="Times New Roman" w:eastAsia="Times New Roman" w:hAnsi="Times New Roman" w:cs="Times New Roman"/>
          <w:kern w:val="0"/>
          <w14:ligatures w14:val="none"/>
        </w:rPr>
        <w:t xml:space="preserve"> allows analysts to model uncertainty by generating thousands of potential scenarios based on probability distributions of key indicators. For example, distributions for competitive win rates or AI capability scores can be simulated to </w:t>
      </w:r>
      <w:r w:rsidRPr="003035DA">
        <w:rPr>
          <w:rFonts w:ascii="Times New Roman" w:eastAsia="Times New Roman" w:hAnsi="Times New Roman" w:cs="Times New Roman"/>
          <w:kern w:val="0"/>
          <w14:ligatures w14:val="none"/>
        </w:rPr>
        <w:lastRenderedPageBreak/>
        <w:t xml:space="preserve">estimate a range of possible revenue outcomes. This approach provides probability distributions for potential impacts rather than relying on </w:t>
      </w:r>
      <w:r>
        <w:rPr>
          <w:rFonts w:ascii="Times New Roman" w:eastAsia="Times New Roman" w:hAnsi="Times New Roman" w:cs="Times New Roman"/>
          <w:kern w:val="0"/>
          <w14:ligatures w14:val="none"/>
        </w:rPr>
        <w:t>single-point</w:t>
      </w:r>
      <w:r w:rsidRPr="003035DA">
        <w:rPr>
          <w:rFonts w:ascii="Times New Roman" w:eastAsia="Times New Roman" w:hAnsi="Times New Roman" w:cs="Times New Roman"/>
          <w:kern w:val="0"/>
          <w14:ligatures w14:val="none"/>
        </w:rPr>
        <w:t xml:space="preserve"> estimates.</w:t>
      </w:r>
    </w:p>
    <w:p w14:paraId="20758A8F" w14:textId="77777777" w:rsidR="00692847" w:rsidRPr="003035DA"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3035DA">
        <w:rPr>
          <w:rFonts w:ascii="Times New Roman" w:eastAsia="Times New Roman" w:hAnsi="Times New Roman" w:cs="Times New Roman"/>
          <w:kern w:val="0"/>
          <w14:ligatures w14:val="none"/>
        </w:rPr>
        <w:t xml:space="preserve">Machine learning techniques can also improve early detection of risk signals. Algorithms such as </w:t>
      </w:r>
      <w:r w:rsidRPr="003035DA">
        <w:rPr>
          <w:rFonts w:ascii="Times New Roman" w:eastAsia="Times New Roman" w:hAnsi="Times New Roman" w:cs="Times New Roman"/>
          <w:b/>
          <w:bCs/>
          <w:kern w:val="0"/>
          <w14:ligatures w14:val="none"/>
        </w:rPr>
        <w:t>Random Forest, Gradient Boosting, or logistic regression</w:t>
      </w:r>
      <w:r w:rsidRPr="003035DA">
        <w:rPr>
          <w:rFonts w:ascii="Times New Roman" w:eastAsia="Times New Roman" w:hAnsi="Times New Roman" w:cs="Times New Roman"/>
          <w:kern w:val="0"/>
          <w14:ligatures w14:val="none"/>
        </w:rPr>
        <w:t xml:space="preserve"> can analyze historical market data, competitor behavior, and product innovation cycles to predict the likelihood of competitive displacement or technology gaps. These models are particularly useful for identifying nonlinear relationships among risk drivers and forecasting emerging competitive threats.</w:t>
      </w:r>
    </w:p>
    <w:p w14:paraId="5851648B" w14:textId="77777777" w:rsidR="00692847" w:rsidRPr="003035DA"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3035DA">
        <w:rPr>
          <w:rFonts w:ascii="Times New Roman" w:eastAsia="Times New Roman" w:hAnsi="Times New Roman" w:cs="Times New Roman"/>
          <w:kern w:val="0"/>
          <w14:ligatures w14:val="none"/>
        </w:rPr>
        <w:t>By combining I&amp;W monitoring with simulation and machine learning models, organizations can strengthen predictive analytics and improve decision support.</w:t>
      </w:r>
    </w:p>
    <w:p w14:paraId="440E0A85" w14:textId="77777777" w:rsidR="008F4832" w:rsidRPr="00692847" w:rsidRDefault="008F4832" w:rsidP="008F483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92847">
        <w:rPr>
          <w:rFonts w:ascii="Times New Roman" w:eastAsia="Times New Roman" w:hAnsi="Times New Roman" w:cs="Times New Roman"/>
          <w:b/>
          <w:bCs/>
          <w:kern w:val="0"/>
          <w:sz w:val="28"/>
          <w:szCs w:val="28"/>
          <w14:ligatures w14:val="none"/>
        </w:rPr>
        <w:t>Conclusion</w:t>
      </w:r>
    </w:p>
    <w:p w14:paraId="549722F0" w14:textId="77777777" w:rsidR="00692847" w:rsidRPr="003035DA"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3035DA">
        <w:rPr>
          <w:rFonts w:ascii="Times New Roman" w:eastAsia="Times New Roman" w:hAnsi="Times New Roman" w:cs="Times New Roman"/>
          <w:kern w:val="0"/>
          <w14:ligatures w14:val="none"/>
        </w:rPr>
        <w:t>The quantitative assessment demonstrates how the Indicators and Warnings technique can transform qualitative risk statements into measurable indicators that allow organizations to estimate probability and impact more accurately. By defining key indicators, establishing thresholds, and linking indicator movement to financial consequences, the I&amp;W approach enables early detection of competitive risks and opportunities.</w:t>
      </w:r>
    </w:p>
    <w:p w14:paraId="6A2BD4EA" w14:textId="452430B9" w:rsidR="00692847" w:rsidRDefault="00692847" w:rsidP="00692847">
      <w:pPr>
        <w:spacing w:before="100" w:beforeAutospacing="1" w:after="100" w:afterAutospacing="1" w:line="240" w:lineRule="auto"/>
        <w:outlineLvl w:val="1"/>
        <w:rPr>
          <w:rFonts w:ascii="Times New Roman" w:eastAsia="Times New Roman" w:hAnsi="Times New Roman" w:cs="Times New Roman"/>
          <w:kern w:val="0"/>
          <w14:ligatures w14:val="none"/>
        </w:rPr>
      </w:pPr>
      <w:r w:rsidRPr="003035DA">
        <w:rPr>
          <w:rFonts w:ascii="Times New Roman" w:eastAsia="Times New Roman" w:hAnsi="Times New Roman" w:cs="Times New Roman"/>
          <w:kern w:val="0"/>
          <w14:ligatures w14:val="none"/>
        </w:rPr>
        <w:t>When integrated with Monte Carlo simulation and machine learning techniques, the I&amp;W framework becomes even more powerful. Simulation models help quantify uncertainty and potential outcomes, while machine learning models identify emerging patterns in competitive data. Together, these techniques support proactive risk monitoring, more informed strategic planning, and stronger enterprise risk management capabilities</w:t>
      </w:r>
    </w:p>
    <w:p w14:paraId="5BD3DC16" w14:textId="7F014669" w:rsidR="00692847" w:rsidRPr="00692847" w:rsidRDefault="00692847" w:rsidP="00692847">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692847">
        <w:rPr>
          <w:rFonts w:ascii="Times New Roman" w:eastAsia="Times New Roman" w:hAnsi="Times New Roman" w:cs="Times New Roman"/>
          <w:b/>
          <w:bCs/>
          <w:kern w:val="36"/>
          <w:sz w:val="28"/>
          <w:szCs w:val="28"/>
          <w14:ligatures w14:val="none"/>
        </w:rPr>
        <w:t xml:space="preserve">References </w:t>
      </w:r>
    </w:p>
    <w:p w14:paraId="69AF22C3" w14:textId="77777777" w:rsidR="00692847" w:rsidRPr="00692847"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692847">
        <w:rPr>
          <w:rFonts w:ascii="Times New Roman" w:eastAsia="Times New Roman" w:hAnsi="Times New Roman" w:cs="Times New Roman"/>
          <w:kern w:val="0"/>
          <w14:ligatures w14:val="none"/>
        </w:rPr>
        <w:t xml:space="preserve">Beasley, M. S., Clune, R., &amp; Hermanson, D. R. (2005). Enterprise risk management: An empirical analysis of factors associated with the extent of implementation. </w:t>
      </w:r>
      <w:r w:rsidRPr="00692847">
        <w:rPr>
          <w:rFonts w:ascii="Times New Roman" w:eastAsia="Times New Roman" w:hAnsi="Times New Roman" w:cs="Times New Roman"/>
          <w:i/>
          <w:iCs/>
          <w:kern w:val="0"/>
          <w14:ligatures w14:val="none"/>
        </w:rPr>
        <w:t>Journal of Accounting and Public Policy, 24</w:t>
      </w:r>
      <w:r w:rsidRPr="00692847">
        <w:rPr>
          <w:rFonts w:ascii="Times New Roman" w:eastAsia="Times New Roman" w:hAnsi="Times New Roman" w:cs="Times New Roman"/>
          <w:kern w:val="0"/>
          <w14:ligatures w14:val="none"/>
        </w:rPr>
        <w:t xml:space="preserve">(6), 521–531. </w:t>
      </w:r>
      <w:hyperlink r:id="rId6" w:history="1">
        <w:r w:rsidRPr="00692847">
          <w:rPr>
            <w:rFonts w:ascii="Times New Roman" w:eastAsia="Times New Roman" w:hAnsi="Times New Roman" w:cs="Times New Roman"/>
            <w:color w:val="0000FF"/>
            <w:kern w:val="0"/>
            <w:u w:val="single"/>
            <w14:ligatures w14:val="none"/>
          </w:rPr>
          <w:t>https://doi.org/10.1016/j.jaccpubpol.2005.10.001</w:t>
        </w:r>
      </w:hyperlink>
    </w:p>
    <w:p w14:paraId="7ED58CD2" w14:textId="77777777" w:rsidR="00692847" w:rsidRPr="00692847"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692847">
        <w:rPr>
          <w:rFonts w:ascii="Times New Roman" w:eastAsia="Times New Roman" w:hAnsi="Times New Roman" w:cs="Times New Roman"/>
          <w:kern w:val="0"/>
          <w14:ligatures w14:val="none"/>
        </w:rPr>
        <w:t xml:space="preserve">Committee of Sponsoring Organizations of the Treadway Commission (COSO). (2017). </w:t>
      </w:r>
      <w:r w:rsidRPr="00692847">
        <w:rPr>
          <w:rFonts w:ascii="Times New Roman" w:eastAsia="Times New Roman" w:hAnsi="Times New Roman" w:cs="Times New Roman"/>
          <w:i/>
          <w:iCs/>
          <w:kern w:val="0"/>
          <w14:ligatures w14:val="none"/>
        </w:rPr>
        <w:t>Enterprise risk management: Integrating with strategy and performance</w:t>
      </w:r>
      <w:r w:rsidRPr="00692847">
        <w:rPr>
          <w:rFonts w:ascii="Times New Roman" w:eastAsia="Times New Roman" w:hAnsi="Times New Roman" w:cs="Times New Roman"/>
          <w:kern w:val="0"/>
          <w14:ligatures w14:val="none"/>
        </w:rPr>
        <w:t>. COSO.</w:t>
      </w:r>
    </w:p>
    <w:p w14:paraId="61884966" w14:textId="77777777" w:rsidR="00692847" w:rsidRPr="00692847"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692847">
        <w:rPr>
          <w:rFonts w:ascii="Times New Roman" w:eastAsia="Times New Roman" w:hAnsi="Times New Roman" w:cs="Times New Roman"/>
          <w:kern w:val="0"/>
          <w14:ligatures w14:val="none"/>
        </w:rPr>
        <w:t xml:space="preserve">Huyen, C. (2022). </w:t>
      </w:r>
      <w:r w:rsidRPr="00692847">
        <w:rPr>
          <w:rFonts w:ascii="Times New Roman" w:eastAsia="Times New Roman" w:hAnsi="Times New Roman" w:cs="Times New Roman"/>
          <w:i/>
          <w:iCs/>
          <w:kern w:val="0"/>
          <w14:ligatures w14:val="none"/>
        </w:rPr>
        <w:t>Designing machine learning systems: An iterative process for production-ready applications</w:t>
      </w:r>
      <w:r w:rsidRPr="00692847">
        <w:rPr>
          <w:rFonts w:ascii="Times New Roman" w:eastAsia="Times New Roman" w:hAnsi="Times New Roman" w:cs="Times New Roman"/>
          <w:kern w:val="0"/>
          <w14:ligatures w14:val="none"/>
        </w:rPr>
        <w:t>. O’Reilly Media.</w:t>
      </w:r>
    </w:p>
    <w:p w14:paraId="4474CAA9" w14:textId="77777777" w:rsidR="00692847" w:rsidRPr="00692847"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692847">
        <w:rPr>
          <w:rFonts w:ascii="Times New Roman" w:eastAsia="Times New Roman" w:hAnsi="Times New Roman" w:cs="Times New Roman"/>
          <w:kern w:val="0"/>
          <w14:ligatures w14:val="none"/>
        </w:rPr>
        <w:t xml:space="preserve">Mun, J. (2015). </w:t>
      </w:r>
      <w:r w:rsidRPr="00692847">
        <w:rPr>
          <w:rFonts w:ascii="Times New Roman" w:eastAsia="Times New Roman" w:hAnsi="Times New Roman" w:cs="Times New Roman"/>
          <w:i/>
          <w:iCs/>
          <w:kern w:val="0"/>
          <w14:ligatures w14:val="none"/>
        </w:rPr>
        <w:t>Modeling risk: Applying Monte Carlo risk simulation, strategic real options, stochastic forecasting, and portfolio optimization</w:t>
      </w:r>
      <w:r w:rsidRPr="00692847">
        <w:rPr>
          <w:rFonts w:ascii="Times New Roman" w:eastAsia="Times New Roman" w:hAnsi="Times New Roman" w:cs="Times New Roman"/>
          <w:kern w:val="0"/>
          <w14:ligatures w14:val="none"/>
        </w:rPr>
        <w:t xml:space="preserve"> (2nd ed.). Wiley.</w:t>
      </w:r>
    </w:p>
    <w:p w14:paraId="4F8F91DB" w14:textId="77777777" w:rsidR="00692847" w:rsidRPr="00692847"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692847">
        <w:rPr>
          <w:rFonts w:ascii="Times New Roman" w:eastAsia="Times New Roman" w:hAnsi="Times New Roman" w:cs="Times New Roman"/>
          <w:kern w:val="0"/>
          <w14:ligatures w14:val="none"/>
        </w:rPr>
        <w:t xml:space="preserve">Ontic. (2022). </w:t>
      </w:r>
      <w:r w:rsidRPr="00692847">
        <w:rPr>
          <w:rFonts w:ascii="Times New Roman" w:eastAsia="Times New Roman" w:hAnsi="Times New Roman" w:cs="Times New Roman"/>
          <w:i/>
          <w:iCs/>
          <w:kern w:val="0"/>
          <w14:ligatures w14:val="none"/>
        </w:rPr>
        <w:t>Indicators and warnings: A framework for proactive risk detection</w:t>
      </w:r>
      <w:r w:rsidRPr="00692847">
        <w:rPr>
          <w:rFonts w:ascii="Times New Roman" w:eastAsia="Times New Roman" w:hAnsi="Times New Roman" w:cs="Times New Roman"/>
          <w:kern w:val="0"/>
          <w14:ligatures w14:val="none"/>
        </w:rPr>
        <w:t xml:space="preserve">. </w:t>
      </w:r>
      <w:hyperlink r:id="rId7" w:history="1">
        <w:r w:rsidRPr="00692847">
          <w:rPr>
            <w:rFonts w:ascii="Times New Roman" w:eastAsia="Times New Roman" w:hAnsi="Times New Roman" w:cs="Times New Roman"/>
            <w:color w:val="0000FF"/>
            <w:kern w:val="0"/>
            <w:u w:val="single"/>
            <w14:ligatures w14:val="none"/>
          </w:rPr>
          <w:t>https://ontic.co</w:t>
        </w:r>
      </w:hyperlink>
    </w:p>
    <w:p w14:paraId="51DB5DF1" w14:textId="77777777" w:rsidR="00692847" w:rsidRPr="00692847" w:rsidRDefault="00692847" w:rsidP="00692847">
      <w:pPr>
        <w:spacing w:before="100" w:beforeAutospacing="1" w:after="100" w:afterAutospacing="1" w:line="240" w:lineRule="auto"/>
        <w:rPr>
          <w:rFonts w:ascii="Times New Roman" w:eastAsia="Times New Roman" w:hAnsi="Times New Roman" w:cs="Times New Roman"/>
          <w:kern w:val="0"/>
          <w14:ligatures w14:val="none"/>
        </w:rPr>
      </w:pPr>
      <w:r w:rsidRPr="00692847">
        <w:rPr>
          <w:rFonts w:ascii="Times New Roman" w:eastAsia="Times New Roman" w:hAnsi="Times New Roman" w:cs="Times New Roman"/>
          <w:kern w:val="0"/>
          <w14:ligatures w14:val="none"/>
        </w:rPr>
        <w:lastRenderedPageBreak/>
        <w:t xml:space="preserve">Shad, M. K., Lai, F. W., Fatt, C. L., </w:t>
      </w:r>
      <w:proofErr w:type="spellStart"/>
      <w:r w:rsidRPr="00692847">
        <w:rPr>
          <w:rFonts w:ascii="Times New Roman" w:eastAsia="Times New Roman" w:hAnsi="Times New Roman" w:cs="Times New Roman"/>
          <w:kern w:val="0"/>
          <w14:ligatures w14:val="none"/>
        </w:rPr>
        <w:t>Klemeš</w:t>
      </w:r>
      <w:proofErr w:type="spellEnd"/>
      <w:r w:rsidRPr="00692847">
        <w:rPr>
          <w:rFonts w:ascii="Times New Roman" w:eastAsia="Times New Roman" w:hAnsi="Times New Roman" w:cs="Times New Roman"/>
          <w:kern w:val="0"/>
          <w14:ligatures w14:val="none"/>
        </w:rPr>
        <w:t xml:space="preserve">, J. J., &amp; Bokhari, A. (2022). Integrating enterprise risk management with organizational performance: The role of risk maturity. </w:t>
      </w:r>
      <w:r w:rsidRPr="00692847">
        <w:rPr>
          <w:rFonts w:ascii="Times New Roman" w:eastAsia="Times New Roman" w:hAnsi="Times New Roman" w:cs="Times New Roman"/>
          <w:i/>
          <w:iCs/>
          <w:kern w:val="0"/>
          <w14:ligatures w14:val="none"/>
        </w:rPr>
        <w:t>Journal of Risk and Financial Management, 15</w:t>
      </w:r>
      <w:r w:rsidRPr="00692847">
        <w:rPr>
          <w:rFonts w:ascii="Times New Roman" w:eastAsia="Times New Roman" w:hAnsi="Times New Roman" w:cs="Times New Roman"/>
          <w:kern w:val="0"/>
          <w14:ligatures w14:val="none"/>
        </w:rPr>
        <w:t xml:space="preserve">(6), 225. </w:t>
      </w:r>
      <w:hyperlink r:id="rId8" w:history="1">
        <w:r w:rsidRPr="00692847">
          <w:rPr>
            <w:rFonts w:ascii="Times New Roman" w:eastAsia="Times New Roman" w:hAnsi="Times New Roman" w:cs="Times New Roman"/>
            <w:color w:val="0000FF"/>
            <w:kern w:val="0"/>
            <w:u w:val="single"/>
            <w14:ligatures w14:val="none"/>
          </w:rPr>
          <w:t>https://doi.org/10.3390/jrfm15060225</w:t>
        </w:r>
      </w:hyperlink>
    </w:p>
    <w:p w14:paraId="336E3B58" w14:textId="77777777" w:rsidR="00692847" w:rsidRPr="008F4832" w:rsidRDefault="00692847" w:rsidP="0069284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ectPr w:rsidR="00692847" w:rsidRPr="008F4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35B"/>
    <w:multiLevelType w:val="multilevel"/>
    <w:tmpl w:val="72C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27CA"/>
    <w:multiLevelType w:val="multilevel"/>
    <w:tmpl w:val="337C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B7DA6"/>
    <w:multiLevelType w:val="multilevel"/>
    <w:tmpl w:val="4D9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A2BF7"/>
    <w:multiLevelType w:val="multilevel"/>
    <w:tmpl w:val="DA8E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16051"/>
    <w:multiLevelType w:val="multilevel"/>
    <w:tmpl w:val="A43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D0C5D"/>
    <w:multiLevelType w:val="multilevel"/>
    <w:tmpl w:val="12C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402B5"/>
    <w:multiLevelType w:val="multilevel"/>
    <w:tmpl w:val="1F6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F773E"/>
    <w:multiLevelType w:val="multilevel"/>
    <w:tmpl w:val="D31E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63181"/>
    <w:multiLevelType w:val="multilevel"/>
    <w:tmpl w:val="B1D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F6C39"/>
    <w:multiLevelType w:val="multilevel"/>
    <w:tmpl w:val="09A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00D94"/>
    <w:multiLevelType w:val="multilevel"/>
    <w:tmpl w:val="3E9E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40A58"/>
    <w:multiLevelType w:val="multilevel"/>
    <w:tmpl w:val="1634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0F6EC7"/>
    <w:multiLevelType w:val="multilevel"/>
    <w:tmpl w:val="400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033185">
    <w:abstractNumId w:val="1"/>
  </w:num>
  <w:num w:numId="2" w16cid:durableId="1577129864">
    <w:abstractNumId w:val="12"/>
  </w:num>
  <w:num w:numId="3" w16cid:durableId="183180165">
    <w:abstractNumId w:val="11"/>
  </w:num>
  <w:num w:numId="4" w16cid:durableId="1520199413">
    <w:abstractNumId w:val="9"/>
  </w:num>
  <w:num w:numId="5" w16cid:durableId="1059744816">
    <w:abstractNumId w:val="3"/>
  </w:num>
  <w:num w:numId="6" w16cid:durableId="1440369391">
    <w:abstractNumId w:val="6"/>
  </w:num>
  <w:num w:numId="7" w16cid:durableId="964120774">
    <w:abstractNumId w:val="10"/>
  </w:num>
  <w:num w:numId="8" w16cid:durableId="1792361603">
    <w:abstractNumId w:val="0"/>
  </w:num>
  <w:num w:numId="9" w16cid:durableId="600335720">
    <w:abstractNumId w:val="4"/>
  </w:num>
  <w:num w:numId="10" w16cid:durableId="15354596">
    <w:abstractNumId w:val="5"/>
  </w:num>
  <w:num w:numId="11" w16cid:durableId="1936666459">
    <w:abstractNumId w:val="7"/>
  </w:num>
  <w:num w:numId="12" w16cid:durableId="1368799047">
    <w:abstractNumId w:val="2"/>
  </w:num>
  <w:num w:numId="13" w16cid:durableId="1488202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CF2"/>
    <w:rsid w:val="00063DCE"/>
    <w:rsid w:val="000B525B"/>
    <w:rsid w:val="000E5F93"/>
    <w:rsid w:val="00117E31"/>
    <w:rsid w:val="002B359F"/>
    <w:rsid w:val="0055016C"/>
    <w:rsid w:val="00550482"/>
    <w:rsid w:val="005B42CA"/>
    <w:rsid w:val="006128CE"/>
    <w:rsid w:val="00692847"/>
    <w:rsid w:val="008F4832"/>
    <w:rsid w:val="009700AB"/>
    <w:rsid w:val="00AB6C21"/>
    <w:rsid w:val="00AF3BED"/>
    <w:rsid w:val="00B50B50"/>
    <w:rsid w:val="00C86FDA"/>
    <w:rsid w:val="00D14CF2"/>
    <w:rsid w:val="00E0210A"/>
    <w:rsid w:val="00EC26F7"/>
    <w:rsid w:val="00F00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FFF3"/>
  <w15:chartTrackingRefBased/>
  <w15:docId w15:val="{ABD388EB-0EDE-4B0A-A0F0-C3DC49381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C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C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C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C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C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CF2"/>
    <w:rPr>
      <w:rFonts w:eastAsiaTheme="majorEastAsia" w:cstheme="majorBidi"/>
      <w:color w:val="272727" w:themeColor="text1" w:themeTint="D8"/>
    </w:rPr>
  </w:style>
  <w:style w:type="paragraph" w:styleId="Title">
    <w:name w:val="Title"/>
    <w:basedOn w:val="Normal"/>
    <w:next w:val="Normal"/>
    <w:link w:val="TitleChar"/>
    <w:uiPriority w:val="10"/>
    <w:qFormat/>
    <w:rsid w:val="00D14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CF2"/>
    <w:pPr>
      <w:spacing w:before="160"/>
      <w:jc w:val="center"/>
    </w:pPr>
    <w:rPr>
      <w:i/>
      <w:iCs/>
      <w:color w:val="404040" w:themeColor="text1" w:themeTint="BF"/>
    </w:rPr>
  </w:style>
  <w:style w:type="character" w:customStyle="1" w:styleId="QuoteChar">
    <w:name w:val="Quote Char"/>
    <w:basedOn w:val="DefaultParagraphFont"/>
    <w:link w:val="Quote"/>
    <w:uiPriority w:val="29"/>
    <w:rsid w:val="00D14CF2"/>
    <w:rPr>
      <w:i/>
      <w:iCs/>
      <w:color w:val="404040" w:themeColor="text1" w:themeTint="BF"/>
    </w:rPr>
  </w:style>
  <w:style w:type="paragraph" w:styleId="ListParagraph">
    <w:name w:val="List Paragraph"/>
    <w:basedOn w:val="Normal"/>
    <w:uiPriority w:val="34"/>
    <w:qFormat/>
    <w:rsid w:val="00D14CF2"/>
    <w:pPr>
      <w:ind w:left="720"/>
      <w:contextualSpacing/>
    </w:pPr>
  </w:style>
  <w:style w:type="character" w:styleId="IntenseEmphasis">
    <w:name w:val="Intense Emphasis"/>
    <w:basedOn w:val="DefaultParagraphFont"/>
    <w:uiPriority w:val="21"/>
    <w:qFormat/>
    <w:rsid w:val="00D14CF2"/>
    <w:rPr>
      <w:i/>
      <w:iCs/>
      <w:color w:val="2F5496" w:themeColor="accent1" w:themeShade="BF"/>
    </w:rPr>
  </w:style>
  <w:style w:type="paragraph" w:styleId="IntenseQuote">
    <w:name w:val="Intense Quote"/>
    <w:basedOn w:val="Normal"/>
    <w:next w:val="Normal"/>
    <w:link w:val="IntenseQuoteChar"/>
    <w:uiPriority w:val="30"/>
    <w:qFormat/>
    <w:rsid w:val="00D14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CF2"/>
    <w:rPr>
      <w:i/>
      <w:iCs/>
      <w:color w:val="2F5496" w:themeColor="accent1" w:themeShade="BF"/>
    </w:rPr>
  </w:style>
  <w:style w:type="character" w:styleId="IntenseReference">
    <w:name w:val="Intense Reference"/>
    <w:basedOn w:val="DefaultParagraphFont"/>
    <w:uiPriority w:val="32"/>
    <w:qFormat/>
    <w:rsid w:val="00D14C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jrfm15060225" TargetMode="External"/><Relationship Id="rId3" Type="http://schemas.openxmlformats.org/officeDocument/2006/relationships/settings" Target="settings.xml"/><Relationship Id="rId7" Type="http://schemas.openxmlformats.org/officeDocument/2006/relationships/hyperlink" Target="https://ontic.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accpubpol.2005.10.00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2676</TotalTime>
  <Pages>6</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Adwoa Bempomaa</dc:creator>
  <cp:keywords/>
  <dc:description/>
  <cp:lastModifiedBy>Adwoa Bempomaa</cp:lastModifiedBy>
  <cp:revision>5</cp:revision>
  <dcterms:created xsi:type="dcterms:W3CDTF">2026-03-12T03:08:00Z</dcterms:created>
  <dcterms:modified xsi:type="dcterms:W3CDTF">2026-03-15T21:51:00Z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9a09a107-c078-4ddd-9d2d-5ed9be6706ec</vt:lpwstr>
  </property>
</Properties>
</file>