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0831" w14:textId="77777777" w:rsidR="002F3321" w:rsidRPr="005B42FE" w:rsidRDefault="002F3321">
      <w:pPr>
        <w:spacing w:after="120"/>
        <w:jc w:val="center"/>
        <w:rPr>
          <w:rFonts w:asciiTheme="minorHAnsi" w:hAnsiTheme="minorHAnsi"/>
          <w:b/>
          <w:bCs/>
          <w:sz w:val="21"/>
          <w:szCs w:val="21"/>
        </w:rPr>
      </w:pPr>
    </w:p>
    <w:p w14:paraId="07000721" w14:textId="77777777" w:rsidR="002F3321" w:rsidRPr="005B42FE" w:rsidRDefault="002F3321">
      <w:pPr>
        <w:spacing w:after="120"/>
        <w:jc w:val="center"/>
        <w:rPr>
          <w:rFonts w:asciiTheme="minorHAnsi" w:hAnsiTheme="minorHAnsi"/>
          <w:b/>
          <w:bCs/>
          <w:sz w:val="21"/>
          <w:szCs w:val="21"/>
        </w:rPr>
      </w:pPr>
    </w:p>
    <w:p w14:paraId="4DBA2571" w14:textId="77777777" w:rsidR="002F3321" w:rsidRPr="005B42FE" w:rsidRDefault="002F3321">
      <w:pPr>
        <w:spacing w:after="120"/>
        <w:jc w:val="center"/>
        <w:rPr>
          <w:rFonts w:asciiTheme="minorHAnsi" w:hAnsiTheme="minorHAnsi"/>
          <w:b/>
          <w:bCs/>
          <w:sz w:val="21"/>
          <w:szCs w:val="21"/>
        </w:rPr>
      </w:pPr>
    </w:p>
    <w:p w14:paraId="72F4714C" w14:textId="77777777" w:rsidR="002F3321" w:rsidRPr="005B42FE" w:rsidRDefault="002F3321">
      <w:pPr>
        <w:spacing w:after="120"/>
        <w:jc w:val="center"/>
        <w:rPr>
          <w:rFonts w:asciiTheme="minorHAnsi" w:hAnsiTheme="minorHAnsi"/>
          <w:b/>
          <w:bCs/>
          <w:sz w:val="21"/>
          <w:szCs w:val="21"/>
        </w:rPr>
      </w:pPr>
    </w:p>
    <w:p w14:paraId="2B02566B" w14:textId="793B4C8B" w:rsidR="00D45547" w:rsidRPr="005B42FE" w:rsidRDefault="00D45547">
      <w:pPr>
        <w:spacing w:after="120"/>
        <w:jc w:val="center"/>
        <w:rPr>
          <w:rFonts w:asciiTheme="minorHAnsi" w:hAnsiTheme="minorHAnsi"/>
          <w:b/>
          <w:bCs/>
          <w:sz w:val="21"/>
          <w:szCs w:val="21"/>
        </w:rPr>
      </w:pPr>
      <w:r w:rsidRPr="005B42FE">
        <w:rPr>
          <w:rFonts w:asciiTheme="minorHAnsi" w:hAnsiTheme="minorHAnsi"/>
          <w:noProof/>
          <w:color w:val="0F9ED5" w:themeColor="accent4"/>
          <w:sz w:val="22"/>
          <w:szCs w:val="22"/>
        </w:rPr>
        <w:drawing>
          <wp:inline distT="0" distB="0" distL="0" distR="0" wp14:anchorId="248F4E18" wp14:editId="06E8F813">
            <wp:extent cx="3423684" cy="3423684"/>
            <wp:effectExtent l="0" t="0" r="5715" b="5715"/>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4369" cy="3634369"/>
                    </a:xfrm>
                    <a:prstGeom prst="rect">
                      <a:avLst/>
                    </a:prstGeom>
                    <a:noFill/>
                    <a:ln>
                      <a:noFill/>
                    </a:ln>
                  </pic:spPr>
                </pic:pic>
              </a:graphicData>
            </a:graphic>
          </wp:inline>
        </w:drawing>
      </w:r>
    </w:p>
    <w:p w14:paraId="262A2A26" w14:textId="77777777" w:rsidR="00D45547" w:rsidRPr="005B42FE" w:rsidRDefault="00D45547">
      <w:pPr>
        <w:spacing w:after="120"/>
        <w:jc w:val="center"/>
        <w:rPr>
          <w:rFonts w:asciiTheme="minorHAnsi" w:hAnsiTheme="minorHAnsi"/>
          <w:b/>
          <w:bCs/>
          <w:sz w:val="21"/>
          <w:szCs w:val="21"/>
        </w:rPr>
      </w:pPr>
    </w:p>
    <w:p w14:paraId="251A45D2" w14:textId="33F61E9E" w:rsidR="00D45547" w:rsidRPr="005B42FE" w:rsidRDefault="00D45547" w:rsidP="009345F5">
      <w:pPr>
        <w:spacing w:after="120"/>
        <w:rPr>
          <w:rFonts w:asciiTheme="minorHAnsi" w:hAnsiTheme="minorHAnsi"/>
          <w:b/>
          <w:bCs/>
          <w:sz w:val="21"/>
          <w:szCs w:val="21"/>
        </w:rPr>
      </w:pPr>
    </w:p>
    <w:p w14:paraId="684275F0" w14:textId="77777777" w:rsidR="00D45547" w:rsidRPr="005B42FE" w:rsidRDefault="00D45547" w:rsidP="00D45547">
      <w:pPr>
        <w:jc w:val="center"/>
        <w:rPr>
          <w:rFonts w:asciiTheme="minorHAnsi" w:hAnsiTheme="minorHAnsi"/>
          <w:sz w:val="28"/>
          <w:szCs w:val="28"/>
        </w:rPr>
      </w:pPr>
      <w:r w:rsidRPr="005B42FE">
        <w:rPr>
          <w:rFonts w:asciiTheme="minorHAnsi" w:hAnsiTheme="minorHAnsi"/>
          <w:b/>
          <w:bCs/>
          <w:color w:val="2E4057"/>
          <w:sz w:val="28"/>
          <w:szCs w:val="28"/>
        </w:rPr>
        <w:t>ALY6130 - Risk Management Analytics</w:t>
      </w:r>
    </w:p>
    <w:p w14:paraId="58B360F0" w14:textId="77777777" w:rsidR="00D45547" w:rsidRPr="005B42FE" w:rsidRDefault="00D45547" w:rsidP="00D45547">
      <w:pPr>
        <w:jc w:val="center"/>
        <w:rPr>
          <w:rFonts w:asciiTheme="minorHAnsi" w:hAnsiTheme="minorHAnsi"/>
          <w:sz w:val="28"/>
          <w:szCs w:val="28"/>
        </w:rPr>
      </w:pPr>
      <w:r w:rsidRPr="005B42FE">
        <w:rPr>
          <w:rFonts w:asciiTheme="minorHAnsi" w:hAnsiTheme="minorHAnsi"/>
          <w:b/>
          <w:bCs/>
          <w:color w:val="2E4057"/>
          <w:sz w:val="28"/>
          <w:szCs w:val="28"/>
        </w:rPr>
        <w:t>Module 4: Risk Assessment</w:t>
      </w:r>
    </w:p>
    <w:p w14:paraId="714B6DBF" w14:textId="1AAB0BC4" w:rsidR="009345F5" w:rsidRPr="005B42FE" w:rsidRDefault="009345F5" w:rsidP="009345F5">
      <w:pPr>
        <w:spacing w:after="120"/>
        <w:jc w:val="center"/>
        <w:rPr>
          <w:rFonts w:asciiTheme="minorHAnsi" w:hAnsiTheme="minorHAnsi"/>
          <w:b/>
          <w:bCs/>
          <w:sz w:val="21"/>
          <w:szCs w:val="21"/>
        </w:rPr>
      </w:pPr>
    </w:p>
    <w:p w14:paraId="27F5AA50" w14:textId="77777777" w:rsidR="009345F5" w:rsidRPr="005B42FE" w:rsidRDefault="009345F5" w:rsidP="009345F5">
      <w:pPr>
        <w:spacing w:after="120"/>
        <w:jc w:val="center"/>
        <w:rPr>
          <w:rFonts w:asciiTheme="minorHAnsi" w:hAnsiTheme="minorHAnsi"/>
          <w:b/>
          <w:bCs/>
          <w:sz w:val="21"/>
          <w:szCs w:val="21"/>
        </w:rPr>
      </w:pPr>
    </w:p>
    <w:p w14:paraId="3E38D7B8" w14:textId="0287B39E" w:rsidR="0089615B" w:rsidRPr="005B42FE" w:rsidRDefault="00000000" w:rsidP="00D45547">
      <w:pPr>
        <w:spacing w:after="160" w:line="278" w:lineRule="auto"/>
        <w:jc w:val="center"/>
        <w:rPr>
          <w:rFonts w:asciiTheme="minorHAnsi" w:eastAsiaTheme="minorHAnsi" w:hAnsiTheme="minorHAnsi" w:cstheme="minorBidi"/>
          <w:b/>
          <w:bCs/>
          <w:i/>
          <w:iCs/>
          <w:color w:val="BF4E14" w:themeColor="accent2" w:themeShade="BF"/>
          <w:kern w:val="2"/>
          <w:sz w:val="22"/>
          <w:szCs w:val="22"/>
          <w:lang w:val="en-US"/>
          <w14:ligatures w14:val="standardContextual"/>
        </w:rPr>
      </w:pPr>
      <w:r w:rsidRPr="005B42FE">
        <w:rPr>
          <w:rFonts w:asciiTheme="minorHAnsi" w:eastAsiaTheme="minorHAnsi" w:hAnsiTheme="minorHAnsi" w:cstheme="minorBidi"/>
          <w:b/>
          <w:bCs/>
          <w:i/>
          <w:iCs/>
          <w:color w:val="BF4E14" w:themeColor="accent2" w:themeShade="BF"/>
          <w:kern w:val="2"/>
          <w:sz w:val="22"/>
          <w:szCs w:val="22"/>
          <w:lang w:val="en-US"/>
          <w14:ligatures w14:val="standardContextual"/>
        </w:rPr>
        <w:t>Quantitative Risk Assessment Using Indicators &amp; Warning (I&amp;W) Analysis</w:t>
      </w:r>
    </w:p>
    <w:p w14:paraId="25B88E6E" w14:textId="77777777" w:rsidR="0089615B" w:rsidRPr="005B42FE" w:rsidRDefault="00000000"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r w:rsidRPr="005B42FE">
        <w:rPr>
          <w:rFonts w:asciiTheme="minorHAnsi" w:eastAsiaTheme="minorHAnsi" w:hAnsiTheme="minorHAnsi" w:cstheme="minorBidi"/>
          <w:color w:val="666666"/>
          <w:kern w:val="2"/>
          <w:sz w:val="20"/>
          <w:szCs w:val="20"/>
          <w:lang w:val="en-US"/>
          <w14:ligatures w14:val="standardContextual"/>
        </w:rPr>
        <w:t>ServiceNow-Armis Acquisition: Competitive Risk Assessment</w:t>
      </w:r>
    </w:p>
    <w:p w14:paraId="324A620C" w14:textId="77777777" w:rsidR="009345F5" w:rsidRPr="005B42FE" w:rsidRDefault="00000000"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r w:rsidRPr="005B42FE">
        <w:rPr>
          <w:rFonts w:asciiTheme="minorHAnsi" w:eastAsiaTheme="minorHAnsi" w:hAnsiTheme="minorHAnsi" w:cstheme="minorBidi"/>
          <w:color w:val="666666"/>
          <w:kern w:val="2"/>
          <w:sz w:val="20"/>
          <w:szCs w:val="20"/>
          <w:lang w:val="en-US"/>
          <w14:ligatures w14:val="standardContextual"/>
        </w:rPr>
        <w:t>ALY 6130 Enterprise Risk Analytics | Group 4 | March 2026</w:t>
      </w:r>
      <w:r w:rsidR="00D45547" w:rsidRPr="005B42FE">
        <w:rPr>
          <w:rFonts w:asciiTheme="minorHAnsi" w:eastAsiaTheme="minorHAnsi" w:hAnsiTheme="minorHAnsi" w:cstheme="minorBidi"/>
          <w:color w:val="666666"/>
          <w:kern w:val="2"/>
          <w:sz w:val="20"/>
          <w:szCs w:val="20"/>
          <w:lang w:val="en-US"/>
          <w14:ligatures w14:val="standardContextual"/>
        </w:rPr>
        <w:br/>
      </w:r>
    </w:p>
    <w:p w14:paraId="434BBBE7" w14:textId="16937709" w:rsidR="00D45547" w:rsidRPr="005B42FE" w:rsidRDefault="00D45547"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r w:rsidRPr="005B42FE">
        <w:rPr>
          <w:rFonts w:asciiTheme="minorHAnsi" w:eastAsiaTheme="minorHAnsi" w:hAnsiTheme="minorHAnsi" w:cstheme="minorBidi"/>
          <w:color w:val="666666"/>
          <w:kern w:val="2"/>
          <w:sz w:val="20"/>
          <w:szCs w:val="20"/>
          <w:lang w:val="en-US"/>
          <w14:ligatures w14:val="standardContextual"/>
        </w:rPr>
        <w:br/>
      </w:r>
      <w:r w:rsidRPr="005B42FE">
        <w:rPr>
          <w:rFonts w:asciiTheme="minorHAnsi" w:eastAsiaTheme="minorHAnsi" w:hAnsiTheme="minorHAnsi" w:cstheme="minorBidi"/>
          <w:color w:val="666666"/>
          <w:kern w:val="2"/>
          <w:sz w:val="20"/>
          <w:szCs w:val="20"/>
          <w:lang w:val="en-US"/>
          <w14:ligatures w14:val="standardContextual"/>
        </w:rPr>
        <w:br/>
      </w:r>
      <w:r w:rsidRPr="005B42FE">
        <w:rPr>
          <w:rFonts w:asciiTheme="minorHAnsi" w:eastAsiaTheme="minorHAnsi" w:hAnsiTheme="minorHAnsi" w:cstheme="minorBidi"/>
          <w:color w:val="000000" w:themeColor="text1"/>
          <w:kern w:val="2"/>
          <w:sz w:val="20"/>
          <w:szCs w:val="20"/>
          <w:lang w:val="en-US"/>
          <w14:ligatures w14:val="standardContextual"/>
        </w:rPr>
        <w:t>Group 4: Adwoa Bempomaa, Sara Mathai, Lawrence Dass</w:t>
      </w:r>
    </w:p>
    <w:p w14:paraId="343CCA9C" w14:textId="4B74602A" w:rsidR="0089615B" w:rsidRPr="005B42FE" w:rsidRDefault="00D45547"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r w:rsidRPr="005B42FE">
        <w:rPr>
          <w:rFonts w:asciiTheme="minorHAnsi" w:eastAsiaTheme="minorHAnsi" w:hAnsiTheme="minorHAnsi" w:cstheme="minorBidi"/>
          <w:color w:val="666666"/>
          <w:kern w:val="2"/>
          <w:sz w:val="20"/>
          <w:szCs w:val="20"/>
          <w:lang w:val="en-US"/>
          <w14:ligatures w14:val="standardContextual"/>
        </w:rPr>
        <w:t>Northeastern University Vancouver | College of Professional Studies</w:t>
      </w:r>
    </w:p>
    <w:p w14:paraId="0DF322E1" w14:textId="77777777" w:rsidR="00D45547" w:rsidRPr="005B42FE" w:rsidRDefault="00D45547"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p>
    <w:p w14:paraId="678A4BE3" w14:textId="77777777" w:rsidR="00D45547" w:rsidRPr="005B42FE" w:rsidRDefault="00D45547"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p>
    <w:p w14:paraId="15B85F7E" w14:textId="77777777" w:rsidR="002F3321" w:rsidRPr="005B42FE" w:rsidRDefault="002F3321" w:rsidP="002F3321">
      <w:pPr>
        <w:spacing w:line="278" w:lineRule="auto"/>
        <w:rPr>
          <w:rFonts w:asciiTheme="minorHAnsi" w:eastAsiaTheme="minorHAnsi" w:hAnsiTheme="minorHAnsi" w:cstheme="minorBidi"/>
          <w:color w:val="666666"/>
          <w:kern w:val="2"/>
          <w:sz w:val="20"/>
          <w:szCs w:val="20"/>
          <w:lang w:val="en-US"/>
          <w14:ligatures w14:val="standardContextual"/>
        </w:rPr>
      </w:pPr>
    </w:p>
    <w:p w14:paraId="4A744618" w14:textId="77777777" w:rsidR="00D45547" w:rsidRPr="005B42FE" w:rsidRDefault="00D45547"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p>
    <w:p w14:paraId="2F038606" w14:textId="77777777" w:rsidR="00186EE9" w:rsidRPr="005B42FE" w:rsidRDefault="00186EE9"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p>
    <w:p w14:paraId="769AAEDB" w14:textId="77777777" w:rsidR="00186EE9" w:rsidRPr="005B42FE" w:rsidRDefault="00186EE9"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p>
    <w:p w14:paraId="09A44CAA" w14:textId="77777777" w:rsidR="00D45547" w:rsidRPr="005B42FE" w:rsidRDefault="00D45547" w:rsidP="00D45547">
      <w:pPr>
        <w:spacing w:line="278" w:lineRule="auto"/>
        <w:jc w:val="center"/>
        <w:rPr>
          <w:rFonts w:asciiTheme="minorHAnsi" w:eastAsiaTheme="minorHAnsi" w:hAnsiTheme="minorHAnsi" w:cstheme="minorBidi"/>
          <w:color w:val="666666"/>
          <w:kern w:val="2"/>
          <w:sz w:val="20"/>
          <w:szCs w:val="20"/>
          <w:lang w:val="en-US"/>
          <w14:ligatures w14:val="standardContextual"/>
        </w:rPr>
      </w:pPr>
    </w:p>
    <w:p w14:paraId="59A08723" w14:textId="7AD4764F" w:rsidR="00D45547" w:rsidRPr="005B42FE" w:rsidRDefault="00D45547" w:rsidP="00D45547">
      <w:pPr>
        <w:spacing w:line="278" w:lineRule="auto"/>
        <w:rPr>
          <w:rFonts w:asciiTheme="minorHAnsi" w:eastAsiaTheme="minorHAnsi" w:hAnsiTheme="minorHAnsi" w:cstheme="minorBidi"/>
          <w:color w:val="000000" w:themeColor="text1"/>
          <w:kern w:val="2"/>
          <w:sz w:val="20"/>
          <w:szCs w:val="20"/>
          <w:lang w:val="en-US"/>
          <w14:ligatures w14:val="standardContextual"/>
        </w:rPr>
      </w:pPr>
      <w:r w:rsidRPr="005B42FE">
        <w:rPr>
          <w:rFonts w:asciiTheme="minorHAnsi" w:eastAsiaTheme="minorHAnsi" w:hAnsiTheme="minorHAnsi" w:cstheme="minorBidi"/>
          <w:color w:val="000000" w:themeColor="text1"/>
          <w:kern w:val="2"/>
          <w:sz w:val="20"/>
          <w:szCs w:val="20"/>
          <w:lang w:val="en-US"/>
          <w14:ligatures w14:val="standardContextual"/>
        </w:rPr>
        <w:t>Date: 18th March 2026</w:t>
      </w:r>
    </w:p>
    <w:p w14:paraId="136ED623" w14:textId="4CB55FB7" w:rsidR="00E77D38" w:rsidRPr="005B42FE" w:rsidRDefault="00E77D38" w:rsidP="00E77D38">
      <w:pPr>
        <w:pStyle w:val="Heading1"/>
        <w:rPr>
          <w:rFonts w:asciiTheme="minorHAnsi" w:hAnsiTheme="minorHAnsi"/>
          <w:sz w:val="24"/>
          <w:szCs w:val="24"/>
        </w:rPr>
      </w:pPr>
      <w:r w:rsidRPr="005B42FE">
        <w:rPr>
          <w:rFonts w:asciiTheme="minorHAnsi" w:hAnsiTheme="minorHAnsi"/>
          <w:sz w:val="24"/>
          <w:szCs w:val="24"/>
        </w:rPr>
        <w:lastRenderedPageBreak/>
        <w:t>1. Introduction and Method Selection Rationale</w:t>
      </w:r>
    </w:p>
    <w:p w14:paraId="1E19B0DE" w14:textId="77777777" w:rsidR="00E77D38" w:rsidRPr="005B42FE" w:rsidRDefault="00E77D38" w:rsidP="00E77D38">
      <w:pPr>
        <w:spacing w:after="120"/>
        <w:rPr>
          <w:rFonts w:asciiTheme="minorHAnsi" w:hAnsiTheme="minorHAnsi"/>
          <w:sz w:val="22"/>
          <w:szCs w:val="22"/>
        </w:rPr>
      </w:pPr>
      <w:r w:rsidRPr="005B42FE">
        <w:rPr>
          <w:rFonts w:asciiTheme="minorHAnsi" w:hAnsiTheme="minorHAnsi"/>
          <w:sz w:val="22"/>
          <w:szCs w:val="22"/>
        </w:rPr>
        <w:t xml:space="preserve">This report quantitatively assesses three competitive risks identified in ServiceNow's $7.75 billion acquisition of Armis using the </w:t>
      </w:r>
      <w:r w:rsidRPr="005B42FE">
        <w:rPr>
          <w:rFonts w:asciiTheme="minorHAnsi" w:hAnsiTheme="minorHAnsi"/>
          <w:b/>
          <w:bCs/>
          <w:sz w:val="22"/>
          <w:szCs w:val="22"/>
        </w:rPr>
        <w:t>Indicators and Warning (I&amp;W) analysis technique</w:t>
      </w:r>
      <w:r w:rsidRPr="005B42FE">
        <w:rPr>
          <w:rFonts w:asciiTheme="minorHAnsi" w:hAnsiTheme="minorHAnsi"/>
          <w:sz w:val="22"/>
          <w:szCs w:val="22"/>
        </w:rPr>
        <w:t>. The I&amp;W framework was selected because it translates qualitative risk assessments into measurable Key Risk Indicators (KRIs) with quantitative Green/Amber/Red thresholds, enabling continuous monitoring and early warning detection (</w:t>
      </w:r>
      <w:proofErr w:type="spellStart"/>
      <w:r w:rsidRPr="005B42FE">
        <w:rPr>
          <w:rFonts w:asciiTheme="minorHAnsi" w:hAnsiTheme="minorHAnsi"/>
          <w:sz w:val="22"/>
          <w:szCs w:val="22"/>
        </w:rPr>
        <w:t>Jalilvand</w:t>
      </w:r>
      <w:proofErr w:type="spellEnd"/>
      <w:r w:rsidRPr="005B42FE">
        <w:rPr>
          <w:rFonts w:asciiTheme="minorHAnsi" w:hAnsiTheme="minorHAnsi"/>
          <w:sz w:val="22"/>
          <w:szCs w:val="22"/>
        </w:rPr>
        <w:t xml:space="preserve"> &amp; Moorthy, 2023).</w:t>
      </w:r>
    </w:p>
    <w:p w14:paraId="5AA2F84F" w14:textId="77777777" w:rsidR="00E77D38" w:rsidRPr="005B42FE" w:rsidRDefault="00E77D38" w:rsidP="00E77D38">
      <w:pPr>
        <w:spacing w:after="120"/>
        <w:rPr>
          <w:rFonts w:asciiTheme="minorHAnsi" w:hAnsiTheme="minorHAnsi"/>
          <w:sz w:val="22"/>
          <w:szCs w:val="22"/>
        </w:rPr>
      </w:pPr>
      <w:r w:rsidRPr="005B42FE">
        <w:rPr>
          <w:rFonts w:asciiTheme="minorHAnsi" w:hAnsiTheme="minorHAnsi"/>
          <w:b/>
          <w:bCs/>
          <w:sz w:val="22"/>
          <w:szCs w:val="22"/>
        </w:rPr>
        <w:t xml:space="preserve">Why I&amp;W Analysis: </w:t>
      </w:r>
      <w:r w:rsidRPr="005B42FE">
        <w:rPr>
          <w:rFonts w:asciiTheme="minorHAnsi" w:hAnsiTheme="minorHAnsi"/>
          <w:sz w:val="22"/>
          <w:szCs w:val="22"/>
        </w:rPr>
        <w:t xml:space="preserve">The I&amp;W technique is particularly appropriate for competitive risks because it establishes leading indicators that signal risk escalation before financial impacts materialize. This approach aligns with the Decision Tree Analysis principle where </w:t>
      </w:r>
      <w:r w:rsidRPr="005B42FE">
        <w:rPr>
          <w:rFonts w:asciiTheme="minorHAnsi" w:hAnsiTheme="minorHAnsi"/>
          <w:i/>
          <w:iCs/>
          <w:sz w:val="22"/>
          <w:szCs w:val="22"/>
        </w:rPr>
        <w:t>Expected Value = Probability of Occurrence × Impact</w:t>
      </w:r>
      <w:r w:rsidRPr="005B42FE">
        <w:rPr>
          <w:rFonts w:asciiTheme="minorHAnsi" w:hAnsiTheme="minorHAnsi"/>
          <w:sz w:val="22"/>
          <w:szCs w:val="22"/>
        </w:rPr>
        <w:t xml:space="preserve"> (MindTools, 2024). The I&amp;W framework is complemented by Monte Carlo simulation (10,000 iterations) to model uncertainty and Random Forest machine learning (trained on 500 synthetic observations) to predict risk escalation patterns. The three risks assessed in this analysis are consistent with the high-priority risks identified in the Module 3 Risk Assessment, ensuring continuity between qualitative and quantitative evaluation.</w:t>
      </w:r>
    </w:p>
    <w:p w14:paraId="391CC95D" w14:textId="77777777" w:rsidR="00E77D38" w:rsidRPr="005B42FE" w:rsidRDefault="00E77D38" w:rsidP="00E77D38">
      <w:pPr>
        <w:pStyle w:val="Heading1"/>
        <w:rPr>
          <w:rFonts w:asciiTheme="minorHAnsi" w:hAnsiTheme="minorHAnsi"/>
          <w:sz w:val="24"/>
          <w:szCs w:val="24"/>
        </w:rPr>
      </w:pPr>
      <w:r w:rsidRPr="005B42FE">
        <w:rPr>
          <w:rFonts w:asciiTheme="minorHAnsi" w:hAnsiTheme="minorHAnsi"/>
          <w:sz w:val="24"/>
          <w:szCs w:val="24"/>
        </w:rPr>
        <w:t>2. I&amp;W Framework Implementation Steps</w:t>
      </w:r>
    </w:p>
    <w:p w14:paraId="2065C662"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b/>
          <w:bCs/>
          <w:sz w:val="22"/>
          <w:szCs w:val="22"/>
        </w:rPr>
        <w:t>Step 1: Define Key Risk Indicators (KRIs) with Thresholds</w:t>
      </w:r>
    </w:p>
    <w:p w14:paraId="7B787005" w14:textId="77777777" w:rsidR="00E77D38" w:rsidRPr="005B42FE" w:rsidRDefault="00E77D38" w:rsidP="00E77D38">
      <w:pPr>
        <w:spacing w:after="100"/>
        <w:rPr>
          <w:rFonts w:asciiTheme="minorHAnsi" w:hAnsiTheme="minorHAnsi"/>
          <w:sz w:val="22"/>
          <w:szCs w:val="22"/>
        </w:rPr>
      </w:pPr>
      <w:r w:rsidRPr="005B42FE">
        <w:rPr>
          <w:rFonts w:asciiTheme="minorHAnsi" w:hAnsiTheme="minorHAnsi"/>
          <w:sz w:val="22"/>
          <w:szCs w:val="22"/>
        </w:rPr>
        <w:t>Each risk was assigned a leading indicator metric with Green/Amber/Red thresholds based on their causal relationship to risk outcomes. These thresholds were set as management action thresholds to distinguish normal variation from early warning conditions that would require intervention:</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260"/>
        <w:gridCol w:w="1276"/>
        <w:gridCol w:w="1701"/>
        <w:gridCol w:w="1417"/>
      </w:tblGrid>
      <w:tr w:rsidR="00E77D38" w:rsidRPr="005B42FE" w14:paraId="22F20A5D" w14:textId="77777777" w:rsidTr="005B42FE">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2E5090"/>
          </w:tcPr>
          <w:p w14:paraId="566E6886" w14:textId="77777777" w:rsidR="00E77D38" w:rsidRPr="005B42FE" w:rsidRDefault="00E77D38" w:rsidP="00376DBB">
            <w:pPr>
              <w:rPr>
                <w:rFonts w:asciiTheme="minorHAnsi" w:hAnsiTheme="minorHAnsi"/>
                <w:sz w:val="22"/>
                <w:szCs w:val="22"/>
              </w:rPr>
            </w:pPr>
            <w:r w:rsidRPr="005B42FE">
              <w:rPr>
                <w:rFonts w:asciiTheme="minorHAnsi" w:hAnsiTheme="minorHAnsi"/>
                <w:b/>
                <w:bCs/>
                <w:color w:val="FFFFFF"/>
                <w:sz w:val="18"/>
                <w:szCs w:val="18"/>
              </w:rPr>
              <w:t>Risk</w:t>
            </w:r>
          </w:p>
        </w:tc>
        <w:tc>
          <w:tcPr>
            <w:tcW w:w="3260" w:type="dxa"/>
            <w:tcBorders>
              <w:top w:val="single" w:sz="1" w:space="0" w:color="CCCCCC"/>
              <w:left w:val="single" w:sz="1" w:space="0" w:color="CCCCCC"/>
              <w:bottom w:val="single" w:sz="1" w:space="0" w:color="CCCCCC"/>
              <w:right w:val="single" w:sz="1" w:space="0" w:color="CCCCCC"/>
            </w:tcBorders>
            <w:shd w:val="clear" w:color="auto" w:fill="2E5090"/>
          </w:tcPr>
          <w:p w14:paraId="64ACCE7E" w14:textId="77777777" w:rsidR="00E77D38" w:rsidRPr="005B42FE" w:rsidRDefault="00E77D38" w:rsidP="00376DBB">
            <w:pPr>
              <w:rPr>
                <w:rFonts w:asciiTheme="minorHAnsi" w:hAnsiTheme="minorHAnsi"/>
                <w:sz w:val="22"/>
                <w:szCs w:val="22"/>
              </w:rPr>
            </w:pPr>
            <w:r w:rsidRPr="005B42FE">
              <w:rPr>
                <w:rFonts w:asciiTheme="minorHAnsi" w:hAnsiTheme="minorHAnsi"/>
                <w:b/>
                <w:bCs/>
                <w:color w:val="FFFFFF"/>
                <w:sz w:val="18"/>
                <w:szCs w:val="18"/>
              </w:rPr>
              <w:t>KRI Metric</w:t>
            </w:r>
          </w:p>
        </w:tc>
        <w:tc>
          <w:tcPr>
            <w:tcW w:w="1276" w:type="dxa"/>
            <w:tcBorders>
              <w:top w:val="single" w:sz="1" w:space="0" w:color="CCCCCC"/>
              <w:left w:val="single" w:sz="1" w:space="0" w:color="CCCCCC"/>
              <w:bottom w:val="single" w:sz="1" w:space="0" w:color="CCCCCC"/>
              <w:right w:val="single" w:sz="1" w:space="0" w:color="CCCCCC"/>
            </w:tcBorders>
            <w:shd w:val="clear" w:color="auto" w:fill="2E5090"/>
          </w:tcPr>
          <w:p w14:paraId="547AB49A"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Green</w:t>
            </w:r>
          </w:p>
        </w:tc>
        <w:tc>
          <w:tcPr>
            <w:tcW w:w="1701" w:type="dxa"/>
            <w:tcBorders>
              <w:top w:val="single" w:sz="1" w:space="0" w:color="CCCCCC"/>
              <w:left w:val="single" w:sz="1" w:space="0" w:color="CCCCCC"/>
              <w:bottom w:val="single" w:sz="1" w:space="0" w:color="CCCCCC"/>
              <w:right w:val="single" w:sz="1" w:space="0" w:color="CCCCCC"/>
            </w:tcBorders>
            <w:shd w:val="clear" w:color="auto" w:fill="2E5090"/>
          </w:tcPr>
          <w:p w14:paraId="026F6951"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Amber</w:t>
            </w:r>
          </w:p>
        </w:tc>
        <w:tc>
          <w:tcPr>
            <w:tcW w:w="1417" w:type="dxa"/>
            <w:tcBorders>
              <w:top w:val="single" w:sz="1" w:space="0" w:color="CCCCCC"/>
              <w:left w:val="single" w:sz="1" w:space="0" w:color="CCCCCC"/>
              <w:bottom w:val="single" w:sz="1" w:space="0" w:color="CCCCCC"/>
              <w:right w:val="single" w:sz="1" w:space="0" w:color="CCCCCC"/>
            </w:tcBorders>
            <w:shd w:val="clear" w:color="auto" w:fill="2E5090"/>
          </w:tcPr>
          <w:p w14:paraId="0727F516"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Red</w:t>
            </w:r>
          </w:p>
        </w:tc>
      </w:tr>
      <w:tr w:rsidR="00E77D38" w:rsidRPr="005B42FE" w14:paraId="58A92B80" w14:textId="77777777" w:rsidTr="005B42FE">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Pr>
          <w:p w14:paraId="3A845330"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Risk 1: Competitive Displacement</w:t>
            </w:r>
          </w:p>
        </w:tc>
        <w:tc>
          <w:tcPr>
            <w:tcW w:w="3260" w:type="dxa"/>
            <w:tcBorders>
              <w:top w:val="single" w:sz="1" w:space="0" w:color="CCCCCC"/>
              <w:left w:val="single" w:sz="1" w:space="0" w:color="CCCCCC"/>
              <w:bottom w:val="single" w:sz="1" w:space="0" w:color="CCCCCC"/>
              <w:right w:val="single" w:sz="1" w:space="0" w:color="CCCCCC"/>
            </w:tcBorders>
          </w:tcPr>
          <w:p w14:paraId="017838FD"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Win Rate in OT/IoT Deals</w:t>
            </w:r>
          </w:p>
        </w:tc>
        <w:tc>
          <w:tcPr>
            <w:tcW w:w="1276" w:type="dxa"/>
            <w:tcBorders>
              <w:top w:val="single" w:sz="1" w:space="0" w:color="CCCCCC"/>
              <w:left w:val="single" w:sz="1" w:space="0" w:color="CCCCCC"/>
              <w:bottom w:val="single" w:sz="1" w:space="0" w:color="CCCCCC"/>
              <w:right w:val="single" w:sz="1" w:space="0" w:color="CCCCCC"/>
            </w:tcBorders>
            <w:shd w:val="clear" w:color="auto" w:fill="D5F5E3"/>
          </w:tcPr>
          <w:p w14:paraId="7C2EE3ED"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&gt;35%</w:t>
            </w:r>
          </w:p>
        </w:tc>
        <w:tc>
          <w:tcPr>
            <w:tcW w:w="1701" w:type="dxa"/>
            <w:tcBorders>
              <w:top w:val="single" w:sz="1" w:space="0" w:color="CCCCCC"/>
              <w:left w:val="single" w:sz="1" w:space="0" w:color="CCCCCC"/>
              <w:bottom w:val="single" w:sz="1" w:space="0" w:color="CCCCCC"/>
              <w:right w:val="single" w:sz="1" w:space="0" w:color="CCCCCC"/>
            </w:tcBorders>
            <w:shd w:val="clear" w:color="auto" w:fill="FCF3CF"/>
          </w:tcPr>
          <w:p w14:paraId="2DEAE6C6"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25-35%</w:t>
            </w:r>
          </w:p>
        </w:tc>
        <w:tc>
          <w:tcPr>
            <w:tcW w:w="1417" w:type="dxa"/>
            <w:tcBorders>
              <w:top w:val="single" w:sz="1" w:space="0" w:color="CCCCCC"/>
              <w:left w:val="single" w:sz="1" w:space="0" w:color="CCCCCC"/>
              <w:bottom w:val="single" w:sz="1" w:space="0" w:color="CCCCCC"/>
              <w:right w:val="single" w:sz="1" w:space="0" w:color="CCCCCC"/>
            </w:tcBorders>
            <w:shd w:val="clear" w:color="auto" w:fill="FADBD8"/>
          </w:tcPr>
          <w:p w14:paraId="27A3F98C"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&lt;25%</w:t>
            </w:r>
          </w:p>
        </w:tc>
      </w:tr>
      <w:tr w:rsidR="00E77D38" w:rsidRPr="005B42FE" w14:paraId="0C912C7C" w14:textId="77777777" w:rsidTr="005B42FE">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F5F5F5"/>
          </w:tcPr>
          <w:p w14:paraId="6CF6BDD1"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Risk 2: AI Platform Convergence</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Pr>
          <w:p w14:paraId="50DCDF7B"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AI Capability Gap Index</w:t>
            </w:r>
          </w:p>
        </w:tc>
        <w:tc>
          <w:tcPr>
            <w:tcW w:w="1276" w:type="dxa"/>
            <w:tcBorders>
              <w:top w:val="single" w:sz="1" w:space="0" w:color="CCCCCC"/>
              <w:left w:val="single" w:sz="1" w:space="0" w:color="CCCCCC"/>
              <w:bottom w:val="single" w:sz="1" w:space="0" w:color="CCCCCC"/>
              <w:right w:val="single" w:sz="1" w:space="0" w:color="CCCCCC"/>
            </w:tcBorders>
            <w:shd w:val="clear" w:color="auto" w:fill="D5F5E3"/>
          </w:tcPr>
          <w:p w14:paraId="44764262"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≥85%</w:t>
            </w:r>
          </w:p>
        </w:tc>
        <w:tc>
          <w:tcPr>
            <w:tcW w:w="1701" w:type="dxa"/>
            <w:tcBorders>
              <w:top w:val="single" w:sz="1" w:space="0" w:color="CCCCCC"/>
              <w:left w:val="single" w:sz="1" w:space="0" w:color="CCCCCC"/>
              <w:bottom w:val="single" w:sz="1" w:space="0" w:color="CCCCCC"/>
              <w:right w:val="single" w:sz="1" w:space="0" w:color="CCCCCC"/>
            </w:tcBorders>
            <w:shd w:val="clear" w:color="auto" w:fill="FCF3CF"/>
          </w:tcPr>
          <w:p w14:paraId="07DD7522"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70-84%</w:t>
            </w:r>
          </w:p>
        </w:tc>
        <w:tc>
          <w:tcPr>
            <w:tcW w:w="1417" w:type="dxa"/>
            <w:tcBorders>
              <w:top w:val="single" w:sz="1" w:space="0" w:color="CCCCCC"/>
              <w:left w:val="single" w:sz="1" w:space="0" w:color="CCCCCC"/>
              <w:bottom w:val="single" w:sz="1" w:space="0" w:color="CCCCCC"/>
              <w:right w:val="single" w:sz="1" w:space="0" w:color="CCCCCC"/>
            </w:tcBorders>
            <w:shd w:val="clear" w:color="auto" w:fill="FADBD8"/>
          </w:tcPr>
          <w:p w14:paraId="55E3506C"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&lt;70%</w:t>
            </w:r>
          </w:p>
        </w:tc>
      </w:tr>
      <w:tr w:rsidR="00E77D38" w:rsidRPr="005B42FE" w14:paraId="6981BCFE" w14:textId="77777777" w:rsidTr="005B42FE">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Pr>
          <w:p w14:paraId="38643E14"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Risk 3: Regulatory Tailwinds (+)</w:t>
            </w:r>
          </w:p>
        </w:tc>
        <w:tc>
          <w:tcPr>
            <w:tcW w:w="3260" w:type="dxa"/>
            <w:tcBorders>
              <w:top w:val="single" w:sz="1" w:space="0" w:color="CCCCCC"/>
              <w:left w:val="single" w:sz="1" w:space="0" w:color="CCCCCC"/>
              <w:bottom w:val="single" w:sz="1" w:space="0" w:color="CCCCCC"/>
              <w:right w:val="single" w:sz="1" w:space="0" w:color="CCCCCC"/>
            </w:tcBorders>
          </w:tcPr>
          <w:p w14:paraId="78AE6578"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Pipeline Growth Rate QoQ</w:t>
            </w:r>
          </w:p>
        </w:tc>
        <w:tc>
          <w:tcPr>
            <w:tcW w:w="1276" w:type="dxa"/>
            <w:tcBorders>
              <w:top w:val="single" w:sz="1" w:space="0" w:color="CCCCCC"/>
              <w:left w:val="single" w:sz="1" w:space="0" w:color="CCCCCC"/>
              <w:bottom w:val="single" w:sz="1" w:space="0" w:color="CCCCCC"/>
              <w:right w:val="single" w:sz="1" w:space="0" w:color="CCCCCC"/>
            </w:tcBorders>
            <w:shd w:val="clear" w:color="auto" w:fill="D5F5E3"/>
          </w:tcPr>
          <w:p w14:paraId="5577B57D"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&gt;25%</w:t>
            </w:r>
          </w:p>
        </w:tc>
        <w:tc>
          <w:tcPr>
            <w:tcW w:w="1701" w:type="dxa"/>
            <w:tcBorders>
              <w:top w:val="single" w:sz="1" w:space="0" w:color="CCCCCC"/>
              <w:left w:val="single" w:sz="1" w:space="0" w:color="CCCCCC"/>
              <w:bottom w:val="single" w:sz="1" w:space="0" w:color="CCCCCC"/>
              <w:right w:val="single" w:sz="1" w:space="0" w:color="CCCCCC"/>
            </w:tcBorders>
            <w:shd w:val="clear" w:color="auto" w:fill="FCF3CF"/>
          </w:tcPr>
          <w:p w14:paraId="6C7A50DA"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10-25%</w:t>
            </w:r>
          </w:p>
        </w:tc>
        <w:tc>
          <w:tcPr>
            <w:tcW w:w="1417" w:type="dxa"/>
            <w:tcBorders>
              <w:top w:val="single" w:sz="1" w:space="0" w:color="CCCCCC"/>
              <w:left w:val="single" w:sz="1" w:space="0" w:color="CCCCCC"/>
              <w:bottom w:val="single" w:sz="1" w:space="0" w:color="CCCCCC"/>
              <w:right w:val="single" w:sz="1" w:space="0" w:color="CCCCCC"/>
            </w:tcBorders>
            <w:shd w:val="clear" w:color="auto" w:fill="FADBD8"/>
          </w:tcPr>
          <w:p w14:paraId="2B7CB03C"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&lt;10%</w:t>
            </w:r>
          </w:p>
        </w:tc>
      </w:tr>
    </w:tbl>
    <w:p w14:paraId="313C5C41" w14:textId="77777777" w:rsidR="00E77D38" w:rsidRPr="005B42FE" w:rsidRDefault="00E77D38" w:rsidP="005B42FE">
      <w:pPr>
        <w:spacing w:before="60" w:after="100"/>
        <w:jc w:val="center"/>
        <w:rPr>
          <w:rFonts w:asciiTheme="minorHAnsi" w:hAnsiTheme="minorHAnsi"/>
          <w:sz w:val="22"/>
          <w:szCs w:val="22"/>
        </w:rPr>
      </w:pPr>
      <w:r w:rsidRPr="005B42FE">
        <w:rPr>
          <w:rFonts w:asciiTheme="minorHAnsi" w:hAnsiTheme="minorHAnsi"/>
          <w:i/>
          <w:iCs/>
          <w:sz w:val="18"/>
          <w:szCs w:val="18"/>
        </w:rPr>
        <w:t>Table 1: I&amp;W Framework KRI Thresholds</w:t>
      </w:r>
    </w:p>
    <w:p w14:paraId="73ABE661"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b/>
          <w:bCs/>
          <w:sz w:val="22"/>
          <w:szCs w:val="22"/>
        </w:rPr>
        <w:t>Step 2: Establish Probability and Impact Parameters</w:t>
      </w:r>
    </w:p>
    <w:p w14:paraId="24B1FCFE"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sz w:val="22"/>
          <w:szCs w:val="22"/>
        </w:rPr>
        <w:t>Probability of occurrence was derived from likelihood scores in the risk register. Because the course likelihood scale is ordinal, each score was converted to an approximate occurrence probability by dividing by 10 for scenario modeling purposes (Score 7 = 70%, Score 9 = 90%). Financial impacts were modeled using triangular distributions with the $1B Security and Risk ACV as exposure base. Triangular distributions were selected because they are appropriate for expert-driven scenarios where minimum, most likely, and maximum values can be reasonably estimated despite limited historical data.</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1985"/>
        <w:gridCol w:w="2268"/>
        <w:gridCol w:w="2551"/>
      </w:tblGrid>
      <w:tr w:rsidR="00E77D38" w:rsidRPr="005B42FE" w14:paraId="6A3E62A4" w14:textId="77777777" w:rsidTr="005B42FE">
        <w:tblPrEx>
          <w:tblCellMar>
            <w:top w:w="0" w:type="dxa"/>
            <w:bottom w:w="0" w:type="dxa"/>
          </w:tblCellMar>
        </w:tblPrEx>
        <w:tc>
          <w:tcPr>
            <w:tcW w:w="3968" w:type="dxa"/>
            <w:tcBorders>
              <w:top w:val="single" w:sz="1" w:space="0" w:color="CCCCCC"/>
              <w:left w:val="single" w:sz="1" w:space="0" w:color="CCCCCC"/>
              <w:bottom w:val="single" w:sz="1" w:space="0" w:color="CCCCCC"/>
              <w:right w:val="single" w:sz="1" w:space="0" w:color="CCCCCC"/>
            </w:tcBorders>
            <w:shd w:val="clear" w:color="auto" w:fill="2E5090"/>
          </w:tcPr>
          <w:p w14:paraId="5B436960" w14:textId="77777777" w:rsidR="00E77D38" w:rsidRPr="005B42FE" w:rsidRDefault="00E77D38" w:rsidP="00376DBB">
            <w:pPr>
              <w:rPr>
                <w:rFonts w:asciiTheme="minorHAnsi" w:hAnsiTheme="minorHAnsi"/>
                <w:sz w:val="22"/>
                <w:szCs w:val="22"/>
              </w:rPr>
            </w:pPr>
            <w:r w:rsidRPr="005B42FE">
              <w:rPr>
                <w:rFonts w:asciiTheme="minorHAnsi" w:hAnsiTheme="minorHAnsi"/>
                <w:b/>
                <w:bCs/>
                <w:color w:val="FFFFFF"/>
                <w:sz w:val="18"/>
                <w:szCs w:val="18"/>
              </w:rPr>
              <w:t>Parameter</w:t>
            </w:r>
          </w:p>
        </w:tc>
        <w:tc>
          <w:tcPr>
            <w:tcW w:w="1985" w:type="dxa"/>
            <w:tcBorders>
              <w:top w:val="single" w:sz="1" w:space="0" w:color="CCCCCC"/>
              <w:left w:val="single" w:sz="1" w:space="0" w:color="CCCCCC"/>
              <w:bottom w:val="single" w:sz="1" w:space="0" w:color="CCCCCC"/>
              <w:right w:val="single" w:sz="1" w:space="0" w:color="CCCCCC"/>
            </w:tcBorders>
            <w:shd w:val="clear" w:color="auto" w:fill="2E5090"/>
          </w:tcPr>
          <w:p w14:paraId="442E5E31"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Risk 1</w:t>
            </w:r>
          </w:p>
        </w:tc>
        <w:tc>
          <w:tcPr>
            <w:tcW w:w="2268" w:type="dxa"/>
            <w:tcBorders>
              <w:top w:val="single" w:sz="1" w:space="0" w:color="CCCCCC"/>
              <w:left w:val="single" w:sz="1" w:space="0" w:color="CCCCCC"/>
              <w:bottom w:val="single" w:sz="1" w:space="0" w:color="CCCCCC"/>
              <w:right w:val="single" w:sz="1" w:space="0" w:color="CCCCCC"/>
            </w:tcBorders>
            <w:shd w:val="clear" w:color="auto" w:fill="2E5090"/>
          </w:tcPr>
          <w:p w14:paraId="41E0613B"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Risk 2</w:t>
            </w:r>
          </w:p>
        </w:tc>
        <w:tc>
          <w:tcPr>
            <w:tcW w:w="2551" w:type="dxa"/>
            <w:tcBorders>
              <w:top w:val="single" w:sz="1" w:space="0" w:color="CCCCCC"/>
              <w:left w:val="single" w:sz="1" w:space="0" w:color="CCCCCC"/>
              <w:bottom w:val="single" w:sz="1" w:space="0" w:color="CCCCCC"/>
              <w:right w:val="single" w:sz="1" w:space="0" w:color="CCCCCC"/>
            </w:tcBorders>
            <w:shd w:val="clear" w:color="auto" w:fill="2E5090"/>
          </w:tcPr>
          <w:p w14:paraId="57FEEFB2"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Risk 3</w:t>
            </w:r>
          </w:p>
        </w:tc>
      </w:tr>
      <w:tr w:rsidR="00E77D38" w:rsidRPr="005B42FE" w14:paraId="087FD9EA" w14:textId="77777777" w:rsidTr="005B42FE">
        <w:tblPrEx>
          <w:tblCellMar>
            <w:top w:w="0" w:type="dxa"/>
            <w:bottom w:w="0" w:type="dxa"/>
          </w:tblCellMar>
        </w:tblPrEx>
        <w:tc>
          <w:tcPr>
            <w:tcW w:w="3968" w:type="dxa"/>
            <w:tcBorders>
              <w:top w:val="single" w:sz="1" w:space="0" w:color="CCCCCC"/>
              <w:left w:val="single" w:sz="1" w:space="0" w:color="CCCCCC"/>
              <w:bottom w:val="single" w:sz="1" w:space="0" w:color="CCCCCC"/>
              <w:right w:val="single" w:sz="1" w:space="0" w:color="CCCCCC"/>
            </w:tcBorders>
          </w:tcPr>
          <w:p w14:paraId="765B2BC1"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Probability of Occurrence</w:t>
            </w:r>
          </w:p>
        </w:tc>
        <w:tc>
          <w:tcPr>
            <w:tcW w:w="1985" w:type="dxa"/>
            <w:tcBorders>
              <w:top w:val="single" w:sz="1" w:space="0" w:color="CCCCCC"/>
              <w:left w:val="single" w:sz="1" w:space="0" w:color="CCCCCC"/>
              <w:bottom w:val="single" w:sz="1" w:space="0" w:color="CCCCCC"/>
              <w:right w:val="single" w:sz="1" w:space="0" w:color="CCCCCC"/>
            </w:tcBorders>
          </w:tcPr>
          <w:p w14:paraId="22AA86D2"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70%</w:t>
            </w:r>
          </w:p>
        </w:tc>
        <w:tc>
          <w:tcPr>
            <w:tcW w:w="2268" w:type="dxa"/>
            <w:tcBorders>
              <w:top w:val="single" w:sz="1" w:space="0" w:color="CCCCCC"/>
              <w:left w:val="single" w:sz="1" w:space="0" w:color="CCCCCC"/>
              <w:bottom w:val="single" w:sz="1" w:space="0" w:color="CCCCCC"/>
              <w:right w:val="single" w:sz="1" w:space="0" w:color="CCCCCC"/>
            </w:tcBorders>
          </w:tcPr>
          <w:p w14:paraId="0302FBF0"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70%</w:t>
            </w:r>
          </w:p>
        </w:tc>
        <w:tc>
          <w:tcPr>
            <w:tcW w:w="2551" w:type="dxa"/>
            <w:tcBorders>
              <w:top w:val="single" w:sz="1" w:space="0" w:color="CCCCCC"/>
              <w:left w:val="single" w:sz="1" w:space="0" w:color="CCCCCC"/>
              <w:bottom w:val="single" w:sz="1" w:space="0" w:color="CCCCCC"/>
              <w:right w:val="single" w:sz="1" w:space="0" w:color="CCCCCC"/>
            </w:tcBorders>
          </w:tcPr>
          <w:p w14:paraId="2487CAE8"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90%</w:t>
            </w:r>
          </w:p>
        </w:tc>
      </w:tr>
      <w:tr w:rsidR="00E77D38" w:rsidRPr="005B42FE" w14:paraId="672DD1B3" w14:textId="77777777" w:rsidTr="005B42FE">
        <w:tblPrEx>
          <w:tblCellMar>
            <w:top w:w="0" w:type="dxa"/>
            <w:bottom w:w="0" w:type="dxa"/>
          </w:tblCellMar>
        </w:tblPrEx>
        <w:tc>
          <w:tcPr>
            <w:tcW w:w="3968" w:type="dxa"/>
            <w:tcBorders>
              <w:top w:val="single" w:sz="1" w:space="0" w:color="CCCCCC"/>
              <w:left w:val="single" w:sz="1" w:space="0" w:color="CCCCCC"/>
              <w:bottom w:val="single" w:sz="1" w:space="0" w:color="CCCCCC"/>
              <w:right w:val="single" w:sz="1" w:space="0" w:color="CCCCCC"/>
            </w:tcBorders>
            <w:shd w:val="clear" w:color="auto" w:fill="F5F5F5"/>
          </w:tcPr>
          <w:p w14:paraId="2BD78FE5"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Impact (Min / Mode / Max)</w:t>
            </w:r>
          </w:p>
        </w:tc>
        <w:tc>
          <w:tcPr>
            <w:tcW w:w="1985" w:type="dxa"/>
            <w:tcBorders>
              <w:top w:val="single" w:sz="1" w:space="0" w:color="CCCCCC"/>
              <w:left w:val="single" w:sz="1" w:space="0" w:color="CCCCCC"/>
              <w:bottom w:val="single" w:sz="1" w:space="0" w:color="CCCCCC"/>
              <w:right w:val="single" w:sz="1" w:space="0" w:color="CCCCCC"/>
            </w:tcBorders>
            <w:shd w:val="clear" w:color="auto" w:fill="F5F5F5"/>
          </w:tcPr>
          <w:p w14:paraId="07B80C47"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3% / 10% / 15%</w:t>
            </w:r>
          </w:p>
        </w:tc>
        <w:tc>
          <w:tcPr>
            <w:tcW w:w="2268" w:type="dxa"/>
            <w:tcBorders>
              <w:top w:val="single" w:sz="1" w:space="0" w:color="CCCCCC"/>
              <w:left w:val="single" w:sz="1" w:space="0" w:color="CCCCCC"/>
              <w:bottom w:val="single" w:sz="1" w:space="0" w:color="CCCCCC"/>
              <w:right w:val="single" w:sz="1" w:space="0" w:color="CCCCCC"/>
            </w:tcBorders>
            <w:shd w:val="clear" w:color="auto" w:fill="F5F5F5"/>
          </w:tcPr>
          <w:p w14:paraId="3ABBA93B"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4% / 12% / 20%</w:t>
            </w:r>
          </w:p>
        </w:tc>
        <w:tc>
          <w:tcPr>
            <w:tcW w:w="2551" w:type="dxa"/>
            <w:tcBorders>
              <w:top w:val="single" w:sz="1" w:space="0" w:color="CCCCCC"/>
              <w:left w:val="single" w:sz="1" w:space="0" w:color="CCCCCC"/>
              <w:bottom w:val="single" w:sz="1" w:space="0" w:color="CCCCCC"/>
              <w:right w:val="single" w:sz="1" w:space="0" w:color="CCCCCC"/>
            </w:tcBorders>
            <w:shd w:val="clear" w:color="auto" w:fill="F5F5F5"/>
          </w:tcPr>
          <w:p w14:paraId="4C580111"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$60M/$250M/$350M</w:t>
            </w:r>
          </w:p>
        </w:tc>
      </w:tr>
    </w:tbl>
    <w:p w14:paraId="63D2A8C6" w14:textId="77777777" w:rsidR="00E77D38" w:rsidRPr="005B42FE" w:rsidRDefault="00E77D38" w:rsidP="00E77D38">
      <w:pPr>
        <w:spacing w:before="60" w:after="100"/>
        <w:rPr>
          <w:rFonts w:asciiTheme="minorHAnsi" w:hAnsiTheme="minorHAnsi"/>
          <w:sz w:val="22"/>
          <w:szCs w:val="22"/>
        </w:rPr>
      </w:pPr>
      <w:r w:rsidRPr="005B42FE">
        <w:rPr>
          <w:rFonts w:asciiTheme="minorHAnsi" w:hAnsiTheme="minorHAnsi"/>
          <w:i/>
          <w:iCs/>
          <w:sz w:val="18"/>
          <w:szCs w:val="18"/>
        </w:rPr>
        <w:t>Table 2: Monte Carlo Simulation Parameters</w:t>
      </w:r>
    </w:p>
    <w:p w14:paraId="23A1B196"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b/>
          <w:bCs/>
          <w:sz w:val="22"/>
          <w:szCs w:val="22"/>
        </w:rPr>
        <w:t>Step 3: Execute Monte Carlo Simulation</w:t>
      </w:r>
    </w:p>
    <w:p w14:paraId="1BCC054A" w14:textId="008EDD29" w:rsidR="00E77D38" w:rsidRPr="005B42FE" w:rsidRDefault="00E77D38" w:rsidP="005B42FE">
      <w:pPr>
        <w:spacing w:after="80"/>
        <w:rPr>
          <w:rFonts w:asciiTheme="minorHAnsi" w:hAnsiTheme="minorHAnsi"/>
          <w:sz w:val="22"/>
          <w:szCs w:val="22"/>
        </w:rPr>
      </w:pPr>
      <w:r w:rsidRPr="005B42FE">
        <w:rPr>
          <w:rFonts w:asciiTheme="minorHAnsi" w:hAnsiTheme="minorHAnsi"/>
          <w:sz w:val="22"/>
          <w:szCs w:val="22"/>
        </w:rPr>
        <w:t xml:space="preserve">The simulation (10,000 iterations, seed=42) follows a two-stage process: (1) determine if each risk occurs based on probability, (2) if it occurs, sample from the triangular impact distribution; </w:t>
      </w:r>
      <w:proofErr w:type="gramStart"/>
      <w:r w:rsidRPr="005B42FE">
        <w:rPr>
          <w:rFonts w:asciiTheme="minorHAnsi" w:hAnsiTheme="minorHAnsi"/>
          <w:sz w:val="22"/>
          <w:szCs w:val="22"/>
        </w:rPr>
        <w:t>otherwise</w:t>
      </w:r>
      <w:proofErr w:type="gramEnd"/>
      <w:r w:rsidRPr="005B42FE">
        <w:rPr>
          <w:rFonts w:asciiTheme="minorHAnsi" w:hAnsiTheme="minorHAnsi"/>
          <w:sz w:val="22"/>
          <w:szCs w:val="22"/>
        </w:rPr>
        <w:t xml:space="preserve"> impact = $0. This correctly implements Expected Value = Probability × Impact.</w:t>
      </w:r>
    </w:p>
    <w:p w14:paraId="7CF3A95E" w14:textId="77777777" w:rsidR="00E77D38" w:rsidRPr="005B42FE" w:rsidRDefault="00E77D38" w:rsidP="00E77D38">
      <w:pPr>
        <w:pStyle w:val="Heading1"/>
        <w:rPr>
          <w:rFonts w:asciiTheme="minorHAnsi" w:hAnsiTheme="minorHAnsi"/>
          <w:sz w:val="24"/>
          <w:szCs w:val="24"/>
        </w:rPr>
      </w:pPr>
      <w:r w:rsidRPr="005B42FE">
        <w:rPr>
          <w:rFonts w:asciiTheme="minorHAnsi" w:hAnsiTheme="minorHAnsi"/>
          <w:sz w:val="24"/>
          <w:szCs w:val="24"/>
        </w:rPr>
        <w:t>3. Quantitative Assessment Results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9"/>
        <w:gridCol w:w="2694"/>
        <w:gridCol w:w="2409"/>
      </w:tblGrid>
      <w:tr w:rsidR="00E77D38" w:rsidRPr="005B42FE" w14:paraId="25FBE4B4"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shd w:val="clear" w:color="auto" w:fill="2E5090"/>
          </w:tcPr>
          <w:p w14:paraId="2AB571E9" w14:textId="77777777" w:rsidR="00E77D38" w:rsidRPr="005B42FE" w:rsidRDefault="00E77D38" w:rsidP="00376DBB">
            <w:pPr>
              <w:rPr>
                <w:rFonts w:asciiTheme="minorHAnsi" w:hAnsiTheme="minorHAnsi"/>
                <w:sz w:val="22"/>
                <w:szCs w:val="22"/>
              </w:rPr>
            </w:pPr>
            <w:r w:rsidRPr="005B42FE">
              <w:rPr>
                <w:rFonts w:asciiTheme="minorHAnsi" w:hAnsiTheme="minorHAnsi"/>
                <w:b/>
                <w:bCs/>
                <w:color w:val="FFFFFF"/>
                <w:sz w:val="18"/>
                <w:szCs w:val="18"/>
              </w:rPr>
              <w:t>Metric</w:t>
            </w:r>
          </w:p>
        </w:tc>
        <w:tc>
          <w:tcPr>
            <w:tcW w:w="2694" w:type="dxa"/>
            <w:tcBorders>
              <w:top w:val="single" w:sz="1" w:space="0" w:color="CCCCCC"/>
              <w:left w:val="single" w:sz="1" w:space="0" w:color="CCCCCC"/>
              <w:bottom w:val="single" w:sz="1" w:space="0" w:color="CCCCCC"/>
              <w:right w:val="single" w:sz="1" w:space="0" w:color="CCCCCC"/>
            </w:tcBorders>
            <w:shd w:val="clear" w:color="auto" w:fill="2E5090"/>
          </w:tcPr>
          <w:p w14:paraId="0DDFCDBE"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Value</w:t>
            </w:r>
          </w:p>
        </w:tc>
        <w:tc>
          <w:tcPr>
            <w:tcW w:w="2409" w:type="dxa"/>
            <w:tcBorders>
              <w:top w:val="single" w:sz="1" w:space="0" w:color="CCCCCC"/>
              <w:left w:val="single" w:sz="1" w:space="0" w:color="CCCCCC"/>
              <w:bottom w:val="single" w:sz="1" w:space="0" w:color="CCCCCC"/>
              <w:right w:val="single" w:sz="1" w:space="0" w:color="CCCCCC"/>
            </w:tcBorders>
            <w:shd w:val="clear" w:color="auto" w:fill="2E5090"/>
          </w:tcPr>
          <w:p w14:paraId="5DE49A2F"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color w:val="FFFFFF"/>
                <w:sz w:val="18"/>
                <w:szCs w:val="18"/>
              </w:rPr>
              <w:t>Interpretation</w:t>
            </w:r>
          </w:p>
        </w:tc>
      </w:tr>
      <w:tr w:rsidR="00E77D38" w:rsidRPr="005B42FE" w14:paraId="7C41B5A1"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tcPr>
          <w:p w14:paraId="4B8188E2"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Risk 1 Expected Loss (Competitive)</w:t>
            </w:r>
          </w:p>
        </w:tc>
        <w:tc>
          <w:tcPr>
            <w:tcW w:w="2694" w:type="dxa"/>
            <w:tcBorders>
              <w:top w:val="single" w:sz="1" w:space="0" w:color="CCCCCC"/>
              <w:left w:val="single" w:sz="1" w:space="0" w:color="CCCCCC"/>
              <w:bottom w:val="single" w:sz="1" w:space="0" w:color="CCCCCC"/>
              <w:right w:val="single" w:sz="1" w:space="0" w:color="CCCCCC"/>
            </w:tcBorders>
          </w:tcPr>
          <w:p w14:paraId="436D287C"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$66.2M</w:t>
            </w:r>
          </w:p>
        </w:tc>
        <w:tc>
          <w:tcPr>
            <w:tcW w:w="2409" w:type="dxa"/>
            <w:tcBorders>
              <w:top w:val="single" w:sz="1" w:space="0" w:color="CCCCCC"/>
              <w:left w:val="single" w:sz="1" w:space="0" w:color="CCCCCC"/>
              <w:bottom w:val="single" w:sz="1" w:space="0" w:color="CCCCCC"/>
              <w:right w:val="single" w:sz="1" w:space="0" w:color="CCCCCC"/>
            </w:tcBorders>
          </w:tcPr>
          <w:p w14:paraId="4DB6E37B"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Probability-weighted</w:t>
            </w:r>
          </w:p>
        </w:tc>
      </w:tr>
      <w:tr w:rsidR="00E77D38" w:rsidRPr="005B42FE" w14:paraId="5EE46842"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shd w:val="clear" w:color="auto" w:fill="F5F5F5"/>
          </w:tcPr>
          <w:p w14:paraId="7FE1DA6B"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Risk 2 Expected Loss (AI Convergence)</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Pr>
          <w:p w14:paraId="16854185"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$83.0M</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Pr>
          <w:p w14:paraId="112F4E88"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Probability-weighted</w:t>
            </w:r>
          </w:p>
        </w:tc>
      </w:tr>
      <w:tr w:rsidR="00E77D38" w:rsidRPr="005B42FE" w14:paraId="15130D4B"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tcPr>
          <w:p w14:paraId="7B80964C"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Risk 3 Expected Upside (Regulatory)</w:t>
            </w:r>
          </w:p>
        </w:tc>
        <w:tc>
          <w:tcPr>
            <w:tcW w:w="2694" w:type="dxa"/>
            <w:tcBorders>
              <w:top w:val="single" w:sz="1" w:space="0" w:color="CCCCCC"/>
              <w:left w:val="single" w:sz="1" w:space="0" w:color="CCCCCC"/>
              <w:bottom w:val="single" w:sz="1" w:space="0" w:color="CCCCCC"/>
              <w:right w:val="single" w:sz="1" w:space="0" w:color="CCCCCC"/>
            </w:tcBorders>
          </w:tcPr>
          <w:p w14:paraId="0F12D826"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+$199.0M</w:t>
            </w:r>
          </w:p>
        </w:tc>
        <w:tc>
          <w:tcPr>
            <w:tcW w:w="2409" w:type="dxa"/>
            <w:tcBorders>
              <w:top w:val="single" w:sz="1" w:space="0" w:color="CCCCCC"/>
              <w:left w:val="single" w:sz="1" w:space="0" w:color="CCCCCC"/>
              <w:bottom w:val="single" w:sz="1" w:space="0" w:color="CCCCCC"/>
              <w:right w:val="single" w:sz="1" w:space="0" w:color="CCCCCC"/>
            </w:tcBorders>
          </w:tcPr>
          <w:p w14:paraId="60FAEAEA"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Probability-weighted</w:t>
            </w:r>
          </w:p>
        </w:tc>
      </w:tr>
      <w:tr w:rsidR="00E77D38" w:rsidRPr="005B42FE" w14:paraId="07BF41A3"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shd w:val="clear" w:color="auto" w:fill="F5F5F5"/>
          </w:tcPr>
          <w:p w14:paraId="16F1BA82"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Net Expected Annual Impact</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Pr>
          <w:p w14:paraId="528CD2E9"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+$49.8M</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Pr>
          <w:p w14:paraId="7F840BA2"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Moderately positive</w:t>
            </w:r>
          </w:p>
        </w:tc>
      </w:tr>
      <w:tr w:rsidR="00E77D38" w:rsidRPr="005B42FE" w14:paraId="7A5A7F5B"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tcPr>
          <w:p w14:paraId="4F45C063"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90% Simulation Interval (5th-95th %</w:t>
            </w:r>
            <w:proofErr w:type="spellStart"/>
            <w:r w:rsidRPr="005B42FE">
              <w:rPr>
                <w:rFonts w:asciiTheme="minorHAnsi" w:hAnsiTheme="minorHAnsi"/>
                <w:sz w:val="18"/>
                <w:szCs w:val="18"/>
              </w:rPr>
              <w:t>ile</w:t>
            </w:r>
            <w:proofErr w:type="spellEnd"/>
            <w:r w:rsidRPr="005B42FE">
              <w:rPr>
                <w:rFonts w:asciiTheme="minorHAnsi" w:hAnsiTheme="minorHAnsi"/>
                <w:sz w:val="18"/>
                <w:szCs w:val="18"/>
              </w:rPr>
              <w:t>)</w:t>
            </w:r>
          </w:p>
        </w:tc>
        <w:tc>
          <w:tcPr>
            <w:tcW w:w="2694" w:type="dxa"/>
            <w:tcBorders>
              <w:top w:val="single" w:sz="1" w:space="0" w:color="CCCCCC"/>
              <w:left w:val="single" w:sz="1" w:space="0" w:color="CCCCCC"/>
              <w:bottom w:val="single" w:sz="1" w:space="0" w:color="CCCCCC"/>
              <w:right w:val="single" w:sz="1" w:space="0" w:color="CCCCCC"/>
            </w:tcBorders>
          </w:tcPr>
          <w:p w14:paraId="41F27C51"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-$167M to +$231M</w:t>
            </w:r>
          </w:p>
        </w:tc>
        <w:tc>
          <w:tcPr>
            <w:tcW w:w="2409" w:type="dxa"/>
            <w:tcBorders>
              <w:top w:val="single" w:sz="1" w:space="0" w:color="CCCCCC"/>
              <w:left w:val="single" w:sz="1" w:space="0" w:color="CCCCCC"/>
              <w:bottom w:val="single" w:sz="1" w:space="0" w:color="CCCCCC"/>
              <w:right w:val="single" w:sz="1" w:space="0" w:color="CCCCCC"/>
            </w:tcBorders>
          </w:tcPr>
          <w:p w14:paraId="0E980DEA"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Wide uncertainty</w:t>
            </w:r>
          </w:p>
        </w:tc>
      </w:tr>
      <w:tr w:rsidR="00E77D38" w:rsidRPr="005B42FE" w14:paraId="0E2FF6EC"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shd w:val="clear" w:color="auto" w:fill="F5F5F5"/>
          </w:tcPr>
          <w:p w14:paraId="7CD4AC7B"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Probability of Net Loss</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Pr>
          <w:p w14:paraId="05E9F694"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31.1%</w:t>
            </w:r>
          </w:p>
        </w:tc>
        <w:tc>
          <w:tcPr>
            <w:tcW w:w="2409" w:type="dxa"/>
            <w:tcBorders>
              <w:top w:val="single" w:sz="1" w:space="0" w:color="CCCCCC"/>
              <w:left w:val="single" w:sz="1" w:space="0" w:color="CCCCCC"/>
              <w:bottom w:val="single" w:sz="1" w:space="0" w:color="CCCCCC"/>
              <w:right w:val="single" w:sz="1" w:space="0" w:color="CCCCCC"/>
            </w:tcBorders>
            <w:shd w:val="clear" w:color="auto" w:fill="F5F5F5"/>
          </w:tcPr>
          <w:p w14:paraId="7BA54409"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Significant tail risk</w:t>
            </w:r>
          </w:p>
        </w:tc>
      </w:tr>
      <w:tr w:rsidR="00E77D38" w:rsidRPr="005B42FE" w14:paraId="037DC36B" w14:textId="77777777" w:rsidTr="005B42FE">
        <w:tblPrEx>
          <w:tblCellMar>
            <w:top w:w="0" w:type="dxa"/>
            <w:bottom w:w="0" w:type="dxa"/>
          </w:tblCellMar>
        </w:tblPrEx>
        <w:tc>
          <w:tcPr>
            <w:tcW w:w="5669" w:type="dxa"/>
            <w:tcBorders>
              <w:top w:val="single" w:sz="1" w:space="0" w:color="CCCCCC"/>
              <w:left w:val="single" w:sz="1" w:space="0" w:color="CCCCCC"/>
              <w:bottom w:val="single" w:sz="1" w:space="0" w:color="CCCCCC"/>
              <w:right w:val="single" w:sz="1" w:space="0" w:color="CCCCCC"/>
            </w:tcBorders>
          </w:tcPr>
          <w:p w14:paraId="6120738E" w14:textId="77777777" w:rsidR="00E77D38" w:rsidRPr="005B42FE" w:rsidRDefault="00E77D38" w:rsidP="00376DBB">
            <w:pPr>
              <w:rPr>
                <w:rFonts w:asciiTheme="minorHAnsi" w:hAnsiTheme="minorHAnsi"/>
                <w:sz w:val="22"/>
                <w:szCs w:val="22"/>
              </w:rPr>
            </w:pPr>
            <w:r w:rsidRPr="005B42FE">
              <w:rPr>
                <w:rFonts w:asciiTheme="minorHAnsi" w:hAnsiTheme="minorHAnsi"/>
                <w:sz w:val="18"/>
                <w:szCs w:val="18"/>
              </w:rPr>
              <w:t>Current KRI Status (Portfolio)</w:t>
            </w:r>
          </w:p>
        </w:tc>
        <w:tc>
          <w:tcPr>
            <w:tcW w:w="2694" w:type="dxa"/>
            <w:tcBorders>
              <w:top w:val="single" w:sz="1" w:space="0" w:color="CCCCCC"/>
              <w:left w:val="single" w:sz="1" w:space="0" w:color="CCCCCC"/>
              <w:bottom w:val="single" w:sz="1" w:space="0" w:color="CCCCCC"/>
              <w:right w:val="single" w:sz="1" w:space="0" w:color="CCCCCC"/>
            </w:tcBorders>
            <w:shd w:val="clear" w:color="auto" w:fill="FCF3CF"/>
          </w:tcPr>
          <w:p w14:paraId="34FDF4CA" w14:textId="77777777" w:rsidR="00E77D38" w:rsidRPr="005B42FE" w:rsidRDefault="00E77D38" w:rsidP="00376DBB">
            <w:pPr>
              <w:jc w:val="center"/>
              <w:rPr>
                <w:rFonts w:asciiTheme="minorHAnsi" w:hAnsiTheme="minorHAnsi"/>
                <w:sz w:val="22"/>
                <w:szCs w:val="22"/>
              </w:rPr>
            </w:pPr>
            <w:r w:rsidRPr="005B42FE">
              <w:rPr>
                <w:rFonts w:asciiTheme="minorHAnsi" w:hAnsiTheme="minorHAnsi"/>
                <w:b/>
                <w:bCs/>
                <w:sz w:val="18"/>
                <w:szCs w:val="18"/>
              </w:rPr>
              <w:t>AMBER</w:t>
            </w:r>
          </w:p>
        </w:tc>
        <w:tc>
          <w:tcPr>
            <w:tcW w:w="2409" w:type="dxa"/>
            <w:tcBorders>
              <w:top w:val="single" w:sz="1" w:space="0" w:color="CCCCCC"/>
              <w:left w:val="single" w:sz="1" w:space="0" w:color="CCCCCC"/>
              <w:bottom w:val="single" w:sz="1" w:space="0" w:color="CCCCCC"/>
              <w:right w:val="single" w:sz="1" w:space="0" w:color="CCCCCC"/>
            </w:tcBorders>
          </w:tcPr>
          <w:p w14:paraId="0DA4B9EF" w14:textId="77777777" w:rsidR="00E77D38" w:rsidRPr="005B42FE" w:rsidRDefault="00E77D38" w:rsidP="00376DBB">
            <w:pPr>
              <w:jc w:val="center"/>
              <w:rPr>
                <w:rFonts w:asciiTheme="minorHAnsi" w:hAnsiTheme="minorHAnsi"/>
                <w:sz w:val="22"/>
                <w:szCs w:val="22"/>
              </w:rPr>
            </w:pPr>
            <w:r w:rsidRPr="005B42FE">
              <w:rPr>
                <w:rFonts w:asciiTheme="minorHAnsi" w:hAnsiTheme="minorHAnsi"/>
                <w:sz w:val="18"/>
                <w:szCs w:val="18"/>
              </w:rPr>
              <w:t>Elevated monitoring</w:t>
            </w:r>
          </w:p>
        </w:tc>
      </w:tr>
    </w:tbl>
    <w:p w14:paraId="0ABE9F30" w14:textId="77777777" w:rsidR="00E77D38" w:rsidRDefault="00E77D38" w:rsidP="005B42FE">
      <w:pPr>
        <w:spacing w:before="60" w:after="80"/>
        <w:jc w:val="center"/>
        <w:rPr>
          <w:rFonts w:asciiTheme="minorHAnsi" w:hAnsiTheme="minorHAnsi"/>
          <w:i/>
          <w:iCs/>
          <w:sz w:val="18"/>
          <w:szCs w:val="18"/>
        </w:rPr>
      </w:pPr>
      <w:r w:rsidRPr="005B42FE">
        <w:rPr>
          <w:rFonts w:asciiTheme="minorHAnsi" w:hAnsiTheme="minorHAnsi"/>
          <w:i/>
          <w:iCs/>
          <w:sz w:val="18"/>
          <w:szCs w:val="18"/>
        </w:rPr>
        <w:t>Table 3: Monte Carlo Simulation Results (n=10,000, seed=42)</w:t>
      </w:r>
    </w:p>
    <w:p w14:paraId="357750EC" w14:textId="77777777" w:rsidR="005B42FE" w:rsidRPr="005B42FE" w:rsidRDefault="005B42FE" w:rsidP="005B42FE">
      <w:pPr>
        <w:spacing w:before="60" w:after="80"/>
        <w:jc w:val="center"/>
        <w:rPr>
          <w:rFonts w:asciiTheme="minorHAnsi" w:hAnsiTheme="minorHAnsi"/>
          <w:sz w:val="22"/>
          <w:szCs w:val="22"/>
        </w:rPr>
      </w:pPr>
    </w:p>
    <w:p w14:paraId="3C8EF1A3" w14:textId="2F5C94EF" w:rsidR="00A01685" w:rsidRDefault="00A01685" w:rsidP="00E77D38">
      <w:pPr>
        <w:spacing w:after="80"/>
        <w:jc w:val="center"/>
        <w:rPr>
          <w:rFonts w:asciiTheme="minorHAnsi" w:hAnsiTheme="minorHAnsi"/>
          <w:b/>
          <w:bCs/>
          <w:sz w:val="18"/>
          <w:szCs w:val="18"/>
        </w:rPr>
      </w:pPr>
      <w:r>
        <w:rPr>
          <w:rFonts w:asciiTheme="minorHAnsi" w:hAnsiTheme="minorHAnsi"/>
          <w:b/>
          <w:bCs/>
          <w:noProof/>
          <w:sz w:val="18"/>
          <w:szCs w:val="18"/>
        </w:rPr>
        <w:lastRenderedPageBreak/>
        <w:drawing>
          <wp:inline distT="0" distB="0" distL="0" distR="0" wp14:anchorId="0DCA53C4" wp14:editId="2C399DD1">
            <wp:extent cx="5572369" cy="2773285"/>
            <wp:effectExtent l="0" t="0" r="3175" b="0"/>
            <wp:docPr id="1319704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04584" name="Picture 13197045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00530" cy="2787300"/>
                    </a:xfrm>
                    <a:prstGeom prst="rect">
                      <a:avLst/>
                    </a:prstGeom>
                  </pic:spPr>
                </pic:pic>
              </a:graphicData>
            </a:graphic>
          </wp:inline>
        </w:drawing>
      </w:r>
    </w:p>
    <w:p w14:paraId="341B4D7B" w14:textId="18BD9878" w:rsidR="00E77D38" w:rsidRPr="005B42FE" w:rsidRDefault="00E77D38" w:rsidP="00E77D38">
      <w:pPr>
        <w:spacing w:after="80"/>
        <w:jc w:val="center"/>
        <w:rPr>
          <w:rFonts w:asciiTheme="minorHAnsi" w:hAnsiTheme="minorHAnsi"/>
          <w:sz w:val="22"/>
          <w:szCs w:val="22"/>
        </w:rPr>
      </w:pPr>
      <w:r w:rsidRPr="005B42FE">
        <w:rPr>
          <w:rFonts w:asciiTheme="minorHAnsi" w:hAnsiTheme="minorHAnsi"/>
          <w:i/>
          <w:iCs/>
          <w:sz w:val="18"/>
          <w:szCs w:val="18"/>
        </w:rPr>
        <w:t>Figure 1: Monte Carlo Net Impact Distribution (Mean: +$49.8M, 90% Interval: -$167M to +$231M)</w:t>
      </w:r>
    </w:p>
    <w:p w14:paraId="16782461"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sz w:val="22"/>
          <w:szCs w:val="22"/>
        </w:rPr>
        <w:t>Figure 1 illustrates the net strategic impact distribution across 10,000 simulations. While the mean outcome is positive (+$49.8M), the distribution spans a wide range with material downside tail risk, as shown by the 31.1% probability of net loss. Based on these quantitative results, the Risk Treatment (RT) and Response Plan (RP) were updated with: (1) Monte Carlo simulation outputs including expected value and 5th/95th percentile ranges for each risk; (2) Machine Learning escalation probability from the Random Forest classifier; and (3) escalation triggers and monitoring actions aligned to the I&amp;W framework.</w:t>
      </w:r>
    </w:p>
    <w:p w14:paraId="1A1855A9" w14:textId="77777777" w:rsidR="00E77D38" w:rsidRPr="005B42FE" w:rsidRDefault="00E77D38" w:rsidP="00E77D38">
      <w:pPr>
        <w:pStyle w:val="Heading1"/>
        <w:rPr>
          <w:rFonts w:asciiTheme="minorHAnsi" w:hAnsiTheme="minorHAnsi"/>
          <w:sz w:val="24"/>
          <w:szCs w:val="24"/>
        </w:rPr>
      </w:pPr>
      <w:r w:rsidRPr="005B42FE">
        <w:rPr>
          <w:rFonts w:asciiTheme="minorHAnsi" w:hAnsiTheme="minorHAnsi"/>
          <w:sz w:val="24"/>
          <w:szCs w:val="24"/>
        </w:rPr>
        <w:t>4. Machine Learning Risk Escalation Model</w:t>
      </w:r>
    </w:p>
    <w:p w14:paraId="329B059E"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sz w:val="22"/>
          <w:szCs w:val="22"/>
        </w:rPr>
        <w:t xml:space="preserve">A Random Forest classifier trained on 500 synthetic scenario-based KRI observations achieved approximately </w:t>
      </w:r>
      <w:r w:rsidRPr="005B42FE">
        <w:rPr>
          <w:rFonts w:asciiTheme="minorHAnsi" w:hAnsiTheme="minorHAnsi"/>
          <w:b/>
          <w:bCs/>
          <w:sz w:val="22"/>
          <w:szCs w:val="22"/>
        </w:rPr>
        <w:t>89.6% mean cross-validation accuracy</w:t>
      </w:r>
      <w:r w:rsidRPr="005B42FE">
        <w:rPr>
          <w:rFonts w:asciiTheme="minorHAnsi" w:hAnsiTheme="minorHAnsi"/>
          <w:sz w:val="22"/>
          <w:szCs w:val="22"/>
        </w:rPr>
        <w:t xml:space="preserve"> in predicting risk escalation. Feature importance analysis (Figure 2) showed that competitive win rate (31.2%) and AI capability parity (29.2%) were the strongest predictors, followed by regulatory pipeline growth (15.6%) and competitor presence (9.3%).</w:t>
      </w:r>
    </w:p>
    <w:p w14:paraId="4C37748E" w14:textId="27F31F2F" w:rsidR="00E77D38" w:rsidRPr="005B42FE" w:rsidRDefault="00A01685" w:rsidP="00E77D38">
      <w:pPr>
        <w:spacing w:after="80"/>
        <w:jc w:val="center"/>
        <w:rPr>
          <w:rFonts w:asciiTheme="minorHAnsi" w:hAnsiTheme="minorHAnsi"/>
          <w:sz w:val="22"/>
          <w:szCs w:val="22"/>
        </w:rPr>
      </w:pPr>
      <w:r>
        <w:rPr>
          <w:rFonts w:asciiTheme="minorHAnsi" w:hAnsiTheme="minorHAnsi"/>
          <w:b/>
          <w:bCs/>
          <w:noProof/>
          <w:sz w:val="18"/>
          <w:szCs w:val="18"/>
        </w:rPr>
        <w:drawing>
          <wp:inline distT="0" distB="0" distL="0" distR="0" wp14:anchorId="350028BD" wp14:editId="37720514">
            <wp:extent cx="4829907" cy="2862614"/>
            <wp:effectExtent l="0" t="0" r="0" b="0"/>
            <wp:docPr id="1150327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7966" name="Picture 1150327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6026" cy="2884021"/>
                    </a:xfrm>
                    <a:prstGeom prst="rect">
                      <a:avLst/>
                    </a:prstGeom>
                  </pic:spPr>
                </pic:pic>
              </a:graphicData>
            </a:graphic>
          </wp:inline>
        </w:drawing>
      </w:r>
      <w:r>
        <w:rPr>
          <w:rFonts w:asciiTheme="minorHAnsi" w:hAnsiTheme="minorHAnsi"/>
          <w:b/>
          <w:bCs/>
          <w:sz w:val="18"/>
          <w:szCs w:val="18"/>
        </w:rPr>
        <w:br/>
      </w:r>
      <w:r w:rsidR="00E77D38" w:rsidRPr="005B42FE">
        <w:rPr>
          <w:rFonts w:asciiTheme="minorHAnsi" w:hAnsiTheme="minorHAnsi"/>
          <w:i/>
          <w:iCs/>
          <w:sz w:val="18"/>
          <w:szCs w:val="18"/>
        </w:rPr>
        <w:t>Figure 2: Random Forest Feature Importance for Risk Escalation Prediction</w:t>
      </w:r>
    </w:p>
    <w:p w14:paraId="067F5B76"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sz w:val="22"/>
          <w:szCs w:val="22"/>
        </w:rPr>
        <w:t xml:space="preserve">Using the current indicator values (win rate: 31%, AI parity: 78%, pipeline growth: 32%), the model estimated an escalation probability of approximately </w:t>
      </w:r>
      <w:r w:rsidRPr="005B42FE">
        <w:rPr>
          <w:rFonts w:asciiTheme="minorHAnsi" w:hAnsiTheme="minorHAnsi"/>
          <w:b/>
          <w:bCs/>
          <w:sz w:val="22"/>
          <w:szCs w:val="22"/>
        </w:rPr>
        <w:t>76%</w:t>
      </w:r>
      <w:r w:rsidRPr="005B42FE">
        <w:rPr>
          <w:rFonts w:asciiTheme="minorHAnsi" w:hAnsiTheme="minorHAnsi"/>
          <w:sz w:val="22"/>
          <w:szCs w:val="22"/>
        </w:rPr>
        <w:t>, indicating elevated monitoring needs. Because the training data were synthetically generated from expert assumptions aligned with the I&amp;W thresholds, the model is best interpreted as a scenario-based decision support tool rather than an empirical forecast.</w:t>
      </w:r>
    </w:p>
    <w:p w14:paraId="5EE460A2" w14:textId="77777777" w:rsidR="00E77D38" w:rsidRPr="005B42FE" w:rsidRDefault="00E77D38" w:rsidP="00E77D38">
      <w:pPr>
        <w:pStyle w:val="Heading1"/>
        <w:rPr>
          <w:rFonts w:asciiTheme="minorHAnsi" w:hAnsiTheme="minorHAnsi"/>
          <w:sz w:val="24"/>
          <w:szCs w:val="24"/>
        </w:rPr>
      </w:pPr>
      <w:r w:rsidRPr="005B42FE">
        <w:rPr>
          <w:rFonts w:asciiTheme="minorHAnsi" w:hAnsiTheme="minorHAnsi"/>
          <w:sz w:val="24"/>
          <w:szCs w:val="24"/>
        </w:rPr>
        <w:lastRenderedPageBreak/>
        <w:t>5. Conclusions and Risk Mitigation Recommendations</w:t>
      </w:r>
    </w:p>
    <w:p w14:paraId="7A5C0B7A" w14:textId="77777777" w:rsidR="00E77D38" w:rsidRPr="005B42FE" w:rsidRDefault="00E77D38" w:rsidP="00E77D38">
      <w:pPr>
        <w:spacing w:after="80"/>
        <w:rPr>
          <w:rFonts w:asciiTheme="minorHAnsi" w:hAnsiTheme="minorHAnsi"/>
          <w:sz w:val="22"/>
          <w:szCs w:val="22"/>
        </w:rPr>
      </w:pPr>
      <w:r w:rsidRPr="005B42FE">
        <w:rPr>
          <w:rFonts w:asciiTheme="minorHAnsi" w:hAnsiTheme="minorHAnsi"/>
          <w:sz w:val="22"/>
          <w:szCs w:val="22"/>
        </w:rPr>
        <w:t xml:space="preserve">The I&amp;W quantitative assessment reveals that ServiceNow-Armis faces significant but manageable competitive risks. While the expected net impact is positive (+$49.8M), the 31.1% probability of net loss and wide simulation interval (-$167M to +$231M) indicate material uncertainty. </w:t>
      </w:r>
      <w:r w:rsidRPr="005B42FE">
        <w:rPr>
          <w:rFonts w:asciiTheme="minorHAnsi" w:hAnsiTheme="minorHAnsi"/>
          <w:b/>
          <w:bCs/>
          <w:sz w:val="22"/>
          <w:szCs w:val="22"/>
        </w:rPr>
        <w:t xml:space="preserve">Key recommendations: </w:t>
      </w:r>
      <w:r w:rsidRPr="005B42FE">
        <w:rPr>
          <w:rFonts w:asciiTheme="minorHAnsi" w:hAnsiTheme="minorHAnsi"/>
          <w:sz w:val="22"/>
          <w:szCs w:val="22"/>
        </w:rPr>
        <w:t>(1) Accelerate platform integration to reduce the competitive vulnerability window during 2026 budget cycles; (2) Prioritize AI capability development to close the feature parity gap from 78% to target ≥85% (Green zone); (3) Invest in regulatory compliance bundles (CMMC, NIS2, CIRCIA, HIPAA) to maximize the $199M expected upside; (4) Implement automated KRI dashboards with Amber/Red escalation triggers for proactive intervention.</w:t>
      </w:r>
    </w:p>
    <w:p w14:paraId="3831455A" w14:textId="77777777" w:rsidR="00E77D38" w:rsidRPr="005B42FE" w:rsidRDefault="00E77D38" w:rsidP="00E77D38">
      <w:pPr>
        <w:pStyle w:val="Heading1"/>
        <w:spacing w:before="100"/>
        <w:rPr>
          <w:rFonts w:asciiTheme="minorHAnsi" w:hAnsiTheme="minorHAnsi"/>
          <w:sz w:val="24"/>
          <w:szCs w:val="24"/>
        </w:rPr>
      </w:pPr>
      <w:r w:rsidRPr="005B42FE">
        <w:rPr>
          <w:rFonts w:asciiTheme="minorHAnsi" w:hAnsiTheme="minorHAnsi"/>
          <w:sz w:val="24"/>
          <w:szCs w:val="24"/>
        </w:rPr>
        <w:t>References</w:t>
      </w:r>
    </w:p>
    <w:p w14:paraId="553E551A" w14:textId="77777777" w:rsidR="00E77D38" w:rsidRPr="005B42FE" w:rsidRDefault="00E77D38" w:rsidP="00E77D38">
      <w:pPr>
        <w:spacing w:after="50"/>
        <w:rPr>
          <w:rFonts w:asciiTheme="minorHAnsi" w:hAnsiTheme="minorHAnsi"/>
          <w:sz w:val="22"/>
          <w:szCs w:val="22"/>
        </w:rPr>
      </w:pPr>
      <w:proofErr w:type="spellStart"/>
      <w:r w:rsidRPr="005B42FE">
        <w:rPr>
          <w:rFonts w:asciiTheme="minorHAnsi" w:hAnsiTheme="minorHAnsi"/>
          <w:sz w:val="21"/>
          <w:szCs w:val="21"/>
        </w:rPr>
        <w:t>Jalilvand</w:t>
      </w:r>
      <w:proofErr w:type="spellEnd"/>
      <w:r w:rsidRPr="005B42FE">
        <w:rPr>
          <w:rFonts w:asciiTheme="minorHAnsi" w:hAnsiTheme="minorHAnsi"/>
          <w:sz w:val="21"/>
          <w:szCs w:val="21"/>
        </w:rPr>
        <w:t xml:space="preserve">, A., &amp; Moorthy, S. (2023). Triangulating risk profile and risk assessment. </w:t>
      </w:r>
      <w:r w:rsidRPr="005B42FE">
        <w:rPr>
          <w:rFonts w:asciiTheme="minorHAnsi" w:hAnsiTheme="minorHAnsi"/>
          <w:i/>
          <w:iCs/>
          <w:sz w:val="21"/>
          <w:szCs w:val="21"/>
        </w:rPr>
        <w:t>Journal of Risk and Financial Management, 16</w:t>
      </w:r>
      <w:r w:rsidRPr="005B42FE">
        <w:rPr>
          <w:rFonts w:asciiTheme="minorHAnsi" w:hAnsiTheme="minorHAnsi"/>
          <w:sz w:val="21"/>
          <w:szCs w:val="21"/>
        </w:rPr>
        <w:t>(11), 473.</w:t>
      </w:r>
    </w:p>
    <w:p w14:paraId="5353A441" w14:textId="77777777" w:rsidR="00E77D38" w:rsidRPr="005B42FE" w:rsidRDefault="00E77D38" w:rsidP="00E77D38">
      <w:pPr>
        <w:spacing w:after="50"/>
        <w:rPr>
          <w:rFonts w:asciiTheme="minorHAnsi" w:hAnsiTheme="minorHAnsi"/>
          <w:sz w:val="22"/>
          <w:szCs w:val="22"/>
        </w:rPr>
      </w:pPr>
      <w:r w:rsidRPr="005B42FE">
        <w:rPr>
          <w:rFonts w:asciiTheme="minorHAnsi" w:hAnsiTheme="minorHAnsi"/>
          <w:sz w:val="21"/>
          <w:szCs w:val="21"/>
        </w:rPr>
        <w:t xml:space="preserve">Khadem, M., Piya, S., &amp; </w:t>
      </w:r>
      <w:proofErr w:type="spellStart"/>
      <w:r w:rsidRPr="005B42FE">
        <w:rPr>
          <w:rFonts w:asciiTheme="minorHAnsi" w:hAnsiTheme="minorHAnsi"/>
          <w:sz w:val="21"/>
          <w:szCs w:val="21"/>
        </w:rPr>
        <w:t>Shamsuzzoha</w:t>
      </w:r>
      <w:proofErr w:type="spellEnd"/>
      <w:r w:rsidRPr="005B42FE">
        <w:rPr>
          <w:rFonts w:asciiTheme="minorHAnsi" w:hAnsiTheme="minorHAnsi"/>
          <w:sz w:val="21"/>
          <w:szCs w:val="21"/>
        </w:rPr>
        <w:t xml:space="preserve">, A. (2018). Quantitative risk management in gas injection project. </w:t>
      </w:r>
      <w:r w:rsidRPr="005B42FE">
        <w:rPr>
          <w:rFonts w:asciiTheme="minorHAnsi" w:hAnsiTheme="minorHAnsi"/>
          <w:i/>
          <w:iCs/>
          <w:sz w:val="21"/>
          <w:szCs w:val="21"/>
        </w:rPr>
        <w:t>Journal of Industrial Engineering International, 14</w:t>
      </w:r>
      <w:r w:rsidRPr="005B42FE">
        <w:rPr>
          <w:rFonts w:asciiTheme="minorHAnsi" w:hAnsiTheme="minorHAnsi"/>
          <w:sz w:val="21"/>
          <w:szCs w:val="21"/>
        </w:rPr>
        <w:t>(3), 637-654.</w:t>
      </w:r>
    </w:p>
    <w:p w14:paraId="4AD13B56" w14:textId="77777777" w:rsidR="00E77D38" w:rsidRPr="005B42FE" w:rsidRDefault="00E77D38" w:rsidP="00E77D38">
      <w:pPr>
        <w:rPr>
          <w:rFonts w:asciiTheme="minorHAnsi" w:hAnsiTheme="minorHAnsi"/>
          <w:sz w:val="22"/>
          <w:szCs w:val="22"/>
        </w:rPr>
      </w:pPr>
      <w:r w:rsidRPr="005B42FE">
        <w:rPr>
          <w:rFonts w:asciiTheme="minorHAnsi" w:hAnsiTheme="minorHAnsi"/>
          <w:sz w:val="21"/>
          <w:szCs w:val="21"/>
        </w:rPr>
        <w:t>MindTools. (2024). Decision tree analysis. https://www.mindtools.com/az0q9po/decision-tree-analysis</w:t>
      </w:r>
    </w:p>
    <w:p w14:paraId="28F6B33A" w14:textId="10D340EF" w:rsidR="0089615B" w:rsidRPr="005B42FE" w:rsidRDefault="0089615B" w:rsidP="0099680B">
      <w:pPr>
        <w:rPr>
          <w:rFonts w:asciiTheme="minorHAnsi" w:hAnsiTheme="minorHAnsi"/>
          <w:sz w:val="21"/>
          <w:szCs w:val="21"/>
        </w:rPr>
      </w:pPr>
    </w:p>
    <w:sectPr w:rsidR="0089615B" w:rsidRPr="005B42FE" w:rsidSect="0026609B">
      <w:pgSz w:w="12240" w:h="15840"/>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BE0"/>
    <w:multiLevelType w:val="hybridMultilevel"/>
    <w:tmpl w:val="7AEC4F16"/>
    <w:lvl w:ilvl="0" w:tplc="4CF4ACF0">
      <w:start w:val="1"/>
      <w:numFmt w:val="bullet"/>
      <w:lvlText w:val="●"/>
      <w:lvlJc w:val="left"/>
      <w:pPr>
        <w:ind w:left="720" w:hanging="360"/>
      </w:pPr>
    </w:lvl>
    <w:lvl w:ilvl="1" w:tplc="ECB8FD42">
      <w:start w:val="1"/>
      <w:numFmt w:val="bullet"/>
      <w:lvlText w:val="○"/>
      <w:lvlJc w:val="left"/>
      <w:pPr>
        <w:ind w:left="1440" w:hanging="360"/>
      </w:pPr>
    </w:lvl>
    <w:lvl w:ilvl="2" w:tplc="86B2F65E">
      <w:start w:val="1"/>
      <w:numFmt w:val="bullet"/>
      <w:lvlText w:val="■"/>
      <w:lvlJc w:val="left"/>
      <w:pPr>
        <w:ind w:left="2160" w:hanging="360"/>
      </w:pPr>
    </w:lvl>
    <w:lvl w:ilvl="3" w:tplc="F5C4FD7A">
      <w:start w:val="1"/>
      <w:numFmt w:val="bullet"/>
      <w:lvlText w:val="●"/>
      <w:lvlJc w:val="left"/>
      <w:pPr>
        <w:ind w:left="2880" w:hanging="360"/>
      </w:pPr>
    </w:lvl>
    <w:lvl w:ilvl="4" w:tplc="D65C26E2">
      <w:start w:val="1"/>
      <w:numFmt w:val="bullet"/>
      <w:lvlText w:val="○"/>
      <w:lvlJc w:val="left"/>
      <w:pPr>
        <w:ind w:left="3600" w:hanging="360"/>
      </w:pPr>
    </w:lvl>
    <w:lvl w:ilvl="5" w:tplc="FDC6622A">
      <w:start w:val="1"/>
      <w:numFmt w:val="bullet"/>
      <w:lvlText w:val="■"/>
      <w:lvlJc w:val="left"/>
      <w:pPr>
        <w:ind w:left="4320" w:hanging="360"/>
      </w:pPr>
    </w:lvl>
    <w:lvl w:ilvl="6" w:tplc="3C026B84">
      <w:start w:val="1"/>
      <w:numFmt w:val="bullet"/>
      <w:lvlText w:val="●"/>
      <w:lvlJc w:val="left"/>
      <w:pPr>
        <w:ind w:left="5040" w:hanging="360"/>
      </w:pPr>
    </w:lvl>
    <w:lvl w:ilvl="7" w:tplc="2C4E107C">
      <w:start w:val="1"/>
      <w:numFmt w:val="bullet"/>
      <w:lvlText w:val="●"/>
      <w:lvlJc w:val="left"/>
      <w:pPr>
        <w:ind w:left="5760" w:hanging="360"/>
      </w:pPr>
    </w:lvl>
    <w:lvl w:ilvl="8" w:tplc="DADA8950">
      <w:start w:val="1"/>
      <w:numFmt w:val="bullet"/>
      <w:lvlText w:val="●"/>
      <w:lvlJc w:val="left"/>
      <w:pPr>
        <w:ind w:left="6480" w:hanging="360"/>
      </w:pPr>
    </w:lvl>
  </w:abstractNum>
  <w:abstractNum w:abstractNumId="1" w15:restartNumberingAfterBreak="0">
    <w:nsid w:val="28E50E65"/>
    <w:multiLevelType w:val="hybridMultilevel"/>
    <w:tmpl w:val="BE984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120B7E"/>
    <w:multiLevelType w:val="hybridMultilevel"/>
    <w:tmpl w:val="0DDE66C4"/>
    <w:lvl w:ilvl="0" w:tplc="1A126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68F3B25"/>
    <w:multiLevelType w:val="hybridMultilevel"/>
    <w:tmpl w:val="77E8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419979">
    <w:abstractNumId w:val="0"/>
    <w:lvlOverride w:ilvl="0">
      <w:startOverride w:val="1"/>
    </w:lvlOverride>
  </w:num>
  <w:num w:numId="2" w16cid:durableId="200440505">
    <w:abstractNumId w:val="3"/>
  </w:num>
  <w:num w:numId="3" w16cid:durableId="1778714261">
    <w:abstractNumId w:val="1"/>
  </w:num>
  <w:num w:numId="4" w16cid:durableId="180778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15B"/>
    <w:rsid w:val="00085071"/>
    <w:rsid w:val="000A00E6"/>
    <w:rsid w:val="00186EE9"/>
    <w:rsid w:val="0026609B"/>
    <w:rsid w:val="002F3321"/>
    <w:rsid w:val="0043569A"/>
    <w:rsid w:val="00516C55"/>
    <w:rsid w:val="005B42FE"/>
    <w:rsid w:val="007163B3"/>
    <w:rsid w:val="0081605E"/>
    <w:rsid w:val="0089615B"/>
    <w:rsid w:val="009345F5"/>
    <w:rsid w:val="0099680B"/>
    <w:rsid w:val="00A01685"/>
    <w:rsid w:val="00A023D3"/>
    <w:rsid w:val="00A94689"/>
    <w:rsid w:val="00C04F4A"/>
    <w:rsid w:val="00D45547"/>
    <w:rsid w:val="00E77D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38810"/>
  <w15:docId w15:val="{509AD13C-B88D-7142-8481-F78792DB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Dass</cp:lastModifiedBy>
  <cp:revision>31</cp:revision>
  <dcterms:created xsi:type="dcterms:W3CDTF">2026-03-18T19:35:00Z</dcterms:created>
  <dcterms:modified xsi:type="dcterms:W3CDTF">2026-03-18T21:23:00Z</dcterms:modified>
</cp:coreProperties>
</file>