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60824" w14:textId="77777777" w:rsidR="00EC26F7" w:rsidRDefault="00EC26F7" w:rsidP="00EC26F7">
      <w:pPr>
        <w:jc w:val="center"/>
      </w:pPr>
      <w:r w:rsidRPr="00B953A9">
        <w:rPr>
          <w:noProof/>
          <w:color w:val="FFC000" w:themeColor="accent4"/>
          <w:sz w:val="32"/>
          <w:szCs w:val="32"/>
        </w:rPr>
        <w:drawing>
          <wp:inline distT="0" distB="0" distL="0" distR="0" wp14:anchorId="2AC5C3F2" wp14:editId="598FBA6F">
            <wp:extent cx="3063240" cy="3063240"/>
            <wp:effectExtent l="0" t="0" r="3810" b="3810"/>
            <wp:docPr id="1189668457" name="Picture 1" descr="A picture containing logo, text, emblem,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logo, text, emblem, circl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2365" cy="3232365"/>
                    </a:xfrm>
                    <a:prstGeom prst="rect">
                      <a:avLst/>
                    </a:prstGeom>
                    <a:noFill/>
                    <a:ln>
                      <a:noFill/>
                    </a:ln>
                  </pic:spPr>
                </pic:pic>
              </a:graphicData>
            </a:graphic>
          </wp:inline>
        </w:drawing>
      </w:r>
    </w:p>
    <w:p w14:paraId="39232F9C" w14:textId="77777777" w:rsidR="00EC26F7" w:rsidRDefault="00EC26F7" w:rsidP="00EC26F7">
      <w:pPr>
        <w:jc w:val="center"/>
      </w:pPr>
    </w:p>
    <w:p w14:paraId="4671385B" w14:textId="77777777" w:rsidR="00EC26F7" w:rsidRPr="00CB0790" w:rsidRDefault="00EC26F7" w:rsidP="00EC26F7">
      <w:pPr>
        <w:jc w:val="center"/>
        <w:rPr>
          <w:sz w:val="40"/>
          <w:szCs w:val="40"/>
        </w:rPr>
      </w:pPr>
      <w:r w:rsidRPr="00CB0790">
        <w:rPr>
          <w:b/>
          <w:bCs/>
          <w:color w:val="2E4057"/>
          <w:sz w:val="40"/>
          <w:szCs w:val="40"/>
        </w:rPr>
        <w:t>ALY6130 - Risk Management Analytics</w:t>
      </w:r>
    </w:p>
    <w:p w14:paraId="008BE1B7" w14:textId="77777777" w:rsidR="00EC26F7" w:rsidRPr="00CB0790" w:rsidRDefault="00EC26F7" w:rsidP="00EC26F7">
      <w:pPr>
        <w:jc w:val="center"/>
        <w:rPr>
          <w:sz w:val="40"/>
          <w:szCs w:val="40"/>
        </w:rPr>
      </w:pPr>
      <w:r w:rsidRPr="00CB0790">
        <w:rPr>
          <w:b/>
          <w:bCs/>
          <w:color w:val="2E4057"/>
          <w:sz w:val="40"/>
          <w:szCs w:val="40"/>
        </w:rPr>
        <w:t xml:space="preserve">Module </w:t>
      </w:r>
      <w:r>
        <w:rPr>
          <w:b/>
          <w:bCs/>
          <w:color w:val="2E4057"/>
          <w:sz w:val="40"/>
          <w:szCs w:val="40"/>
        </w:rPr>
        <w:t>4</w:t>
      </w:r>
      <w:r w:rsidRPr="00CB0790">
        <w:rPr>
          <w:b/>
          <w:bCs/>
          <w:color w:val="2E4057"/>
          <w:sz w:val="40"/>
          <w:szCs w:val="40"/>
        </w:rPr>
        <w:t xml:space="preserve">: Risk </w:t>
      </w:r>
      <w:r>
        <w:rPr>
          <w:b/>
          <w:bCs/>
          <w:color w:val="2E4057"/>
          <w:sz w:val="40"/>
          <w:szCs w:val="40"/>
        </w:rPr>
        <w:t>Assessment</w:t>
      </w:r>
    </w:p>
    <w:p w14:paraId="115EE294" w14:textId="77777777" w:rsidR="00EC26F7" w:rsidRPr="00CB0790" w:rsidRDefault="00EC26F7" w:rsidP="00EC26F7">
      <w:pPr>
        <w:spacing w:after="300"/>
        <w:rPr>
          <w:sz w:val="36"/>
          <w:szCs w:val="36"/>
        </w:rPr>
      </w:pPr>
    </w:p>
    <w:p w14:paraId="00270AFB" w14:textId="77777777" w:rsidR="00EC26F7" w:rsidRPr="00434437" w:rsidRDefault="00EC26F7" w:rsidP="00EC26F7">
      <w:pPr>
        <w:jc w:val="center"/>
        <w:rPr>
          <w:i/>
          <w:iCs/>
          <w:color w:val="C45911" w:themeColor="accent2" w:themeShade="BF"/>
          <w:sz w:val="36"/>
          <w:szCs w:val="36"/>
        </w:rPr>
      </w:pPr>
      <w:r w:rsidRPr="00434437">
        <w:rPr>
          <w:b/>
          <w:bCs/>
          <w:i/>
          <w:iCs/>
          <w:color w:val="C45911" w:themeColor="accent2" w:themeShade="BF"/>
          <w:sz w:val="36"/>
          <w:szCs w:val="36"/>
        </w:rPr>
        <w:t>ServiceNow's $7.75 Billion Acquisition of Armis</w:t>
      </w:r>
    </w:p>
    <w:p w14:paraId="74DCFB89" w14:textId="0C4A712E" w:rsidR="00EC26F7" w:rsidRDefault="00EC26F7" w:rsidP="00EC26F7">
      <w:pPr>
        <w:spacing w:after="600"/>
        <w:jc w:val="center"/>
        <w:rPr>
          <w:color w:val="666666"/>
          <w:sz w:val="36"/>
          <w:szCs w:val="36"/>
        </w:rPr>
      </w:pPr>
      <w:r>
        <w:rPr>
          <w:color w:val="666666"/>
          <w:sz w:val="36"/>
          <w:szCs w:val="36"/>
        </w:rPr>
        <w:t>Risk Assessment with Indicators and Warning Analysis Technique</w:t>
      </w:r>
    </w:p>
    <w:p w14:paraId="1B24EB1C" w14:textId="77777777" w:rsidR="00EC26F7" w:rsidRPr="00FD4C7B" w:rsidRDefault="00EC26F7" w:rsidP="00EC26F7">
      <w:pPr>
        <w:jc w:val="center"/>
        <w:rPr>
          <w:sz w:val="28"/>
          <w:szCs w:val="28"/>
        </w:rPr>
      </w:pPr>
      <w:r w:rsidRPr="00FD4C7B">
        <w:rPr>
          <w:color w:val="000000"/>
          <w:sz w:val="28"/>
          <w:szCs w:val="28"/>
        </w:rPr>
        <w:t>Group 4: Adwoa Bempomaa, Sara Mathai, Lawrence Dass</w:t>
      </w:r>
    </w:p>
    <w:p w14:paraId="725C57E7" w14:textId="77777777" w:rsidR="00EC26F7" w:rsidRPr="00FD4C7B" w:rsidRDefault="00EC26F7" w:rsidP="00EC26F7">
      <w:pPr>
        <w:jc w:val="center"/>
        <w:rPr>
          <w:sz w:val="28"/>
          <w:szCs w:val="28"/>
        </w:rPr>
      </w:pPr>
      <w:r w:rsidRPr="00FD4C7B">
        <w:rPr>
          <w:color w:val="666666"/>
          <w:sz w:val="28"/>
          <w:szCs w:val="28"/>
        </w:rPr>
        <w:t>Northeastern University Vancouver | College of Professional Studies</w:t>
      </w:r>
    </w:p>
    <w:p w14:paraId="5BA524BD" w14:textId="77777777" w:rsidR="00EC26F7" w:rsidRDefault="00EC26F7" w:rsidP="00EC26F7">
      <w:pPr>
        <w:rPr>
          <w:color w:val="666666"/>
          <w:sz w:val="20"/>
          <w:szCs w:val="20"/>
        </w:rPr>
      </w:pPr>
    </w:p>
    <w:p w14:paraId="697F4F2F" w14:textId="77777777" w:rsidR="00EC26F7" w:rsidRPr="00CB0790" w:rsidRDefault="00EC26F7" w:rsidP="00EC26F7">
      <w:pPr>
        <w:rPr>
          <w:color w:val="666666"/>
          <w:sz w:val="20"/>
          <w:szCs w:val="20"/>
        </w:rPr>
      </w:pPr>
    </w:p>
    <w:p w14:paraId="540DA6D3" w14:textId="77777777" w:rsidR="00EC26F7" w:rsidRDefault="00EC26F7" w:rsidP="00EC26F7">
      <w:pPr>
        <w:rPr>
          <w:color w:val="666666"/>
          <w:sz w:val="20"/>
          <w:szCs w:val="20"/>
        </w:rPr>
      </w:pPr>
      <w:r>
        <w:rPr>
          <w:color w:val="666666"/>
          <w:sz w:val="20"/>
          <w:szCs w:val="20"/>
        </w:rPr>
        <w:t>Date: 18</w:t>
      </w:r>
      <w:r w:rsidRPr="00843994">
        <w:rPr>
          <w:color w:val="666666"/>
          <w:sz w:val="20"/>
          <w:szCs w:val="20"/>
          <w:vertAlign w:val="superscript"/>
        </w:rPr>
        <w:t>th</w:t>
      </w:r>
      <w:r>
        <w:rPr>
          <w:color w:val="666666"/>
          <w:sz w:val="20"/>
          <w:szCs w:val="20"/>
        </w:rPr>
        <w:t xml:space="preserve"> March 2026</w:t>
      </w:r>
    </w:p>
    <w:p w14:paraId="20919A17" w14:textId="77777777" w:rsidR="003276FD" w:rsidRDefault="003276FD" w:rsidP="00EC26F7">
      <w:pPr>
        <w:rPr>
          <w:color w:val="666666"/>
          <w:sz w:val="20"/>
          <w:szCs w:val="20"/>
        </w:rPr>
      </w:pPr>
    </w:p>
    <w:p w14:paraId="3EFEAEEA" w14:textId="77777777" w:rsidR="003276FD" w:rsidRPr="00AD06C9" w:rsidRDefault="003276FD" w:rsidP="003276FD">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AD06C9">
        <w:rPr>
          <w:rFonts w:ascii="Times New Roman" w:eastAsia="Times New Roman" w:hAnsi="Times New Roman" w:cs="Times New Roman"/>
          <w:b/>
          <w:bCs/>
          <w:kern w:val="36"/>
          <w:sz w:val="36"/>
          <w:szCs w:val="36"/>
          <w14:ligatures w14:val="none"/>
        </w:rPr>
        <w:lastRenderedPageBreak/>
        <w:t>Quantitative Assessment of Competitive Risks Using the Indicators &amp; Warnings (I&amp;W) Technique</w:t>
      </w:r>
    </w:p>
    <w:p w14:paraId="4B89292A" w14:textId="77777777" w:rsidR="003276FD" w:rsidRPr="00AD06C9" w:rsidRDefault="003276FD" w:rsidP="003276FD">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AD06C9">
        <w:rPr>
          <w:rFonts w:ascii="Times New Roman" w:eastAsia="Times New Roman" w:hAnsi="Times New Roman" w:cs="Times New Roman"/>
          <w:b/>
          <w:bCs/>
          <w:kern w:val="0"/>
          <w:sz w:val="32"/>
          <w:szCs w:val="32"/>
          <w14:ligatures w14:val="none"/>
        </w:rPr>
        <w:t>Introduction</w:t>
      </w:r>
    </w:p>
    <w:p w14:paraId="67FD0826" w14:textId="77777777" w:rsidR="003276FD" w:rsidRPr="00AD06C9" w:rsidRDefault="003276FD" w:rsidP="003276F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t xml:space="preserve">Building on the qualitative risk identification in Module 2 and the quantitative risk scoring and prioritization conducted in Module 3, this report applies the </w:t>
      </w:r>
      <w:r w:rsidRPr="00AD06C9">
        <w:rPr>
          <w:rFonts w:ascii="Times New Roman" w:eastAsia="Times New Roman" w:hAnsi="Times New Roman" w:cs="Times New Roman"/>
          <w:b/>
          <w:bCs/>
          <w:kern w:val="0"/>
          <w:sz w:val="22"/>
          <w:szCs w:val="22"/>
          <w14:ligatures w14:val="none"/>
        </w:rPr>
        <w:t>Indicators and Warnings (I&amp;W) analysis technique</w:t>
      </w:r>
      <w:r w:rsidRPr="00AD06C9">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kern w:val="0"/>
          <w:sz w:val="22"/>
          <w:szCs w:val="22"/>
          <w14:ligatures w14:val="none"/>
        </w:rPr>
        <w:t>to quantify further</w:t>
      </w:r>
      <w:r w:rsidRPr="00AD06C9">
        <w:rPr>
          <w:rFonts w:ascii="Times New Roman" w:eastAsia="Times New Roman" w:hAnsi="Times New Roman" w:cs="Times New Roman"/>
          <w:kern w:val="0"/>
          <w:sz w:val="22"/>
          <w:szCs w:val="22"/>
          <w14:ligatures w14:val="none"/>
        </w:rPr>
        <w:t xml:space="preserve"> and monitor three high-priority competitive risks associated with ServiceNow’s acquisition of Armis. These risks include (1) competitive displacement by rival mega-acquisition platforms, (2) AI-driven platform convergence and relevance erosion, and (3) regulatory-driven market demand acceleration as a strategic opportunity.</w:t>
      </w:r>
    </w:p>
    <w:p w14:paraId="712E761D" w14:textId="77777777" w:rsidR="003276FD" w:rsidRPr="00AD06C9" w:rsidRDefault="003276FD" w:rsidP="003276F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t xml:space="preserve">While Module 3 used a static likelihood–impact scoring model, Module 4 enhances the analysis by converting these risks into </w:t>
      </w:r>
      <w:r w:rsidRPr="00AD06C9">
        <w:rPr>
          <w:rFonts w:ascii="Times New Roman" w:eastAsia="Times New Roman" w:hAnsi="Times New Roman" w:cs="Times New Roman"/>
          <w:b/>
          <w:bCs/>
          <w:kern w:val="0"/>
          <w:sz w:val="22"/>
          <w:szCs w:val="22"/>
          <w14:ligatures w14:val="none"/>
        </w:rPr>
        <w:t>dynamic, data-driven indicators</w:t>
      </w:r>
      <w:r w:rsidRPr="00AD06C9">
        <w:rPr>
          <w:rFonts w:ascii="Times New Roman" w:eastAsia="Times New Roman" w:hAnsi="Times New Roman" w:cs="Times New Roman"/>
          <w:kern w:val="0"/>
          <w:sz w:val="22"/>
          <w:szCs w:val="22"/>
          <w14:ligatures w14:val="none"/>
        </w:rPr>
        <w:t xml:space="preserve"> that allow continuous monitoring of probability and impact. The I&amp;W technique enables early detection of changes in risk conditions by tracking measurable signals over time, thereby improving decision-making under uncertainty.</w:t>
      </w:r>
    </w:p>
    <w:p w14:paraId="1E762E59" w14:textId="77777777" w:rsidR="003276FD" w:rsidRPr="00AD06C9" w:rsidRDefault="003276FD" w:rsidP="003276FD">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AD06C9">
        <w:rPr>
          <w:rFonts w:ascii="Times New Roman" w:eastAsia="Times New Roman" w:hAnsi="Times New Roman" w:cs="Times New Roman"/>
          <w:b/>
          <w:bCs/>
          <w:kern w:val="0"/>
          <w:sz w:val="32"/>
          <w:szCs w:val="32"/>
          <w14:ligatures w14:val="none"/>
        </w:rPr>
        <w:t>Establishing the Indicators and Warnings Framework</w:t>
      </w:r>
    </w:p>
    <w:p w14:paraId="36DCD0E4" w14:textId="77777777" w:rsidR="003276FD" w:rsidRPr="00AD06C9" w:rsidRDefault="003276FD" w:rsidP="003276F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t xml:space="preserve">The first step in the quantitative assessment involved translating each risk into </w:t>
      </w:r>
      <w:r w:rsidRPr="00AD06C9">
        <w:rPr>
          <w:rFonts w:ascii="Times New Roman" w:eastAsia="Times New Roman" w:hAnsi="Times New Roman" w:cs="Times New Roman"/>
          <w:b/>
          <w:bCs/>
          <w:kern w:val="0"/>
          <w:sz w:val="22"/>
          <w:szCs w:val="22"/>
          <w14:ligatures w14:val="none"/>
        </w:rPr>
        <w:t>specific, observable, and measurable Key Risk Indicators (KRIs)</w:t>
      </w:r>
      <w:r w:rsidRPr="00AD06C9">
        <w:rPr>
          <w:rFonts w:ascii="Times New Roman" w:eastAsia="Times New Roman" w:hAnsi="Times New Roman" w:cs="Times New Roman"/>
          <w:kern w:val="0"/>
          <w:sz w:val="22"/>
          <w:szCs w:val="22"/>
          <w14:ligatures w14:val="none"/>
        </w:rPr>
        <w:t xml:space="preserve"> originally defined in Module 2. These indicators represent the underlying drivers of each risk and serve as early warning signals.</w:t>
      </w:r>
    </w:p>
    <w:p w14:paraId="50469C62" w14:textId="77777777" w:rsidR="003276FD" w:rsidRPr="00AD06C9" w:rsidRDefault="003276FD" w:rsidP="003276FD">
      <w:pPr>
        <w:numPr>
          <w:ilvl w:val="0"/>
          <w:numId w:val="1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b/>
          <w:bCs/>
          <w:kern w:val="0"/>
          <w:sz w:val="22"/>
          <w:szCs w:val="22"/>
          <w14:ligatures w14:val="none"/>
        </w:rPr>
        <w:t>Competitive Displacement Risk:</w:t>
      </w:r>
      <w:r w:rsidRPr="00AD06C9">
        <w:rPr>
          <w:rFonts w:ascii="Times New Roman" w:eastAsia="Times New Roman" w:hAnsi="Times New Roman" w:cs="Times New Roman"/>
          <w:kern w:val="0"/>
          <w:sz w:val="22"/>
          <w:szCs w:val="22"/>
          <w14:ligatures w14:val="none"/>
        </w:rPr>
        <w:t xml:space="preserve"> Competitive win rate in OT/IoT deals</w:t>
      </w:r>
    </w:p>
    <w:p w14:paraId="3FEA4879" w14:textId="77777777" w:rsidR="003276FD" w:rsidRPr="00AD06C9" w:rsidRDefault="003276FD" w:rsidP="003276FD">
      <w:pPr>
        <w:numPr>
          <w:ilvl w:val="0"/>
          <w:numId w:val="1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b/>
          <w:bCs/>
          <w:kern w:val="0"/>
          <w:sz w:val="22"/>
          <w:szCs w:val="22"/>
          <w14:ligatures w14:val="none"/>
        </w:rPr>
        <w:t>AI Convergence Risk:</w:t>
      </w:r>
      <w:r w:rsidRPr="00AD06C9">
        <w:rPr>
          <w:rFonts w:ascii="Times New Roman" w:eastAsia="Times New Roman" w:hAnsi="Times New Roman" w:cs="Times New Roman"/>
          <w:kern w:val="0"/>
          <w:sz w:val="22"/>
          <w:szCs w:val="22"/>
          <w14:ligatures w14:val="none"/>
        </w:rPr>
        <w:t xml:space="preserve"> AI capability gap index (feature parity score)</w:t>
      </w:r>
    </w:p>
    <w:p w14:paraId="19EB20E0" w14:textId="77777777" w:rsidR="003276FD" w:rsidRPr="00AD06C9" w:rsidRDefault="003276FD" w:rsidP="003276FD">
      <w:pPr>
        <w:numPr>
          <w:ilvl w:val="0"/>
          <w:numId w:val="1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b/>
          <w:bCs/>
          <w:kern w:val="0"/>
          <w:sz w:val="22"/>
          <w:szCs w:val="22"/>
          <w14:ligatures w14:val="none"/>
        </w:rPr>
        <w:t>Regulatory Opportunity Risk:</w:t>
      </w:r>
      <w:r w:rsidRPr="00AD06C9">
        <w:rPr>
          <w:rFonts w:ascii="Times New Roman" w:eastAsia="Times New Roman" w:hAnsi="Times New Roman" w:cs="Times New Roman"/>
          <w:kern w:val="0"/>
          <w:sz w:val="22"/>
          <w:szCs w:val="22"/>
          <w14:ligatures w14:val="none"/>
        </w:rPr>
        <w:t xml:space="preserve"> Regulatory-driven pipeline growth rate</w:t>
      </w:r>
    </w:p>
    <w:p w14:paraId="6C58FFD3" w14:textId="77777777" w:rsidR="003276FD" w:rsidRPr="00AD06C9" w:rsidRDefault="003276FD" w:rsidP="003276F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t>These KRIs were selected because they directly reflect competitive positioning and market dynamics and can be measured using real-time operational data such as CRM systems, analyst reports, and product benchmarking. This ensures alignment between qualitative risk identification and quantitative monitoring.</w:t>
      </w:r>
    </w:p>
    <w:p w14:paraId="2D5B2250" w14:textId="77777777" w:rsidR="003276FD" w:rsidRPr="00AD06C9" w:rsidRDefault="003276FD" w:rsidP="003276FD">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AD06C9">
        <w:rPr>
          <w:rFonts w:ascii="Times New Roman" w:eastAsia="Times New Roman" w:hAnsi="Times New Roman" w:cs="Times New Roman"/>
          <w:b/>
          <w:bCs/>
          <w:kern w:val="0"/>
          <w:sz w:val="32"/>
          <w:szCs w:val="32"/>
          <w14:ligatures w14:val="none"/>
        </w:rPr>
        <w:t>Quantifying Probability Using Indicator Thresholds</w:t>
      </w:r>
    </w:p>
    <w:p w14:paraId="1C4016D4" w14:textId="77777777" w:rsidR="003276FD" w:rsidRPr="00AD06C9" w:rsidRDefault="003276FD" w:rsidP="003276F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t xml:space="preserve">Unlike the fixed likelihood scores used in Module 3, probability in the I&amp;W framework is dynamically estimated using </w:t>
      </w:r>
      <w:r w:rsidRPr="00AD06C9">
        <w:rPr>
          <w:rFonts w:ascii="Times New Roman" w:eastAsia="Times New Roman" w:hAnsi="Times New Roman" w:cs="Times New Roman"/>
          <w:b/>
          <w:bCs/>
          <w:kern w:val="0"/>
          <w:sz w:val="22"/>
          <w:szCs w:val="22"/>
          <w14:ligatures w14:val="none"/>
        </w:rPr>
        <w:t>Green–Amber–Red threshold ranges</w:t>
      </w:r>
      <w:r w:rsidRPr="00AD06C9">
        <w:rPr>
          <w:rFonts w:ascii="Times New Roman" w:eastAsia="Times New Roman" w:hAnsi="Times New Roman" w:cs="Times New Roman"/>
          <w:kern w:val="0"/>
          <w:sz w:val="22"/>
          <w:szCs w:val="22"/>
          <w14:ligatures w14:val="none"/>
        </w:rPr>
        <w:t xml:space="preserve"> based on indicator performance.</w:t>
      </w:r>
    </w:p>
    <w:p w14:paraId="61B88C98" w14:textId="77777777" w:rsidR="003276FD" w:rsidRPr="00AD06C9" w:rsidRDefault="003276FD" w:rsidP="003276F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t>For competitive displacement risk, probability is derived from win-rate trends:</w:t>
      </w:r>
    </w:p>
    <w:p w14:paraId="7FF68B4A" w14:textId="77777777" w:rsidR="003276FD" w:rsidRPr="00AD06C9" w:rsidRDefault="003276FD" w:rsidP="003276FD">
      <w:pPr>
        <w:numPr>
          <w:ilvl w:val="0"/>
          <w:numId w:val="1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t xml:space="preserve">Green: &gt; </w:t>
      </w:r>
      <w:proofErr w:type="gramStart"/>
      <w:r w:rsidRPr="00AD06C9">
        <w:rPr>
          <w:rFonts w:ascii="Times New Roman" w:eastAsia="Times New Roman" w:hAnsi="Times New Roman" w:cs="Times New Roman"/>
          <w:kern w:val="0"/>
          <w:sz w:val="22"/>
          <w:szCs w:val="22"/>
          <w14:ligatures w14:val="none"/>
        </w:rPr>
        <w:t>35% win</w:t>
      </w:r>
      <w:proofErr w:type="gramEnd"/>
      <w:r w:rsidRPr="00AD06C9">
        <w:rPr>
          <w:rFonts w:ascii="Times New Roman" w:eastAsia="Times New Roman" w:hAnsi="Times New Roman" w:cs="Times New Roman"/>
          <w:kern w:val="0"/>
          <w:sz w:val="22"/>
          <w:szCs w:val="22"/>
          <w14:ligatures w14:val="none"/>
        </w:rPr>
        <w:t xml:space="preserve"> rate (low probability)</w:t>
      </w:r>
    </w:p>
    <w:p w14:paraId="304AA18D" w14:textId="77777777" w:rsidR="003276FD" w:rsidRPr="00AD06C9" w:rsidRDefault="003276FD" w:rsidP="003276FD">
      <w:pPr>
        <w:numPr>
          <w:ilvl w:val="0"/>
          <w:numId w:val="1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t>Amber: 25–35% (moderate probability)</w:t>
      </w:r>
    </w:p>
    <w:p w14:paraId="3A2467E1" w14:textId="77777777" w:rsidR="003276FD" w:rsidRPr="00AD06C9" w:rsidRDefault="003276FD" w:rsidP="003276FD">
      <w:pPr>
        <w:numPr>
          <w:ilvl w:val="0"/>
          <w:numId w:val="1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t>Red: &lt; 25% (high probability)</w:t>
      </w:r>
    </w:p>
    <w:p w14:paraId="21B1EB6C" w14:textId="77777777" w:rsidR="003276FD" w:rsidRPr="00AD06C9" w:rsidRDefault="003276FD" w:rsidP="003276F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t>For AI convergence risk:</w:t>
      </w:r>
    </w:p>
    <w:p w14:paraId="41A1490E" w14:textId="77777777" w:rsidR="003276FD" w:rsidRPr="00AD06C9" w:rsidRDefault="003276FD" w:rsidP="003276FD">
      <w:pPr>
        <w:numPr>
          <w:ilvl w:val="0"/>
          <w:numId w:val="1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t>Green: ≥ 85% feature parity</w:t>
      </w:r>
    </w:p>
    <w:p w14:paraId="637C681D" w14:textId="77777777" w:rsidR="003276FD" w:rsidRPr="00AD06C9" w:rsidRDefault="003276FD" w:rsidP="003276FD">
      <w:pPr>
        <w:numPr>
          <w:ilvl w:val="0"/>
          <w:numId w:val="1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t>Amber: 70–84%</w:t>
      </w:r>
    </w:p>
    <w:p w14:paraId="36B30C0F" w14:textId="77777777" w:rsidR="003276FD" w:rsidRPr="00AD06C9" w:rsidRDefault="003276FD" w:rsidP="003276FD">
      <w:pPr>
        <w:numPr>
          <w:ilvl w:val="0"/>
          <w:numId w:val="1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t>Red: &lt; 70%</w:t>
      </w:r>
    </w:p>
    <w:p w14:paraId="0DE26808" w14:textId="77777777" w:rsidR="003276FD" w:rsidRPr="00AD06C9" w:rsidRDefault="003276FD" w:rsidP="003276F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lastRenderedPageBreak/>
        <w:t>For regulatory opportunity:</w:t>
      </w:r>
    </w:p>
    <w:p w14:paraId="41BDA072" w14:textId="77777777" w:rsidR="003276FD" w:rsidRPr="00AD06C9" w:rsidRDefault="003276FD" w:rsidP="003276FD">
      <w:pPr>
        <w:numPr>
          <w:ilvl w:val="0"/>
          <w:numId w:val="1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t>Green: &gt; 25% pipeline growth</w:t>
      </w:r>
    </w:p>
    <w:p w14:paraId="22C10F55" w14:textId="77777777" w:rsidR="003276FD" w:rsidRPr="00AD06C9" w:rsidRDefault="003276FD" w:rsidP="003276FD">
      <w:pPr>
        <w:numPr>
          <w:ilvl w:val="0"/>
          <w:numId w:val="1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t>Amber: 10–25%</w:t>
      </w:r>
    </w:p>
    <w:p w14:paraId="6375E227" w14:textId="77777777" w:rsidR="003276FD" w:rsidRPr="00AD06C9" w:rsidRDefault="003276FD" w:rsidP="003276FD">
      <w:pPr>
        <w:numPr>
          <w:ilvl w:val="0"/>
          <w:numId w:val="1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t>Red: &lt; 10%</w:t>
      </w:r>
    </w:p>
    <w:p w14:paraId="3C71EDCD" w14:textId="77777777" w:rsidR="003276FD" w:rsidRPr="00AD06C9" w:rsidRDefault="003276FD" w:rsidP="003276FD">
      <w:pPr>
        <w:spacing w:before="100" w:beforeAutospacing="1" w:after="100" w:afterAutospacing="1" w:line="240" w:lineRule="auto"/>
        <w:rPr>
          <w:rFonts w:ascii="Times New Roman" w:eastAsia="Times New Roman" w:hAnsi="Times New Roman" w:cs="Times New Roman"/>
          <w:kern w:val="0"/>
          <w14:ligatures w14:val="none"/>
        </w:rPr>
      </w:pPr>
      <w:r w:rsidRPr="00AD06C9">
        <w:rPr>
          <w:rFonts w:ascii="Times New Roman" w:eastAsia="Times New Roman" w:hAnsi="Times New Roman" w:cs="Times New Roman"/>
          <w:kern w:val="0"/>
          <w:sz w:val="22"/>
          <w:szCs w:val="22"/>
          <w14:ligatures w14:val="none"/>
        </w:rPr>
        <w:t xml:space="preserve">Movement across thresholds signals changes in probability. For example, a decline in win rate from 38% to 28% indicates </w:t>
      </w:r>
      <w:r>
        <w:rPr>
          <w:rFonts w:ascii="Times New Roman" w:eastAsia="Times New Roman" w:hAnsi="Times New Roman" w:cs="Times New Roman"/>
          <w:kern w:val="0"/>
          <w:sz w:val="22"/>
          <w:szCs w:val="22"/>
          <w14:ligatures w14:val="none"/>
        </w:rPr>
        <w:t xml:space="preserve">an </w:t>
      </w:r>
      <w:r w:rsidRPr="00AD06C9">
        <w:rPr>
          <w:rFonts w:ascii="Times New Roman" w:eastAsia="Times New Roman" w:hAnsi="Times New Roman" w:cs="Times New Roman"/>
          <w:kern w:val="0"/>
          <w:sz w:val="22"/>
          <w:szCs w:val="22"/>
          <w14:ligatures w14:val="none"/>
        </w:rPr>
        <w:t xml:space="preserve">increasing likelihood of competitive displacement. This approach improves accuracy by incorporating </w:t>
      </w:r>
      <w:r w:rsidRPr="00AD06C9">
        <w:rPr>
          <w:rFonts w:ascii="Times New Roman" w:eastAsia="Times New Roman" w:hAnsi="Times New Roman" w:cs="Times New Roman"/>
          <w:b/>
          <w:bCs/>
          <w:kern w:val="0"/>
          <w:sz w:val="22"/>
          <w:szCs w:val="22"/>
          <w14:ligatures w14:val="none"/>
        </w:rPr>
        <w:t>real-time data trends rather than static assumptions</w:t>
      </w:r>
      <w:r w:rsidRPr="00AD06C9">
        <w:rPr>
          <w:rFonts w:ascii="Times New Roman" w:eastAsia="Times New Roman" w:hAnsi="Times New Roman" w:cs="Times New Roman"/>
          <w:kern w:val="0"/>
          <w14:ligatures w14:val="none"/>
        </w:rPr>
        <w:t>.</w:t>
      </w:r>
    </w:p>
    <w:p w14:paraId="79BCA012" w14:textId="77777777" w:rsidR="003276FD" w:rsidRPr="00AD06C9" w:rsidRDefault="003276FD" w:rsidP="003276FD">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AD06C9">
        <w:rPr>
          <w:rFonts w:ascii="Times New Roman" w:eastAsia="Times New Roman" w:hAnsi="Times New Roman" w:cs="Times New Roman"/>
          <w:b/>
          <w:bCs/>
          <w:kern w:val="0"/>
          <w:sz w:val="32"/>
          <w:szCs w:val="32"/>
          <w14:ligatures w14:val="none"/>
        </w:rPr>
        <w:t>Quantifying Impact Using Data-Driven Proxies</w:t>
      </w:r>
    </w:p>
    <w:p w14:paraId="5455C122" w14:textId="77777777" w:rsidR="003276FD" w:rsidRPr="00AD06C9" w:rsidRDefault="003276FD" w:rsidP="003276F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t xml:space="preserve">Impact scoring follows the 1–9 scale defined in Module 3 but is enhanced using </w:t>
      </w:r>
      <w:r w:rsidRPr="00AD06C9">
        <w:rPr>
          <w:rFonts w:ascii="Times New Roman" w:eastAsia="Times New Roman" w:hAnsi="Times New Roman" w:cs="Times New Roman"/>
          <w:b/>
          <w:bCs/>
          <w:kern w:val="0"/>
          <w:sz w:val="22"/>
          <w:szCs w:val="22"/>
          <w14:ligatures w14:val="none"/>
        </w:rPr>
        <w:t>quantitative business impact proxies</w:t>
      </w:r>
      <w:r w:rsidRPr="00AD06C9">
        <w:rPr>
          <w:rFonts w:ascii="Times New Roman" w:eastAsia="Times New Roman" w:hAnsi="Times New Roman" w:cs="Times New Roman"/>
          <w:kern w:val="0"/>
          <w:sz w:val="22"/>
          <w:szCs w:val="22"/>
          <w14:ligatures w14:val="none"/>
        </w:rPr>
        <w:t xml:space="preserve"> derived from indicator behavior.</w:t>
      </w:r>
    </w:p>
    <w:p w14:paraId="78DF1315" w14:textId="77777777" w:rsidR="003276FD" w:rsidRPr="00AD06C9" w:rsidRDefault="003276FD" w:rsidP="003276FD">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t>Win rate decline below 25% → estimated 10–15% revenue loss → Impact = 8</w:t>
      </w:r>
    </w:p>
    <w:p w14:paraId="20EC15C0" w14:textId="77777777" w:rsidR="003276FD" w:rsidRPr="00AD06C9" w:rsidRDefault="003276FD" w:rsidP="003276FD">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t>AI feature gap below 70% → structural competitive disadvantage → Impact = 9</w:t>
      </w:r>
    </w:p>
    <w:p w14:paraId="1C0B29D0" w14:textId="77777777" w:rsidR="003276FD" w:rsidRPr="00AD06C9" w:rsidRDefault="003276FD" w:rsidP="003276FD">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t>Regulatory pipeline growth above 25% → &gt;$500M opportunity → Impact = 8</w:t>
      </w:r>
    </w:p>
    <w:p w14:paraId="734FD9D7" w14:textId="77777777" w:rsidR="003276FD" w:rsidRPr="00AD06C9" w:rsidRDefault="003276FD" w:rsidP="003276FD">
      <w:pPr>
        <w:spacing w:before="100" w:beforeAutospacing="1" w:after="100" w:afterAutospacing="1" w:line="240" w:lineRule="auto"/>
        <w:rPr>
          <w:rFonts w:ascii="Times New Roman" w:eastAsia="Times New Roman" w:hAnsi="Times New Roman" w:cs="Times New Roman"/>
          <w:kern w:val="0"/>
          <w14:ligatures w14:val="none"/>
        </w:rPr>
      </w:pPr>
      <w:r w:rsidRPr="00AD06C9">
        <w:rPr>
          <w:rFonts w:ascii="Times New Roman" w:eastAsia="Times New Roman" w:hAnsi="Times New Roman" w:cs="Times New Roman"/>
          <w:kern w:val="0"/>
          <w:sz w:val="22"/>
          <w:szCs w:val="22"/>
          <w14:ligatures w14:val="none"/>
        </w:rPr>
        <w:t xml:space="preserve">This method strengthens the credibility of impact estimates by linking them to </w:t>
      </w:r>
      <w:r w:rsidRPr="00AD06C9">
        <w:rPr>
          <w:rFonts w:ascii="Times New Roman" w:eastAsia="Times New Roman" w:hAnsi="Times New Roman" w:cs="Times New Roman"/>
          <w:b/>
          <w:bCs/>
          <w:kern w:val="0"/>
          <w:sz w:val="22"/>
          <w:szCs w:val="22"/>
          <w14:ligatures w14:val="none"/>
        </w:rPr>
        <w:t>financial and strategic outcomes</w:t>
      </w:r>
      <w:r w:rsidRPr="00AD06C9">
        <w:rPr>
          <w:rFonts w:ascii="Times New Roman" w:eastAsia="Times New Roman" w:hAnsi="Times New Roman" w:cs="Times New Roman"/>
          <w:kern w:val="0"/>
          <w:sz w:val="22"/>
          <w:szCs w:val="22"/>
          <w14:ligatures w14:val="none"/>
        </w:rPr>
        <w:t>, ensuring consistency with the Module 3 risk calculation framework</w:t>
      </w:r>
      <w:r w:rsidRPr="00AD06C9">
        <w:rPr>
          <w:rFonts w:ascii="Times New Roman" w:eastAsia="Times New Roman" w:hAnsi="Times New Roman" w:cs="Times New Roman"/>
          <w:kern w:val="0"/>
          <w14:ligatures w14:val="none"/>
        </w:rPr>
        <w:t>.</w:t>
      </w:r>
    </w:p>
    <w:p w14:paraId="5964FFAB" w14:textId="77777777" w:rsidR="003276FD" w:rsidRPr="00AD06C9" w:rsidRDefault="003276FD" w:rsidP="003276FD">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AD06C9">
        <w:rPr>
          <w:rFonts w:ascii="Times New Roman" w:eastAsia="Times New Roman" w:hAnsi="Times New Roman" w:cs="Times New Roman"/>
          <w:b/>
          <w:bCs/>
          <w:kern w:val="0"/>
          <w:sz w:val="32"/>
          <w:szCs w:val="32"/>
          <w14:ligatures w14:val="none"/>
        </w:rPr>
        <w:t>Quantitative Risk Scoring and Validation</w:t>
      </w:r>
    </w:p>
    <w:p w14:paraId="12B138FD" w14:textId="77777777" w:rsidR="003276FD" w:rsidRPr="00AD06C9" w:rsidRDefault="003276FD" w:rsidP="003276F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t>Risk scores were calculated using the standard formula:</w:t>
      </w:r>
    </w:p>
    <w:p w14:paraId="33E3EAAC" w14:textId="77777777" w:rsidR="003276FD" w:rsidRPr="00AD06C9" w:rsidRDefault="003276FD" w:rsidP="003276F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b/>
          <w:bCs/>
          <w:kern w:val="0"/>
          <w:sz w:val="22"/>
          <w:szCs w:val="22"/>
          <w14:ligatures w14:val="none"/>
        </w:rPr>
        <w:t>Risk Score = Likelihood × Impact</w:t>
      </w:r>
    </w:p>
    <w:p w14:paraId="49AE9B21" w14:textId="77777777" w:rsidR="003276FD" w:rsidRPr="00AD06C9" w:rsidRDefault="003276FD" w:rsidP="003276F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t>Using indicator-informed likelihood values:</w:t>
      </w:r>
    </w:p>
    <w:p w14:paraId="4A82283D" w14:textId="77777777" w:rsidR="003276FD" w:rsidRPr="00AD06C9" w:rsidRDefault="003276FD" w:rsidP="003276FD">
      <w:pPr>
        <w:numPr>
          <w:ilvl w:val="0"/>
          <w:numId w:val="1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t>Competitive displacement: 7 × 8 = 56</w:t>
      </w:r>
    </w:p>
    <w:p w14:paraId="7E4E9189" w14:textId="77777777" w:rsidR="003276FD" w:rsidRPr="00AD06C9" w:rsidRDefault="003276FD" w:rsidP="003276FD">
      <w:pPr>
        <w:numPr>
          <w:ilvl w:val="0"/>
          <w:numId w:val="1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t>AI convergence: 7 × 9 = 63</w:t>
      </w:r>
    </w:p>
    <w:p w14:paraId="27322BC2" w14:textId="77777777" w:rsidR="003276FD" w:rsidRPr="00AD06C9" w:rsidRDefault="003276FD" w:rsidP="003276FD">
      <w:pPr>
        <w:numPr>
          <w:ilvl w:val="0"/>
          <w:numId w:val="1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t>Regulatory opportunity: 9 × 8 = 72</w:t>
      </w:r>
    </w:p>
    <w:p w14:paraId="4AC57609" w14:textId="77777777" w:rsidR="003276FD" w:rsidRPr="00AD06C9" w:rsidRDefault="003276FD" w:rsidP="003276F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t xml:space="preserve">These scores are consistent with Module 3 results, validating that the I&amp;W technique provides a </w:t>
      </w:r>
      <w:r w:rsidRPr="00AD06C9">
        <w:rPr>
          <w:rFonts w:ascii="Times New Roman" w:eastAsia="Times New Roman" w:hAnsi="Times New Roman" w:cs="Times New Roman"/>
          <w:b/>
          <w:bCs/>
          <w:kern w:val="0"/>
          <w:sz w:val="22"/>
          <w:szCs w:val="22"/>
          <w14:ligatures w14:val="none"/>
        </w:rPr>
        <w:t>robust quantitative foundation</w:t>
      </w:r>
      <w:r w:rsidRPr="00AD06C9">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kern w:val="0"/>
          <w:sz w:val="22"/>
          <w:szCs w:val="22"/>
          <w14:ligatures w14:val="none"/>
        </w:rPr>
        <w:t>and improves probability estimation</w:t>
      </w:r>
      <w:r w:rsidRPr="00AD06C9">
        <w:rPr>
          <w:rFonts w:ascii="Times New Roman" w:eastAsia="Times New Roman" w:hAnsi="Times New Roman" w:cs="Times New Roman"/>
          <w:kern w:val="0"/>
          <w:sz w:val="22"/>
          <w:szCs w:val="22"/>
          <w14:ligatures w14:val="none"/>
        </w:rPr>
        <w:t>. This demonstrates continuity and strengthens confidence in the risk prioritization process.</w:t>
      </w:r>
    </w:p>
    <w:p w14:paraId="144E18D4" w14:textId="77777777" w:rsidR="003276FD" w:rsidRPr="00AD06C9" w:rsidRDefault="003276FD" w:rsidP="003276FD">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AD06C9">
        <w:rPr>
          <w:rFonts w:ascii="Times New Roman" w:eastAsia="Times New Roman" w:hAnsi="Times New Roman" w:cs="Times New Roman"/>
          <w:b/>
          <w:bCs/>
          <w:kern w:val="0"/>
          <w:sz w:val="32"/>
          <w:szCs w:val="32"/>
          <w14:ligatures w14:val="none"/>
        </w:rPr>
        <w:t>Trend Analysis and Early Warning Signals</w:t>
      </w:r>
    </w:p>
    <w:p w14:paraId="131B4387" w14:textId="77777777" w:rsidR="003276FD" w:rsidRPr="00AD06C9" w:rsidRDefault="003276FD" w:rsidP="003276F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t xml:space="preserve">A key advantage of the I&amp;W technique is its focus on </w:t>
      </w:r>
      <w:r w:rsidRPr="00AD06C9">
        <w:rPr>
          <w:rFonts w:ascii="Times New Roman" w:eastAsia="Times New Roman" w:hAnsi="Times New Roman" w:cs="Times New Roman"/>
          <w:b/>
          <w:bCs/>
          <w:kern w:val="0"/>
          <w:sz w:val="22"/>
          <w:szCs w:val="22"/>
          <w14:ligatures w14:val="none"/>
        </w:rPr>
        <w:t>trend-based monitoring</w:t>
      </w:r>
      <w:r w:rsidRPr="00AD06C9">
        <w:rPr>
          <w:rFonts w:ascii="Times New Roman" w:eastAsia="Times New Roman" w:hAnsi="Times New Roman" w:cs="Times New Roman"/>
          <w:kern w:val="0"/>
          <w:sz w:val="22"/>
          <w:szCs w:val="22"/>
          <w14:ligatures w14:val="none"/>
        </w:rPr>
        <w:t xml:space="preserve"> rather than one-time evaluation. Risk probability is continuously updated based on indicator trajectories:</w:t>
      </w:r>
    </w:p>
    <w:p w14:paraId="17FA4299" w14:textId="77777777" w:rsidR="003276FD" w:rsidRPr="00AD06C9" w:rsidRDefault="003276FD" w:rsidP="003276FD">
      <w:pPr>
        <w:numPr>
          <w:ilvl w:val="0"/>
          <w:numId w:val="20"/>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t>Declining win rates → increasing competitive risk</w:t>
      </w:r>
    </w:p>
    <w:p w14:paraId="76D9B607" w14:textId="77777777" w:rsidR="003276FD" w:rsidRPr="00AD06C9" w:rsidRDefault="003276FD" w:rsidP="003276FD">
      <w:pPr>
        <w:numPr>
          <w:ilvl w:val="0"/>
          <w:numId w:val="20"/>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t>Widening AI capability gap → accelerating relevance erosion</w:t>
      </w:r>
    </w:p>
    <w:p w14:paraId="19293191" w14:textId="77777777" w:rsidR="003276FD" w:rsidRPr="00AD06C9" w:rsidRDefault="003276FD" w:rsidP="003276FD">
      <w:pPr>
        <w:numPr>
          <w:ilvl w:val="0"/>
          <w:numId w:val="20"/>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t>Increasing regulatory-driven pipeline → strengthening opportunity realization</w:t>
      </w:r>
    </w:p>
    <w:p w14:paraId="5C5F4770" w14:textId="77777777" w:rsidR="003276FD" w:rsidRPr="00AD06C9" w:rsidRDefault="003276FD" w:rsidP="003276F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lastRenderedPageBreak/>
        <w:t xml:space="preserve">This approach aligns with enterprise risk management best practices by enabling </w:t>
      </w:r>
      <w:r w:rsidRPr="00AD06C9">
        <w:rPr>
          <w:rFonts w:ascii="Times New Roman" w:eastAsia="Times New Roman" w:hAnsi="Times New Roman" w:cs="Times New Roman"/>
          <w:b/>
          <w:bCs/>
          <w:kern w:val="0"/>
          <w:sz w:val="22"/>
          <w:szCs w:val="22"/>
          <w14:ligatures w14:val="none"/>
        </w:rPr>
        <w:t>proactive rather than reactive risk management</w:t>
      </w:r>
      <w:r w:rsidRPr="00AD06C9">
        <w:rPr>
          <w:rFonts w:ascii="Times New Roman" w:eastAsia="Times New Roman" w:hAnsi="Times New Roman" w:cs="Times New Roman"/>
          <w:kern w:val="0"/>
          <w:sz w:val="22"/>
          <w:szCs w:val="22"/>
          <w14:ligatures w14:val="none"/>
        </w:rPr>
        <w:t>.</w:t>
      </w:r>
    </w:p>
    <w:p w14:paraId="4E4483A1" w14:textId="77777777" w:rsidR="003276FD" w:rsidRPr="00AD06C9" w:rsidRDefault="003276FD" w:rsidP="003276FD">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AD06C9">
        <w:rPr>
          <w:rFonts w:ascii="Times New Roman" w:eastAsia="Times New Roman" w:hAnsi="Times New Roman" w:cs="Times New Roman"/>
          <w:b/>
          <w:bCs/>
          <w:kern w:val="0"/>
          <w:sz w:val="32"/>
          <w:szCs w:val="32"/>
          <w14:ligatures w14:val="none"/>
        </w:rPr>
        <w:t>Monte Carlo Simulation for Uncertainty Modeling</w:t>
      </w:r>
    </w:p>
    <w:p w14:paraId="357A9F91" w14:textId="77777777" w:rsidR="003276FD" w:rsidRPr="00AD06C9" w:rsidRDefault="003276FD" w:rsidP="003276F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t xml:space="preserve">To further enhance the quantitative assessment, </w:t>
      </w:r>
      <w:r w:rsidRPr="00AD06C9">
        <w:rPr>
          <w:rFonts w:ascii="Times New Roman" w:eastAsia="Times New Roman" w:hAnsi="Times New Roman" w:cs="Times New Roman"/>
          <w:b/>
          <w:bCs/>
          <w:kern w:val="0"/>
          <w:sz w:val="22"/>
          <w:szCs w:val="22"/>
          <w14:ligatures w14:val="none"/>
        </w:rPr>
        <w:t>Monte Carlo simulation</w:t>
      </w:r>
      <w:r w:rsidRPr="00AD06C9">
        <w:rPr>
          <w:rFonts w:ascii="Times New Roman" w:eastAsia="Times New Roman" w:hAnsi="Times New Roman" w:cs="Times New Roman"/>
          <w:kern w:val="0"/>
          <w:sz w:val="22"/>
          <w:szCs w:val="22"/>
          <w14:ligatures w14:val="none"/>
        </w:rPr>
        <w:t xml:space="preserve"> can be applied to model uncertainty in key indicators. Probability distributions can be assigned to variables such as win rates, AI capability scores, and pipeline growth. By simulating thousands of scenarios, analysts can estimate the range and likelihood of potential outcomes, such as revenue loss or growth.</w:t>
      </w:r>
    </w:p>
    <w:p w14:paraId="3C483C9E" w14:textId="77777777" w:rsidR="003276FD" w:rsidRPr="00AD06C9" w:rsidRDefault="003276FD" w:rsidP="003276F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t xml:space="preserve">This allows decision-makers to evaluate </w:t>
      </w:r>
      <w:r w:rsidRPr="00AD06C9">
        <w:rPr>
          <w:rFonts w:ascii="Times New Roman" w:eastAsia="Times New Roman" w:hAnsi="Times New Roman" w:cs="Times New Roman"/>
          <w:b/>
          <w:bCs/>
          <w:kern w:val="0"/>
          <w:sz w:val="22"/>
          <w:szCs w:val="22"/>
          <w14:ligatures w14:val="none"/>
        </w:rPr>
        <w:t>best-case, worst-case, and expected scenarios</w:t>
      </w:r>
      <w:r w:rsidRPr="00AD06C9">
        <w:rPr>
          <w:rFonts w:ascii="Times New Roman" w:eastAsia="Times New Roman" w:hAnsi="Times New Roman" w:cs="Times New Roman"/>
          <w:kern w:val="0"/>
          <w:sz w:val="22"/>
          <w:szCs w:val="22"/>
          <w14:ligatures w14:val="none"/>
        </w:rPr>
        <w:t>, improving risk forecasting and supporting strategic planning under uncertainty. Compared to deterministic scoring, this approach provides a more comprehensive understanding of risk variability.</w:t>
      </w:r>
    </w:p>
    <w:p w14:paraId="3A4A430E" w14:textId="77777777" w:rsidR="003276FD" w:rsidRPr="00AD06C9" w:rsidRDefault="003276FD" w:rsidP="003276FD">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AD06C9">
        <w:rPr>
          <w:rFonts w:ascii="Times New Roman" w:eastAsia="Times New Roman" w:hAnsi="Times New Roman" w:cs="Times New Roman"/>
          <w:b/>
          <w:bCs/>
          <w:kern w:val="0"/>
          <w:sz w:val="32"/>
          <w:szCs w:val="32"/>
          <w14:ligatures w14:val="none"/>
        </w:rPr>
        <w:t>Machine Learning for Predictive Risk Analytics</w:t>
      </w:r>
    </w:p>
    <w:p w14:paraId="4DFB38C4" w14:textId="77777777" w:rsidR="003276FD" w:rsidRPr="00AD06C9" w:rsidRDefault="003276FD" w:rsidP="003276F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t xml:space="preserve">Machine learning techniques can complement the I&amp;W framework by identifying patterns and predicting future risk behavior. Algorithms such as </w:t>
      </w:r>
      <w:r w:rsidRPr="00AD06C9">
        <w:rPr>
          <w:rFonts w:ascii="Times New Roman" w:eastAsia="Times New Roman" w:hAnsi="Times New Roman" w:cs="Times New Roman"/>
          <w:b/>
          <w:bCs/>
          <w:kern w:val="0"/>
          <w:sz w:val="22"/>
          <w:szCs w:val="22"/>
          <w14:ligatures w14:val="none"/>
        </w:rPr>
        <w:t>Random Forest, Gradient Boosting, and logistic regression</w:t>
      </w:r>
      <w:r w:rsidRPr="00AD06C9">
        <w:rPr>
          <w:rFonts w:ascii="Times New Roman" w:eastAsia="Times New Roman" w:hAnsi="Times New Roman" w:cs="Times New Roman"/>
          <w:kern w:val="0"/>
          <w:sz w:val="22"/>
          <w:szCs w:val="22"/>
          <w14:ligatures w14:val="none"/>
        </w:rPr>
        <w:t xml:space="preserve"> can analyze historical market data, competitor actions, and product innovation trends to forecast risk probability.</w:t>
      </w:r>
    </w:p>
    <w:p w14:paraId="39BD9863" w14:textId="77777777" w:rsidR="003276FD" w:rsidRPr="00AD06C9" w:rsidRDefault="003276FD" w:rsidP="003276F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t xml:space="preserve">For example, machine learning models can predict the likelihood of losing competitive deals based on past win/loss data or estimate the impact of AI innovation gaps on customer adoption. These techniques enhance early warning capabilities by capturing </w:t>
      </w:r>
      <w:r w:rsidRPr="00AD06C9">
        <w:rPr>
          <w:rFonts w:ascii="Times New Roman" w:eastAsia="Times New Roman" w:hAnsi="Times New Roman" w:cs="Times New Roman"/>
          <w:b/>
          <w:bCs/>
          <w:kern w:val="0"/>
          <w:sz w:val="22"/>
          <w:szCs w:val="22"/>
          <w14:ligatures w14:val="none"/>
        </w:rPr>
        <w:t>nonlinear relationships and complex interactions among risk drivers</w:t>
      </w:r>
      <w:r w:rsidRPr="00AD06C9">
        <w:rPr>
          <w:rFonts w:ascii="Times New Roman" w:eastAsia="Times New Roman" w:hAnsi="Times New Roman" w:cs="Times New Roman"/>
          <w:kern w:val="0"/>
          <w:sz w:val="22"/>
          <w:szCs w:val="22"/>
          <w14:ligatures w14:val="none"/>
        </w:rPr>
        <w:t>.</w:t>
      </w:r>
    </w:p>
    <w:p w14:paraId="398BD7FF" w14:textId="77777777" w:rsidR="003276FD" w:rsidRPr="00AD06C9" w:rsidRDefault="003276FD" w:rsidP="003276FD">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AD06C9">
        <w:rPr>
          <w:rFonts w:ascii="Times New Roman" w:eastAsia="Times New Roman" w:hAnsi="Times New Roman" w:cs="Times New Roman"/>
          <w:b/>
          <w:bCs/>
          <w:kern w:val="0"/>
          <w:sz w:val="32"/>
          <w:szCs w:val="32"/>
          <w14:ligatures w14:val="none"/>
        </w:rPr>
        <w:t>Integration with Risk Register and Heatmap</w:t>
      </w:r>
    </w:p>
    <w:p w14:paraId="44EA16CC" w14:textId="77777777" w:rsidR="003276FD" w:rsidRPr="00AD06C9" w:rsidRDefault="003276FD" w:rsidP="003276F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t>The final step involved integrating the I&amp;W results into the existing Module 3 risk register and heatmap. This included:</w:t>
      </w:r>
    </w:p>
    <w:p w14:paraId="63795CAF" w14:textId="77777777" w:rsidR="003276FD" w:rsidRPr="00AD06C9" w:rsidRDefault="003276FD" w:rsidP="003276FD">
      <w:pPr>
        <w:numPr>
          <w:ilvl w:val="0"/>
          <w:numId w:val="2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t>Updating likelihood scores based on indicator thresholds</w:t>
      </w:r>
    </w:p>
    <w:p w14:paraId="41E597D7" w14:textId="77777777" w:rsidR="003276FD" w:rsidRPr="00AD06C9" w:rsidRDefault="003276FD" w:rsidP="003276FD">
      <w:pPr>
        <w:numPr>
          <w:ilvl w:val="0"/>
          <w:numId w:val="2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t>Providing quantitative justification for impact scores</w:t>
      </w:r>
    </w:p>
    <w:p w14:paraId="1FFEED06" w14:textId="77777777" w:rsidR="003276FD" w:rsidRPr="00AD06C9" w:rsidRDefault="003276FD" w:rsidP="003276FD">
      <w:pPr>
        <w:numPr>
          <w:ilvl w:val="0"/>
          <w:numId w:val="2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t>Enhancing monitoring using real-time KRIs</w:t>
      </w:r>
    </w:p>
    <w:p w14:paraId="11D7B176" w14:textId="77777777" w:rsidR="003276FD" w:rsidRPr="00AD06C9" w:rsidRDefault="003276FD" w:rsidP="003276F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t xml:space="preserve">This ensures that the risk register evolves from a </w:t>
      </w:r>
      <w:r w:rsidRPr="00AD06C9">
        <w:rPr>
          <w:rFonts w:ascii="Times New Roman" w:eastAsia="Times New Roman" w:hAnsi="Times New Roman" w:cs="Times New Roman"/>
          <w:b/>
          <w:bCs/>
          <w:kern w:val="0"/>
          <w:sz w:val="22"/>
          <w:szCs w:val="22"/>
          <w14:ligatures w14:val="none"/>
        </w:rPr>
        <w:t>static assessment tool into a dynamic monitoring system</w:t>
      </w:r>
      <w:r w:rsidRPr="00AD06C9">
        <w:rPr>
          <w:rFonts w:ascii="Times New Roman" w:eastAsia="Times New Roman" w:hAnsi="Times New Roman" w:cs="Times New Roman"/>
          <w:kern w:val="0"/>
          <w:sz w:val="22"/>
          <w:szCs w:val="22"/>
          <w14:ligatures w14:val="none"/>
        </w:rPr>
        <w:t>, improving decision-making and risk governance.</w:t>
      </w:r>
    </w:p>
    <w:p w14:paraId="1ABFAAC6" w14:textId="77777777" w:rsidR="003276FD" w:rsidRPr="00AD06C9" w:rsidRDefault="003276FD" w:rsidP="003276FD">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AD06C9">
        <w:rPr>
          <w:rFonts w:ascii="Times New Roman" w:eastAsia="Times New Roman" w:hAnsi="Times New Roman" w:cs="Times New Roman"/>
          <w:b/>
          <w:bCs/>
          <w:kern w:val="0"/>
          <w:sz w:val="32"/>
          <w:szCs w:val="32"/>
          <w14:ligatures w14:val="none"/>
        </w:rPr>
        <w:t>Conclusion</w:t>
      </w:r>
    </w:p>
    <w:p w14:paraId="46073C88" w14:textId="77777777" w:rsidR="003276FD" w:rsidRPr="00AD06C9" w:rsidRDefault="003276FD" w:rsidP="003276F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t>This analysis demonstrates how the Indicators and Warnings technique enhances traditional risk assessment by converting qualitative risks into measurable, data-driven indicators. By linking risk probability and impact to observable trends, the I&amp;W framework enables early detection of competitive threats and opportunities.</w:t>
      </w:r>
    </w:p>
    <w:p w14:paraId="1EA9F5A4" w14:textId="77777777" w:rsidR="003276FD" w:rsidRPr="00AD06C9" w:rsidRDefault="003276FD" w:rsidP="003276F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t>The integration of Monte Carlo simulation and machine learning further strengthens the analysis by incorporating uncertainty modeling and predictive analytics. Together, these methods provide a comprehensive and forward-looking approach to enterprise risk management.</w:t>
      </w:r>
    </w:p>
    <w:p w14:paraId="79414BF2" w14:textId="77777777" w:rsidR="003276FD" w:rsidRPr="00AD06C9" w:rsidRDefault="003276FD" w:rsidP="003276F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lastRenderedPageBreak/>
        <w:t xml:space="preserve">Overall, Module 4 </w:t>
      </w:r>
      <w:r>
        <w:rPr>
          <w:rFonts w:ascii="Times New Roman" w:eastAsia="Times New Roman" w:hAnsi="Times New Roman" w:cs="Times New Roman"/>
          <w:kern w:val="0"/>
          <w:sz w:val="22"/>
          <w:szCs w:val="22"/>
          <w14:ligatures w14:val="none"/>
        </w:rPr>
        <w:t xml:space="preserve">builds on prior work by transforming the identified and prioritized risks into a continuous, quantitative, and strategically aligned risk-monitoring system, thereby </w:t>
      </w:r>
      <w:r w:rsidRPr="00AD06C9">
        <w:rPr>
          <w:rFonts w:ascii="Times New Roman" w:eastAsia="Times New Roman" w:hAnsi="Times New Roman" w:cs="Times New Roman"/>
          <w:kern w:val="0"/>
          <w:sz w:val="22"/>
          <w:szCs w:val="22"/>
          <w14:ligatures w14:val="none"/>
        </w:rPr>
        <w:t>supporting more informed and proactive decision-making.</w:t>
      </w:r>
    </w:p>
    <w:p w14:paraId="590B8C08" w14:textId="77777777" w:rsidR="003276FD" w:rsidRDefault="003276FD" w:rsidP="003276FD">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AD06C9">
        <w:rPr>
          <w:rFonts w:ascii="Times New Roman" w:eastAsia="Times New Roman" w:hAnsi="Times New Roman" w:cs="Times New Roman"/>
          <w:b/>
          <w:bCs/>
          <w:kern w:val="0"/>
          <w:sz w:val="32"/>
          <w:szCs w:val="32"/>
          <w14:ligatures w14:val="none"/>
        </w:rPr>
        <w:t>References</w:t>
      </w:r>
    </w:p>
    <w:p w14:paraId="2B07F855" w14:textId="77777777" w:rsidR="003276FD" w:rsidRPr="00AD06C9" w:rsidRDefault="003276FD" w:rsidP="003276FD">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AD06C9">
        <w:rPr>
          <w:rFonts w:ascii="Times New Roman" w:eastAsia="Times New Roman" w:hAnsi="Times New Roman" w:cs="Times New Roman"/>
          <w:kern w:val="0"/>
          <w:sz w:val="22"/>
          <w:szCs w:val="22"/>
          <w14:ligatures w14:val="none"/>
        </w:rPr>
        <w:t xml:space="preserve">Beasley, M. S., Clune, R., &amp; Hermanson, D. R. (2005). Enterprise risk management: An empirical analysis of factors associated with the extent of implementation. </w:t>
      </w:r>
      <w:r w:rsidRPr="00AD06C9">
        <w:rPr>
          <w:rFonts w:ascii="Times New Roman" w:eastAsia="Times New Roman" w:hAnsi="Times New Roman" w:cs="Times New Roman"/>
          <w:i/>
          <w:iCs/>
          <w:kern w:val="0"/>
          <w:sz w:val="22"/>
          <w:szCs w:val="22"/>
          <w14:ligatures w14:val="none"/>
        </w:rPr>
        <w:t>Journal of Accounting and Public Policy, 24</w:t>
      </w:r>
      <w:r w:rsidRPr="00AD06C9">
        <w:rPr>
          <w:rFonts w:ascii="Times New Roman" w:eastAsia="Times New Roman" w:hAnsi="Times New Roman" w:cs="Times New Roman"/>
          <w:kern w:val="0"/>
          <w:sz w:val="22"/>
          <w:szCs w:val="22"/>
          <w14:ligatures w14:val="none"/>
        </w:rPr>
        <w:t>(6), 521–531.</w:t>
      </w:r>
    </w:p>
    <w:p w14:paraId="6BCE9E28" w14:textId="77777777" w:rsidR="003276FD" w:rsidRPr="00AD06C9" w:rsidRDefault="003276FD" w:rsidP="003276F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t xml:space="preserve">Committee of Sponsoring Organizations of the Treadway Commission (COSO). (2017). </w:t>
      </w:r>
      <w:r w:rsidRPr="00AD06C9">
        <w:rPr>
          <w:rFonts w:ascii="Times New Roman" w:eastAsia="Times New Roman" w:hAnsi="Times New Roman" w:cs="Times New Roman"/>
          <w:i/>
          <w:iCs/>
          <w:kern w:val="0"/>
          <w:sz w:val="22"/>
          <w:szCs w:val="22"/>
          <w14:ligatures w14:val="none"/>
        </w:rPr>
        <w:t>Enterprise risk management: Integrating with strategy and performance</w:t>
      </w:r>
      <w:r w:rsidRPr="00AD06C9">
        <w:rPr>
          <w:rFonts w:ascii="Times New Roman" w:eastAsia="Times New Roman" w:hAnsi="Times New Roman" w:cs="Times New Roman"/>
          <w:kern w:val="0"/>
          <w:sz w:val="22"/>
          <w:szCs w:val="22"/>
          <w14:ligatures w14:val="none"/>
        </w:rPr>
        <w:t>. COSO.</w:t>
      </w:r>
    </w:p>
    <w:p w14:paraId="70965718" w14:textId="77777777" w:rsidR="003276FD" w:rsidRPr="00AD06C9" w:rsidRDefault="003276FD" w:rsidP="003276F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t xml:space="preserve">Huyen, C. (2022). </w:t>
      </w:r>
      <w:r w:rsidRPr="00AD06C9">
        <w:rPr>
          <w:rFonts w:ascii="Times New Roman" w:eastAsia="Times New Roman" w:hAnsi="Times New Roman" w:cs="Times New Roman"/>
          <w:i/>
          <w:iCs/>
          <w:kern w:val="0"/>
          <w:sz w:val="22"/>
          <w:szCs w:val="22"/>
          <w14:ligatures w14:val="none"/>
        </w:rPr>
        <w:t>Designing machine learning systems</w:t>
      </w:r>
      <w:r w:rsidRPr="00AD06C9">
        <w:rPr>
          <w:rFonts w:ascii="Times New Roman" w:eastAsia="Times New Roman" w:hAnsi="Times New Roman" w:cs="Times New Roman"/>
          <w:kern w:val="0"/>
          <w:sz w:val="22"/>
          <w:szCs w:val="22"/>
          <w14:ligatures w14:val="none"/>
        </w:rPr>
        <w:t>. O’Reilly Media.</w:t>
      </w:r>
    </w:p>
    <w:p w14:paraId="52982995" w14:textId="77777777" w:rsidR="003276FD" w:rsidRPr="00AD06C9" w:rsidRDefault="003276FD" w:rsidP="003276F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t xml:space="preserve">Mun, J. (2015). </w:t>
      </w:r>
      <w:r w:rsidRPr="00AD06C9">
        <w:rPr>
          <w:rFonts w:ascii="Times New Roman" w:eastAsia="Times New Roman" w:hAnsi="Times New Roman" w:cs="Times New Roman"/>
          <w:i/>
          <w:iCs/>
          <w:kern w:val="0"/>
          <w:sz w:val="22"/>
          <w:szCs w:val="22"/>
          <w14:ligatures w14:val="none"/>
        </w:rPr>
        <w:t>Modeling risk using Monte Carlo simulation</w:t>
      </w:r>
      <w:r w:rsidRPr="00AD06C9">
        <w:rPr>
          <w:rFonts w:ascii="Times New Roman" w:eastAsia="Times New Roman" w:hAnsi="Times New Roman" w:cs="Times New Roman"/>
          <w:kern w:val="0"/>
          <w:sz w:val="22"/>
          <w:szCs w:val="22"/>
          <w14:ligatures w14:val="none"/>
        </w:rPr>
        <w:t xml:space="preserve"> (2nd ed.). Wiley.</w:t>
      </w:r>
    </w:p>
    <w:p w14:paraId="32800854" w14:textId="77777777" w:rsidR="003276FD" w:rsidRPr="00AD06C9" w:rsidRDefault="003276FD" w:rsidP="003276F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D06C9">
        <w:rPr>
          <w:rFonts w:ascii="Times New Roman" w:eastAsia="Times New Roman" w:hAnsi="Times New Roman" w:cs="Times New Roman"/>
          <w:kern w:val="0"/>
          <w:sz w:val="22"/>
          <w:szCs w:val="22"/>
          <w14:ligatures w14:val="none"/>
        </w:rPr>
        <w:t xml:space="preserve">Shad, M. K., et al. (2022). Integrating ERM with organizational performance. </w:t>
      </w:r>
      <w:r w:rsidRPr="00AD06C9">
        <w:rPr>
          <w:rFonts w:ascii="Times New Roman" w:eastAsia="Times New Roman" w:hAnsi="Times New Roman" w:cs="Times New Roman"/>
          <w:i/>
          <w:iCs/>
          <w:kern w:val="0"/>
          <w:sz w:val="22"/>
          <w:szCs w:val="22"/>
          <w14:ligatures w14:val="none"/>
        </w:rPr>
        <w:t>Journal of Risk and Financial Management, 15</w:t>
      </w:r>
      <w:r w:rsidRPr="00AD06C9">
        <w:rPr>
          <w:rFonts w:ascii="Times New Roman" w:eastAsia="Times New Roman" w:hAnsi="Times New Roman" w:cs="Times New Roman"/>
          <w:kern w:val="0"/>
          <w:sz w:val="22"/>
          <w:szCs w:val="22"/>
          <w14:ligatures w14:val="none"/>
        </w:rPr>
        <w:t>(6), 225.</w:t>
      </w:r>
    </w:p>
    <w:p w14:paraId="74CC5821" w14:textId="77777777" w:rsidR="003276FD" w:rsidRPr="00AD06C9" w:rsidRDefault="003276FD" w:rsidP="003276FD">
      <w:pPr>
        <w:spacing w:after="0" w:line="240" w:lineRule="auto"/>
        <w:rPr>
          <w:rFonts w:ascii="Times New Roman" w:eastAsia="Times New Roman" w:hAnsi="Times New Roman" w:cs="Times New Roman"/>
          <w:kern w:val="0"/>
          <w14:ligatures w14:val="none"/>
        </w:rPr>
      </w:pPr>
    </w:p>
    <w:p w14:paraId="5E5DCD1E" w14:textId="77777777" w:rsidR="003276FD" w:rsidRDefault="003276FD" w:rsidP="003276FD"/>
    <w:p w14:paraId="4D247132" w14:textId="77777777" w:rsidR="003276FD" w:rsidRPr="00CB0790" w:rsidRDefault="003276FD" w:rsidP="00EC26F7">
      <w:pPr>
        <w:rPr>
          <w:color w:val="666666"/>
          <w:sz w:val="20"/>
          <w:szCs w:val="20"/>
        </w:rPr>
      </w:pPr>
    </w:p>
    <w:sectPr w:rsidR="003276FD" w:rsidRPr="00CB07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462F3"/>
    <w:multiLevelType w:val="multilevel"/>
    <w:tmpl w:val="984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2435B"/>
    <w:multiLevelType w:val="multilevel"/>
    <w:tmpl w:val="72C8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827CA"/>
    <w:multiLevelType w:val="multilevel"/>
    <w:tmpl w:val="337C6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3B7DA6"/>
    <w:multiLevelType w:val="multilevel"/>
    <w:tmpl w:val="4D96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A2BF7"/>
    <w:multiLevelType w:val="multilevel"/>
    <w:tmpl w:val="DA8E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16051"/>
    <w:multiLevelType w:val="multilevel"/>
    <w:tmpl w:val="A430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31541"/>
    <w:multiLevelType w:val="multilevel"/>
    <w:tmpl w:val="3F76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AD0C5D"/>
    <w:multiLevelType w:val="multilevel"/>
    <w:tmpl w:val="12C0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E402B5"/>
    <w:multiLevelType w:val="multilevel"/>
    <w:tmpl w:val="1F60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724B8A"/>
    <w:multiLevelType w:val="multilevel"/>
    <w:tmpl w:val="742E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B81302"/>
    <w:multiLevelType w:val="multilevel"/>
    <w:tmpl w:val="DBC2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F122A0"/>
    <w:multiLevelType w:val="multilevel"/>
    <w:tmpl w:val="244C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CF773E"/>
    <w:multiLevelType w:val="multilevel"/>
    <w:tmpl w:val="D31E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D63181"/>
    <w:multiLevelType w:val="multilevel"/>
    <w:tmpl w:val="B1DE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CA3C04"/>
    <w:multiLevelType w:val="multilevel"/>
    <w:tmpl w:val="4D92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DF6C39"/>
    <w:multiLevelType w:val="multilevel"/>
    <w:tmpl w:val="09AA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800D94"/>
    <w:multiLevelType w:val="multilevel"/>
    <w:tmpl w:val="3E9E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B40A58"/>
    <w:multiLevelType w:val="multilevel"/>
    <w:tmpl w:val="16345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B92065"/>
    <w:multiLevelType w:val="multilevel"/>
    <w:tmpl w:val="07C4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DD28E8"/>
    <w:multiLevelType w:val="multilevel"/>
    <w:tmpl w:val="30C2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0F6EC7"/>
    <w:multiLevelType w:val="multilevel"/>
    <w:tmpl w:val="400EA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2033185">
    <w:abstractNumId w:val="2"/>
  </w:num>
  <w:num w:numId="2" w16cid:durableId="1577129864">
    <w:abstractNumId w:val="20"/>
  </w:num>
  <w:num w:numId="3" w16cid:durableId="183180165">
    <w:abstractNumId w:val="17"/>
  </w:num>
  <w:num w:numId="4" w16cid:durableId="1520199413">
    <w:abstractNumId w:val="15"/>
  </w:num>
  <w:num w:numId="5" w16cid:durableId="1059744816">
    <w:abstractNumId w:val="4"/>
  </w:num>
  <w:num w:numId="6" w16cid:durableId="1440369391">
    <w:abstractNumId w:val="8"/>
  </w:num>
  <w:num w:numId="7" w16cid:durableId="964120774">
    <w:abstractNumId w:val="16"/>
  </w:num>
  <w:num w:numId="8" w16cid:durableId="1792361603">
    <w:abstractNumId w:val="1"/>
  </w:num>
  <w:num w:numId="9" w16cid:durableId="600335720">
    <w:abstractNumId w:val="5"/>
  </w:num>
  <w:num w:numId="10" w16cid:durableId="15354596">
    <w:abstractNumId w:val="7"/>
  </w:num>
  <w:num w:numId="11" w16cid:durableId="1936666459">
    <w:abstractNumId w:val="12"/>
  </w:num>
  <w:num w:numId="12" w16cid:durableId="1368799047">
    <w:abstractNumId w:val="3"/>
  </w:num>
  <w:num w:numId="13" w16cid:durableId="1488202195">
    <w:abstractNumId w:val="13"/>
  </w:num>
  <w:num w:numId="14" w16cid:durableId="1862357577">
    <w:abstractNumId w:val="19"/>
  </w:num>
  <w:num w:numId="15" w16cid:durableId="1940530380">
    <w:abstractNumId w:val="18"/>
  </w:num>
  <w:num w:numId="16" w16cid:durableId="800881563">
    <w:abstractNumId w:val="14"/>
  </w:num>
  <w:num w:numId="17" w16cid:durableId="764573088">
    <w:abstractNumId w:val="9"/>
  </w:num>
  <w:num w:numId="18" w16cid:durableId="1584217246">
    <w:abstractNumId w:val="11"/>
  </w:num>
  <w:num w:numId="19" w16cid:durableId="1870871909">
    <w:abstractNumId w:val="10"/>
  </w:num>
  <w:num w:numId="20" w16cid:durableId="695934761">
    <w:abstractNumId w:val="0"/>
  </w:num>
  <w:num w:numId="21" w16cid:durableId="3303320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CF2"/>
    <w:rsid w:val="00063DCE"/>
    <w:rsid w:val="000B525B"/>
    <w:rsid w:val="000E5F93"/>
    <w:rsid w:val="00117E31"/>
    <w:rsid w:val="002B359F"/>
    <w:rsid w:val="003276FD"/>
    <w:rsid w:val="0055016C"/>
    <w:rsid w:val="00550482"/>
    <w:rsid w:val="005B42CA"/>
    <w:rsid w:val="006128CE"/>
    <w:rsid w:val="00692847"/>
    <w:rsid w:val="008F4832"/>
    <w:rsid w:val="009700AB"/>
    <w:rsid w:val="00AB6C21"/>
    <w:rsid w:val="00AF3BED"/>
    <w:rsid w:val="00B50B50"/>
    <w:rsid w:val="00C86FDA"/>
    <w:rsid w:val="00D14CF2"/>
    <w:rsid w:val="00E0210A"/>
    <w:rsid w:val="00EC26F7"/>
    <w:rsid w:val="00F00A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EFFF3"/>
  <w15:chartTrackingRefBased/>
  <w15:docId w15:val="{ABD388EB-0EDE-4B0A-A0F0-C3DC49381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C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4C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4C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4C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4C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4C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C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C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C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C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4C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4C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4C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4C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4C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C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C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CF2"/>
    <w:rPr>
      <w:rFonts w:eastAsiaTheme="majorEastAsia" w:cstheme="majorBidi"/>
      <w:color w:val="272727" w:themeColor="text1" w:themeTint="D8"/>
    </w:rPr>
  </w:style>
  <w:style w:type="paragraph" w:styleId="Title">
    <w:name w:val="Title"/>
    <w:basedOn w:val="Normal"/>
    <w:next w:val="Normal"/>
    <w:link w:val="TitleChar"/>
    <w:uiPriority w:val="10"/>
    <w:qFormat/>
    <w:rsid w:val="00D14C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C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C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C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CF2"/>
    <w:pPr>
      <w:spacing w:before="160"/>
      <w:jc w:val="center"/>
    </w:pPr>
    <w:rPr>
      <w:i/>
      <w:iCs/>
      <w:color w:val="404040" w:themeColor="text1" w:themeTint="BF"/>
    </w:rPr>
  </w:style>
  <w:style w:type="character" w:customStyle="1" w:styleId="QuoteChar">
    <w:name w:val="Quote Char"/>
    <w:basedOn w:val="DefaultParagraphFont"/>
    <w:link w:val="Quote"/>
    <w:uiPriority w:val="29"/>
    <w:rsid w:val="00D14CF2"/>
    <w:rPr>
      <w:i/>
      <w:iCs/>
      <w:color w:val="404040" w:themeColor="text1" w:themeTint="BF"/>
    </w:rPr>
  </w:style>
  <w:style w:type="paragraph" w:styleId="ListParagraph">
    <w:name w:val="List Paragraph"/>
    <w:basedOn w:val="Normal"/>
    <w:uiPriority w:val="34"/>
    <w:qFormat/>
    <w:rsid w:val="00D14CF2"/>
    <w:pPr>
      <w:ind w:left="720"/>
      <w:contextualSpacing/>
    </w:pPr>
  </w:style>
  <w:style w:type="character" w:styleId="IntenseEmphasis">
    <w:name w:val="Intense Emphasis"/>
    <w:basedOn w:val="DefaultParagraphFont"/>
    <w:uiPriority w:val="21"/>
    <w:qFormat/>
    <w:rsid w:val="00D14CF2"/>
    <w:rPr>
      <w:i/>
      <w:iCs/>
      <w:color w:val="2F5496" w:themeColor="accent1" w:themeShade="BF"/>
    </w:rPr>
  </w:style>
  <w:style w:type="paragraph" w:styleId="IntenseQuote">
    <w:name w:val="Intense Quote"/>
    <w:basedOn w:val="Normal"/>
    <w:next w:val="Normal"/>
    <w:link w:val="IntenseQuoteChar"/>
    <w:uiPriority w:val="30"/>
    <w:qFormat/>
    <w:rsid w:val="00D14C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4CF2"/>
    <w:rPr>
      <w:i/>
      <w:iCs/>
      <w:color w:val="2F5496" w:themeColor="accent1" w:themeShade="BF"/>
    </w:rPr>
  </w:style>
  <w:style w:type="character" w:styleId="IntenseReference">
    <w:name w:val="Intense Reference"/>
    <w:basedOn w:val="DefaultParagraphFont"/>
    <w:uiPriority w:val="32"/>
    <w:qFormat/>
    <w:rsid w:val="00D14C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2683</TotalTime>
  <Pages>5</Pages>
  <Words>1209</Words>
  <Characters>6894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Adwoa Bempomaa</dc:creator>
  <cp:keywords/>
  <dc:description/>
  <cp:lastModifiedBy>Adwoa Bempomaa</cp:lastModifiedBy>
  <cp:revision>6</cp:revision>
  <dcterms:created xsi:type="dcterms:W3CDTF">2026-03-12T03:08:00Z</dcterms:created>
  <dcterms:modified xsi:type="dcterms:W3CDTF">2026-03-17T18:18:00Z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9a09a107-c078-4ddd-9d2d-5ed9be6706ec</vt:lpwstr>
  </property>
</Properties>
</file>