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rFonts w:ascii="Arial" w:cs="Arial" w:eastAsia="Arial" w:hAnsi="Arial"/>
          <w:b/>
          <w:bCs/>
          <w:color w:val="1F3864"/>
          <w:sz w:val="32"/>
          <w:szCs w:val="32"/>
        </w:rPr>
        <w:t xml:space="preserve">Giant Eagle: Manhattan WMS Reporting on Databricks</w:t>
      </w:r>
    </w:p>
    <w:p>
      <w:pPr>
        <w:spacing w:after="200" w:before="60"/>
      </w:pPr>
      <w:r>
        <w:rPr>
          <w:rFonts w:ascii="Arial" w:cs="Arial" w:eastAsia="Arial" w:hAnsi="Arial"/>
          <w:b/>
          <w:bCs/>
          <w:color w:val="2E75B6"/>
          <w:sz w:val="22"/>
          <w:szCs w:val="22"/>
        </w:rPr>
        <w:t xml:space="preserve">POC Plan </w:t>
      </w:r>
      <w:r>
        <w:rPr>
          <w:rFonts w:ascii="Arial" w:cs="Arial" w:eastAsia="Arial" w:hAnsi="Arial"/>
          <w:i/>
          <w:iCs/>
          <w:color w:val="595959"/>
          <w:sz w:val="22"/>
          <w:szCs w:val="22"/>
        </w:rPr>
        <w:t xml:space="preserve">| Gold-Layer Remodel Track | June 2026</w:t>
      </w:r>
    </w:p>
    <w:p>
      <w:pPr>
        <w:pStyle w:val="Heading2"/>
        <w:spacing w:after="100" w:before="240"/>
      </w:pPr>
      <w:r>
        <w:rPr>
          <w:rFonts w:ascii="Arial" w:cs="Arial" w:eastAsia="Arial" w:hAnsi="Arial"/>
          <w:b/>
          <w:bCs/>
          <w:color w:val="1F3864"/>
          <w:sz w:val="26"/>
          <w:szCs w:val="26"/>
        </w:rPr>
        <w:t xml:space="preserve">1. Executive summary</w:t>
      </w:r>
    </w:p>
    <w:p>
      <w:pPr>
        <w:spacing w:after="60" w:before="60"/>
      </w:pPr>
      <w:r>
        <w:rPr>
          <w:rFonts w:ascii="Arial" w:cs="Arial" w:eastAsia="Arial" w:hAnsi="Arial"/>
          <w:sz w:val="22"/>
          <w:szCs w:val="22"/>
        </w:rPr>
        <w:t xml:space="preserve">Giant Eagle is migrating Manhattan Active WMS reporting off a third-party-managed Snowflake stack onto a native Databricks lakehouse, with a March 2027 hard deadline. This document covers the Gold-layer remodel track of that POC, which Databricks is leading at the customer's request. The deliverable is a de facto Gold-layer view stamp by a Databricks expert: a comprehensive opinionated lakehouse-native dimensional model, built side by side with a lift-and-shift baseline across all 51 Snowflake views. Both versions expose identical column shapes to Power BI so the BI repoint is mechanical in either case. The recommendation is a hybrid path: lift-and-shift the long tail, remodel the priority top 20 reports and the regulatory-sensitive HBC pharmacy reports.</w:t>
      </w:r>
    </w:p>
    <w:p>
      <w:pPr>
        <w:pStyle w:val="Heading2"/>
        <w:spacing w:after="100" w:before="240"/>
      </w:pPr>
      <w:r>
        <w:rPr>
          <w:rFonts w:ascii="Arial" w:cs="Arial" w:eastAsia="Arial" w:hAnsi="Arial"/>
          <w:b/>
          <w:bCs/>
          <w:color w:val="1F3864"/>
          <w:sz w:val="26"/>
          <w:szCs w:val="26"/>
        </w:rPr>
        <w:t xml:space="preserve">2. What this POC is and is not</w:t>
      </w:r>
    </w:p>
    <w:p>
      <w:pPr>
        <w:spacing w:after="60" w:before="60"/>
      </w:pPr>
      <w:r>
        <w:rPr>
          <w:rFonts w:ascii="Arial" w:cs="Arial" w:eastAsia="Arial" w:hAnsi="Arial"/>
          <w:sz w:val="22"/>
          <w:szCs w:val="22"/>
        </w:rPr>
        <w:t xml:space="preserve">This POC is a Gold-layer prototype, a side-by-side comparison, and a decision artifact. It is not a production pipeline.</w:t>
      </w:r>
    </w:p>
    <w:p>
      <w:pPr>
        <w:pStyle w:val="Heading3"/>
        <w:spacing w:after="60" w:before="160"/>
      </w:pPr>
      <w:r>
        <w:rPr>
          <w:rFonts w:ascii="Arial" w:cs="Arial" w:eastAsia="Arial" w:hAnsi="Arial"/>
          <w:b/>
          <w:bCs/>
          <w:color w:val="2E75B6"/>
          <w:sz w:val="22"/>
          <w:szCs w:val="22"/>
        </w:rPr>
        <w:t xml:space="preserve">What this POC is</w:t>
      </w:r>
    </w:p>
    <w:p>
      <w:pPr>
        <w:pStyle w:val="ListParagraph"/>
        <w:numPr>
          <w:ilvl w:val="0"/>
          <w:numId w:val="2"/>
        </w:numPr>
        <w:spacing w:after="40" w:before="40"/>
      </w:pPr>
      <w:r>
        <w:rPr>
          <w:rFonts w:ascii="Arial" w:cs="Arial" w:eastAsia="Arial" w:hAnsi="Arial"/>
          <w:b/>
          <w:bCs/>
          <w:sz w:val="22"/>
          <w:szCs w:val="22"/>
        </w:rPr>
        <w:t xml:space="preserve">A specification </w:t>
      </w:r>
      <w:r>
        <w:rPr>
          <w:rFonts w:ascii="Arial" w:cs="Arial" w:eastAsia="Arial" w:hAnsi="Arial"/>
          <w:sz w:val="22"/>
          <w:szCs w:val="22"/>
        </w:rPr>
        <w:t xml:space="preserve">of the Gold layer Databricks is committing to deliver. The dim and fact DDL, the modeling decisions, and the compatibility view pattern are the design contract.</w:t>
      </w:r>
    </w:p>
    <w:p>
      <w:pPr>
        <w:pStyle w:val="ListParagraph"/>
        <w:numPr>
          <w:ilvl w:val="0"/>
          <w:numId w:val="2"/>
        </w:numPr>
        <w:spacing w:after="40" w:before="40"/>
      </w:pPr>
      <w:r>
        <w:rPr>
          <w:rFonts w:ascii="Arial" w:cs="Arial" w:eastAsia="Arial" w:hAnsi="Arial"/>
          <w:b/>
          <w:bCs/>
          <w:sz w:val="22"/>
          <w:szCs w:val="22"/>
        </w:rPr>
        <w:t xml:space="preserve">A comparison artifact. </w:t>
      </w:r>
      <w:r>
        <w:rPr>
          <w:rFonts w:ascii="Arial" w:cs="Arial" w:eastAsia="Arial" w:hAnsi="Arial"/>
          <w:sz w:val="22"/>
          <w:szCs w:val="22"/>
        </w:rPr>
        <w:t xml:space="preserve">Versions A and B are built side by side so Eric, Michael, and Zach can choose between lift-and-shift, lakehouse-native, or a phased hybrid using concrete data rather than opinions.</w:t>
      </w:r>
    </w:p>
    <w:p>
      <w:pPr>
        <w:pStyle w:val="ListParagraph"/>
        <w:numPr>
          <w:ilvl w:val="0"/>
          <w:numId w:val="2"/>
        </w:numPr>
        <w:spacing w:after="40" w:before="40"/>
      </w:pPr>
      <w:r>
        <w:rPr>
          <w:rFonts w:ascii="Arial" w:cs="Arial" w:eastAsia="Arial" w:hAnsi="Arial"/>
          <w:b/>
          <w:bCs/>
          <w:sz w:val="22"/>
          <w:szCs w:val="22"/>
        </w:rPr>
        <w:t xml:space="preserve">An executable demonstration. </w:t>
      </w:r>
      <w:r>
        <w:rPr>
          <w:rFonts w:ascii="Arial" w:cs="Arial" w:eastAsia="Arial" w:hAnsi="Arial"/>
          <w:sz w:val="22"/>
          <w:szCs w:val="22"/>
        </w:rPr>
        <w:t xml:space="preserve">The scripts run end to end in a Databricks workspace today. The two validation scripts (07 row-level diff, 08 column-shape diff) prove the two versions are interchangeable from Power BI's perspective.</w:t>
      </w:r>
    </w:p>
    <w:p>
      <w:pPr>
        <w:pStyle w:val="Heading3"/>
        <w:spacing w:after="60" w:before="160"/>
      </w:pPr>
      <w:r>
        <w:rPr>
          <w:rFonts w:ascii="Arial" w:cs="Arial" w:eastAsia="Arial" w:hAnsi="Arial"/>
          <w:b/>
          <w:bCs/>
          <w:color w:val="2E75B6"/>
          <w:sz w:val="22"/>
          <w:szCs w:val="22"/>
        </w:rPr>
        <w:t xml:space="preserve">What this POC is not</w:t>
      </w:r>
    </w:p>
    <w:p>
      <w:pPr>
        <w:pStyle w:val="ListParagraph"/>
        <w:numPr>
          <w:ilvl w:val="0"/>
          <w:numId w:val="2"/>
        </w:numPr>
        <w:spacing w:after="40" w:before="40"/>
      </w:pPr>
      <w:r>
        <w:rPr>
          <w:rFonts w:ascii="Arial" w:cs="Arial" w:eastAsia="Arial" w:hAnsi="Arial"/>
          <w:b/>
          <w:bCs/>
          <w:sz w:val="22"/>
          <w:szCs w:val="22"/>
        </w:rPr>
        <w:t xml:space="preserve">Not a production ingestion pipeline. </w:t>
      </w:r>
      <w:r>
        <w:rPr>
          <w:rFonts w:ascii="Arial" w:cs="Arial" w:eastAsia="Arial" w:hAnsi="Arial"/>
          <w:sz w:val="22"/>
          <w:szCs w:val="22"/>
        </w:rPr>
        <w:t xml:space="preserve">Manhattan to Data Save to Lakeflow Connect CDC to Bronze is owned by the source-side track that runs jointly with Manhattan and Giant Eagle. Different workstream.</w:t>
      </w:r>
    </w:p>
    <w:p>
      <w:pPr>
        <w:pStyle w:val="ListParagraph"/>
        <w:numPr>
          <w:ilvl w:val="0"/>
          <w:numId w:val="2"/>
        </w:numPr>
        <w:spacing w:after="40" w:before="40"/>
      </w:pPr>
      <w:r>
        <w:rPr>
          <w:rFonts w:ascii="Arial" w:cs="Arial" w:eastAsia="Arial" w:hAnsi="Arial"/>
          <w:b/>
          <w:bCs/>
          <w:sz w:val="22"/>
          <w:szCs w:val="22"/>
        </w:rPr>
        <w:t xml:space="preserve">Not Silver. </w:t>
      </w:r>
      <w:r>
        <w:rPr>
          <w:rFonts w:ascii="Arial" w:cs="Arial" w:eastAsia="Arial" w:hAnsi="Arial"/>
          <w:sz w:val="22"/>
          <w:szCs w:val="22"/>
        </w:rPr>
        <w:t xml:space="preserve">Silver SCD2 conformance is also owned by the source-side track. The 51 compatibility views in this POC are not Silver. They sit above the dims and facts and reshape star-schema data back into the original Snowflake view shapes for BI consumption.</w:t>
      </w:r>
    </w:p>
    <w:p>
      <w:pPr>
        <w:pStyle w:val="ListParagraph"/>
        <w:numPr>
          <w:ilvl w:val="0"/>
          <w:numId w:val="2"/>
        </w:numPr>
        <w:spacing w:after="40" w:before="40"/>
      </w:pPr>
      <w:r>
        <w:rPr>
          <w:rFonts w:ascii="Arial" w:cs="Arial" w:eastAsia="Arial" w:hAnsi="Arial"/>
          <w:b/>
          <w:bCs/>
          <w:sz w:val="22"/>
          <w:szCs w:val="22"/>
        </w:rPr>
        <w:t xml:space="preserve">Not the real Bronze. </w:t>
      </w:r>
      <w:r>
        <w:rPr>
          <w:rFonts w:ascii="Arial" w:cs="Arial" w:eastAsia="Arial" w:hAnsi="Arial"/>
          <w:sz w:val="22"/>
          <w:szCs w:val="22"/>
        </w:rPr>
        <w:t xml:space="preserve">The reverse-engineered base tables in script 01 and the synthetic data in script 02 are scaffolding so the SQL is executable in isolation. Throw them away at handoff.</w:t>
      </w:r>
    </w:p>
    <w:p>
      <w:pPr>
        <w:pStyle w:val="Heading3"/>
        <w:spacing w:after="60" w:before="160"/>
      </w:pPr>
      <w:r>
        <w:rPr>
          <w:rFonts w:ascii="Arial" w:cs="Arial" w:eastAsia="Arial" w:hAnsi="Arial"/>
          <w:b/>
          <w:bCs/>
          <w:color w:val="2E75B6"/>
          <w:sz w:val="22"/>
          <w:szCs w:val="22"/>
        </w:rPr>
        <w:t xml:space="preserve">Handoff to the source-side track</w:t>
      </w:r>
    </w:p>
    <w:p>
      <w:pPr>
        <w:spacing w:after="60" w:before="60"/>
      </w:pPr>
      <w:r>
        <w:rPr>
          <w:rFonts w:ascii="Arial" w:cs="Arial" w:eastAsia="Arial" w:hAnsi="Arial"/>
          <w:sz w:val="22"/>
          <w:szCs w:val="22"/>
        </w:rPr>
        <w:t xml:space="preserve">When real Bronze and Silver land via the source-side track, the Gold layer needs three things to slot into production:</w:t>
      </w:r>
    </w:p>
    <w:p>
      <w:pPr>
        <w:pStyle w:val="ListParagraph"/>
        <w:numPr>
          <w:ilvl w:val="0"/>
          <w:numId w:val="2"/>
        </w:numPr>
        <w:spacing w:after="40" w:before="40"/>
      </w:pPr>
      <w:r>
        <w:rPr>
          <w:rFonts w:ascii="Arial" w:cs="Arial" w:eastAsia="Arial" w:hAnsi="Arial"/>
          <w:b/>
          <w:bCs/>
          <w:sz w:val="22"/>
          <w:szCs w:val="22"/>
        </w:rPr>
        <w:t xml:space="preserve">FROM clauses change </w:t>
      </w:r>
      <w:r>
        <w:rPr>
          <w:rFonts w:ascii="Arial" w:cs="Arial" w:eastAsia="Arial" w:hAnsi="Arial"/>
          <w:sz w:val="22"/>
          <w:szCs w:val="22"/>
        </w:rPr>
        <w:t xml:space="preserve">in 04_gold_native_dimensions.sql and 05_gold_native_facts.sql, pointing from ge_poc.bronze.* to the production silver.* schema.</w:t>
      </w:r>
    </w:p>
    <w:p>
      <w:pPr>
        <w:pStyle w:val="ListParagraph"/>
        <w:numPr>
          <w:ilvl w:val="0"/>
          <w:numId w:val="2"/>
        </w:numPr>
        <w:spacing w:after="40" w:before="40"/>
      </w:pPr>
      <w:r>
        <w:rPr>
          <w:rFonts w:ascii="Arial" w:cs="Arial" w:eastAsia="Arial" w:hAnsi="Arial"/>
          <w:b/>
          <w:bCs/>
          <w:sz w:val="22"/>
          <w:szCs w:val="22"/>
        </w:rPr>
        <w:t xml:space="preserve">The dim and fact INSERTs become DLT pipelines or scheduled jobs </w:t>
      </w:r>
      <w:r>
        <w:rPr>
          <w:rFonts w:ascii="Arial" w:cs="Arial" w:eastAsia="Arial" w:hAnsi="Arial"/>
          <w:sz w:val="22"/>
          <w:szCs w:val="22"/>
        </w:rPr>
        <w:t xml:space="preserve">that refresh from Silver instead of one-time INSERTs from synthetic data.</w:t>
      </w:r>
    </w:p>
    <w:p>
      <w:pPr>
        <w:pStyle w:val="ListParagraph"/>
        <w:numPr>
          <w:ilvl w:val="0"/>
          <w:numId w:val="2"/>
        </w:numPr>
        <w:spacing w:after="40" w:before="40"/>
      </w:pPr>
      <w:r>
        <w:rPr>
          <w:rFonts w:ascii="Arial" w:cs="Arial" w:eastAsia="Arial" w:hAnsi="Arial"/>
          <w:b/>
          <w:bCs/>
          <w:sz w:val="22"/>
          <w:szCs w:val="22"/>
        </w:rPr>
        <w:t xml:space="preserve">The compatibility views and the Power BI datasets do not change at all. </w:t>
      </w:r>
      <w:r>
        <w:rPr>
          <w:rFonts w:ascii="Arial" w:cs="Arial" w:eastAsia="Arial" w:hAnsi="Arial"/>
          <w:sz w:val="22"/>
          <w:szCs w:val="22"/>
        </w:rPr>
        <w:t xml:space="preserve">That is the entire handoff. The Gold-layer SQL built here is the same Gold-layer SQL that runs in production, with different upstream sources.</w:t>
      </w:r>
    </w:p>
    <w:p>
      <w:pPr>
        <w:pStyle w:val="Heading2"/>
        <w:spacing w:after="100" w:before="240"/>
      </w:pPr>
      <w:r>
        <w:rPr>
          <w:rFonts w:ascii="Arial" w:cs="Arial" w:eastAsia="Arial" w:hAnsi="Arial"/>
          <w:b/>
          <w:bCs/>
          <w:color w:val="1F3864"/>
          <w:sz w:val="26"/>
          <w:szCs w:val="26"/>
        </w:rPr>
        <w:t xml:space="preserve">3. Problem statement</w:t>
      </w:r>
    </w:p>
    <w:p>
      <w:pPr>
        <w:spacing w:after="60" w:before="60"/>
      </w:pPr>
      <w:r>
        <w:rPr>
          <w:rFonts w:ascii="Arial" w:cs="Arial" w:eastAsia="Arial" w:hAnsi="Arial"/>
          <w:sz w:val="22"/>
          <w:szCs w:val="22"/>
        </w:rPr>
        <w:t xml:space="preserve">Giant Eagle's Manhattan WMS reporting today flows through a third-party-managed Snowflake instance built by Agilitics, fed by Hevo binlog CDC from Manhattan's MySQL replica. The Snowflake schema contains 51 SQL views derived from approximately 35 base Manhattan tables. Those views carry heavy transformations, and the Power BI layer above them adds more SQL on top through additional joins, which compounds the load. The result is operational reports running multiple hours behind the source, with warehouse users opening tickets when data is more than a few minutes stale.</w:t>
      </w:r>
    </w:p>
    <w:p>
      <w:pPr>
        <w:spacing w:after="60" w:before="60"/>
      </w:pPr>
      <w:r>
        <w:rPr>
          <w:rFonts w:ascii="Arial" w:cs="Arial" w:eastAsia="Arial" w:hAnsi="Arial"/>
          <w:sz w:val="22"/>
          <w:szCs w:val="22"/>
        </w:rPr>
        <w:t xml:space="preserve">During the data model review session, Eric flagged that the current model is not well suited to reporting and recommended remodeling the Gold layer during the migration. Zach's original framing leaned toward a lift-and-shift approach. Both perspectives are legitimate, and the POC builds for both so the decision can be data-driven.</w:t>
      </w:r>
    </w:p>
    <w:p>
      <w:pPr>
        <w:pStyle w:val="Heading2"/>
        <w:spacing w:after="100" w:before="240"/>
      </w:pPr>
      <w:r>
        <w:rPr>
          <w:rFonts w:ascii="Arial" w:cs="Arial" w:eastAsia="Arial" w:hAnsi="Arial"/>
          <w:b/>
          <w:bCs/>
          <w:color w:val="1F3864"/>
          <w:sz w:val="26"/>
          <w:szCs w:val="26"/>
        </w:rPr>
        <w:t xml:space="preserve">4. POC objective and success criteria</w:t>
      </w:r>
    </w:p>
    <w:p>
      <w:pPr>
        <w:spacing w:after="60" w:before="60"/>
      </w:pPr>
      <w:r>
        <w:rPr>
          <w:rFonts w:ascii="Arial" w:cs="Arial" w:eastAsia="Arial" w:hAnsi="Arial"/>
          <w:b/>
          <w:bCs/>
          <w:sz w:val="22"/>
          <w:szCs w:val="22"/>
        </w:rPr>
        <w:t xml:space="preserve">Objective: </w:t>
      </w:r>
      <w:r>
        <w:rPr>
          <w:rFonts w:ascii="Arial" w:cs="Arial" w:eastAsia="Arial" w:hAnsi="Arial"/>
          <w:sz w:val="22"/>
          <w:szCs w:val="22"/>
        </w:rPr>
        <w:t xml:space="preserve">Produce a de facto Gold-layer view stamp by a Databricks expert that covers all 51 Snowflake view shapes, alongside a lift-and-shift baseline that does the same. Both expose the same column shapes to Power BI. The comparison plus a hybrid recommendation is the decision input.</w:t>
      </w:r>
    </w:p>
    <w:p>
      <w:pPr>
        <w:pStyle w:val="Heading3"/>
        <w:spacing w:after="60" w:before="160"/>
      </w:pPr>
      <w:r>
        <w:rPr>
          <w:rFonts w:ascii="Arial" w:cs="Arial" w:eastAsia="Arial" w:hAnsi="Arial"/>
          <w:b/>
          <w:bCs/>
          <w:color w:val="2E75B6"/>
          <w:sz w:val="22"/>
          <w:szCs w:val="22"/>
        </w:rPr>
        <w:t xml:space="preserve">Success criteria</w:t>
      </w:r>
    </w:p>
    <w:p>
      <w:pPr>
        <w:pStyle w:val="ListParagraph"/>
        <w:numPr>
          <w:ilvl w:val="0"/>
          <w:numId w:val="2"/>
        </w:numPr>
        <w:spacing w:after="40" w:before="40"/>
      </w:pPr>
      <w:r>
        <w:rPr>
          <w:rFonts w:ascii="Arial" w:cs="Arial" w:eastAsia="Arial" w:hAnsi="Arial"/>
          <w:sz w:val="22"/>
          <w:szCs w:val="22"/>
        </w:rPr>
        <w:t xml:space="preserve">All 51 Snowflake views have a corresponding Delta view (Version A) and a compatibility view (Version B) in Databricks, with matching column shapes verified by 08_validate_compat_shapes.sql.</w:t>
      </w:r>
    </w:p>
    <w:p>
      <w:pPr>
        <w:pStyle w:val="ListParagraph"/>
        <w:numPr>
          <w:ilvl w:val="0"/>
          <w:numId w:val="2"/>
        </w:numPr>
        <w:spacing w:after="40" w:before="40"/>
      </w:pPr>
      <w:r>
        <w:rPr>
          <w:rFonts w:ascii="Arial" w:cs="Arial" w:eastAsia="Arial" w:hAnsi="Arial"/>
          <w:sz w:val="22"/>
          <w:szCs w:val="22"/>
        </w:rPr>
        <w:t xml:space="preserve">Power BI datasets repoint at either Gold version with no changes to report visuals, measures, or DAX. The data source swap is the entire change. Validated against a representative sample of priority datasets.</w:t>
      </w:r>
    </w:p>
    <w:p>
      <w:pPr>
        <w:pStyle w:val="ListParagraph"/>
        <w:numPr>
          <w:ilvl w:val="0"/>
          <w:numId w:val="2"/>
        </w:numPr>
        <w:spacing w:after="40" w:before="40"/>
      </w:pPr>
      <w:r>
        <w:rPr>
          <w:rFonts w:ascii="Arial" w:cs="Arial" w:eastAsia="Arial" w:hAnsi="Arial"/>
          <w:sz w:val="22"/>
          <w:szCs w:val="22"/>
        </w:rPr>
        <w:t xml:space="preserve">Result-fidelity diffs between Version A and Version B return zero rows for the same business question, confirming the remodel is faithful.</w:t>
      </w:r>
    </w:p>
    <w:p>
      <w:pPr>
        <w:pStyle w:val="ListParagraph"/>
        <w:numPr>
          <w:ilvl w:val="0"/>
          <w:numId w:val="2"/>
        </w:numPr>
        <w:spacing w:after="40" w:before="40"/>
      </w:pPr>
      <w:r>
        <w:rPr>
          <w:rFonts w:ascii="Arial" w:cs="Arial" w:eastAsia="Arial" w:hAnsi="Arial"/>
          <w:sz w:val="22"/>
          <w:szCs w:val="22"/>
        </w:rPr>
        <w:t xml:space="preserve">Version B outperforms Version A on the representative benchmark queries at meaningful sample data volumes (item count &gt;= 5K, transaction count &gt;= 100K).</w:t>
      </w:r>
    </w:p>
    <w:p>
      <w:pPr>
        <w:pStyle w:val="ListParagraph"/>
        <w:numPr>
          <w:ilvl w:val="0"/>
          <w:numId w:val="2"/>
        </w:numPr>
        <w:spacing w:after="40" w:before="40"/>
      </w:pPr>
      <w:r>
        <w:rPr>
          <w:rFonts w:ascii="Arial" w:cs="Arial" w:eastAsia="Arial" w:hAnsi="Arial"/>
          <w:sz w:val="22"/>
          <w:szCs w:val="22"/>
        </w:rPr>
        <w:t xml:space="preserve">The dimensional pattern obviously generalizes. Reviewing the model with Eric should make it clear how every priority report maps onto the conformed dims and facts.</w:t>
      </w:r>
    </w:p>
    <w:p>
      <w:pPr>
        <w:pStyle w:val="Heading2"/>
        <w:spacing w:after="100" w:before="240"/>
      </w:pPr>
      <w:r>
        <w:rPr>
          <w:rFonts w:ascii="Arial" w:cs="Arial" w:eastAsia="Arial" w:hAnsi="Arial"/>
          <w:b/>
          <w:bCs/>
          <w:color w:val="1F3864"/>
          <w:sz w:val="26"/>
          <w:szCs w:val="26"/>
        </w:rPr>
        <w:t xml:space="preserve">5. POC scope</w:t>
      </w:r>
    </w:p>
    <w:p>
      <w:pPr>
        <w:spacing w:after="60" w:before="60"/>
      </w:pPr>
      <w:r>
        <w:rPr>
          <w:rFonts w:ascii="Arial" w:cs="Arial" w:eastAsia="Arial" w:hAnsi="Arial"/>
          <w:b/>
          <w:bCs/>
          <w:sz w:val="22"/>
          <w:szCs w:val="22"/>
        </w:rPr>
        <w:t xml:space="preserve">In scope: </w:t>
      </w:r>
      <w:r>
        <w:rPr>
          <w:rFonts w:ascii="Arial" w:cs="Arial" w:eastAsia="Arial" w:hAnsi="Arial"/>
          <w:sz w:val="22"/>
          <w:szCs w:val="22"/>
        </w:rPr>
        <w:t xml:space="preserve">The complete Gold layer remodel covering all 51 Snowflake views, in both versions. Sample base tables reverse-engineered from the view DDLs. Scaled synthetic data sufficient to make benchmarks meaningful. Side-by-side benchmarks. Power BI repointing validation against a representative sample of datasets.</w:t>
      </w:r>
    </w:p>
    <w:p>
      <w:pPr>
        <w:spacing w:after="60" w:before="60"/>
      </w:pPr>
      <w:r>
        <w:rPr>
          <w:rFonts w:ascii="Arial" w:cs="Arial" w:eastAsia="Arial" w:hAnsi="Arial"/>
          <w:b/>
          <w:bCs/>
          <w:sz w:val="22"/>
          <w:szCs w:val="22"/>
        </w:rPr>
        <w:t xml:space="preserve">Out of scope (covered by other POC workstreams): </w:t>
      </w:r>
      <w:r>
        <w:rPr>
          <w:rFonts w:ascii="Arial" w:cs="Arial" w:eastAsia="Arial" w:hAnsi="Arial"/>
          <w:sz w:val="22"/>
          <w:szCs w:val="22"/>
        </w:rPr>
        <w:t xml:space="preserve">Manhattan Data Save POC instance and source-side connectivity. Lakeflow Connect MySQL CDC configuration. Bronze and Bronze_Archive ingestion. Silver SCD2 conformance. Production-scale concurrency sizing. Snowflake decommissioning plan. These are tracked separately and run on the source-side track of the POC, jointly owned by Manhattan, Giant Eagle, and Databricks.</w:t>
      </w:r>
    </w:p>
    <w:p>
      <w:pPr>
        <w:pStyle w:val="Heading2"/>
        <w:spacing w:after="100" w:before="240"/>
      </w:pPr>
      <w:r>
        <w:rPr>
          <w:rFonts w:ascii="Arial" w:cs="Arial" w:eastAsia="Arial" w:hAnsi="Arial"/>
          <w:b/>
          <w:bCs/>
          <w:color w:val="1F3864"/>
          <w:sz w:val="26"/>
          <w:szCs w:val="26"/>
        </w:rPr>
        <w:t xml:space="preserve">6. Two versions side by side</w:t>
      </w:r>
    </w:p>
    <w:p>
      <w:pPr>
        <w:spacing w:after="60" w:before="60"/>
      </w:pPr>
      <w:r>
        <w:rPr>
          <w:rFonts w:ascii="Arial" w:cs="Arial" w:eastAsia="Arial" w:hAnsi="Arial"/>
          <w:sz w:val="22"/>
          <w:szCs w:val="22"/>
        </w:rPr>
        <w:t xml:space="preserve">Both versions sit on the same Bronze base. They expose identical column shapes to Power BI, so the BI repoint is mechanical in either case. The comparison is at the engine room, not the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83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A: Lift-and-Shift</w:t>
            </w:r>
          </w:p>
        </w:tc>
        <w:tc>
          <w:tcPr>
            <w:tcW w:type="dxa" w:w="383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B: Lakehouse-Native (de facto Gold stamp)</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Coverage</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 51 Snowflake views ported 1:1 as Delta views.</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 51 view shapes covered through 9 conformed dims + 12 facts + 51 compatibility views.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How it's built</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Mechanical Snowflake to Spark SQL dialect translation. Schema refs, timezone fns, sysdate, DUAL handled. Cross-view refs qualified to gold_lift_shift schema.</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Opinionated dimensional redesign. Business unit becomes a column, not a view-name suffix. Star schemas with surrogate keys.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Maintenance burden</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Same as today. About 40 of 51 views are per-DC duplicates of the IROO, QROO, and SNAPSHOT templates. Schema changes ripple through N copies.</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Roughly 40 views collapse into 6 SQL templates; per-DC variants are SELECT * FROM template WHERE profile_id = .... One source of truth per pattern.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Inherits the original views' join patterns. No clustering. Predicate pushdown limited by view shape.</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Liquid clustering on (facility_sk, date_sk) for all facts. Predicate-pushdown-friendly schemas.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BI repointing</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Identical column shape. Power BI dataset swap is the entire change.</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Compatibility view layer exposes the same column shape as Version A. Validated by 08_validate_compat_shapes.sql.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Risk</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Lowest. SQL is faithful to current production. Easy to reason about.</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Higher modeling effort. Compatibility views must match Version A column-by-column. Validation script provided.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Best for</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long tail. The ~321 reports outside the priority 20 don't need to be reshaped to move off Snowflake.</w:t>
            </w:r>
          </w:p>
        </w:tc>
        <w:tc>
          <w:tcPr>
            <w:tcW w:type="dxa" w:w="383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top 20 priority reports plus anything net-new. Sets the pattern for the next BU, next DC, next report.</w:t>
            </w:r>
          </w:p>
        </w:tc>
      </w:tr>
    </w:tbl>
    <w:p>
      <w:pPr>
        <w:pStyle w:val="Heading2"/>
        <w:spacing w:after="100" w:before="240"/>
      </w:pPr>
      <w:r>
        <w:rPr>
          <w:rFonts w:ascii="Arial" w:cs="Arial" w:eastAsia="Arial" w:hAnsi="Arial"/>
          <w:b/>
          <w:bCs/>
          <w:color w:val="1F3864"/>
          <w:sz w:val="26"/>
          <w:szCs w:val="26"/>
        </w:rPr>
        <w:t xml:space="preserve">7. Recommended path forward: phased hybrid</w:t>
      </w:r>
    </w:p>
    <w:p>
      <w:pPr>
        <w:spacing w:after="60" w:before="60"/>
      </w:pPr>
      <w:r>
        <w:rPr>
          <w:rFonts w:ascii="Arial" w:cs="Arial" w:eastAsia="Arial" w:hAnsi="Arial"/>
          <w:sz w:val="22"/>
          <w:szCs w:val="22"/>
        </w:rPr>
        <w:t xml:space="preserve">Versions A and B are building blocks, not mutually exclusive options. The recommendation is to combine them by report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we recommend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Priority top 20 reports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Build using Version B (lakehouse-native). These have high BI consumption and would benefit most from the dimensional foundation, the clustering, and the materialized aggregates. Power BI repoints to the compatibility views.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Long-tail ~321 reports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Lift-and-shift in Version A. These have lower consumption, the SQL is good enough, and reshaping all of them blocks the March 2027 deadline. They can be remodeled opportunistically in Phase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HBC pharmacy reports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Version B. Regulatory-sensitive (controlled substances) — having a clean, audit-friendly dimensional model is worth the extra effort regardless of consumption volume.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Cross-facility analytical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Version B. The CCS_INV_COMPARE_V pattern and any cross-BU analysis are much cleaner against the conformed dimensional model.</w:t>
            </w:r>
          </w:p>
        </w:tc>
      </w:tr>
    </w:tbl>
    <w:p>
      <w:pPr>
        <w:spacing w:after="60" w:before="60"/>
      </w:pPr>
      <w:r>
        <w:rPr>
          <w:rFonts w:ascii="Arial" w:cs="Arial" w:eastAsia="Arial" w:hAnsi="Arial"/>
          <w:sz w:val="22"/>
          <w:szCs w:val="22"/>
        </w:rPr>
        <w:t xml:space="preserve">This positions the March 2027 cutover as a lift-and-shift safety net for the long tail (low risk, fast), while the high-value reporting moves to a foundation that the next 10 years of Giant Eagle reporting can build on.</w:t>
      </w:r>
    </w:p>
    <w:p>
      <w:pPr>
        <w:pStyle w:val="Heading2"/>
        <w:spacing w:after="100" w:before="240"/>
      </w:pPr>
      <w:r>
        <w:rPr>
          <w:rFonts w:ascii="Arial" w:cs="Arial" w:eastAsia="Arial" w:hAnsi="Arial"/>
          <w:b/>
          <w:bCs/>
          <w:color w:val="1F3864"/>
          <w:sz w:val="26"/>
          <w:szCs w:val="26"/>
        </w:rPr>
        <w:t xml:space="preserve">8. The lakehouse-native model</w:t>
      </w:r>
    </w:p>
    <w:p>
      <w:pPr>
        <w:pStyle w:val="Heading3"/>
        <w:spacing w:after="60" w:before="160"/>
      </w:pPr>
      <w:r>
        <w:rPr>
          <w:rFonts w:ascii="Arial" w:cs="Arial" w:eastAsia="Arial" w:hAnsi="Arial"/>
          <w:b/>
          <w:bCs/>
          <w:color w:val="2E75B6"/>
          <w:sz w:val="22"/>
          <w:szCs w:val="22"/>
        </w:rPr>
        <w:t xml:space="preserve">Conformed dimensions (9)</w:t>
      </w:r>
    </w:p>
    <w:p>
      <w:pPr>
        <w:spacing w:after="60" w:before="60"/>
      </w:pPr>
      <w:r>
        <w:rPr>
          <w:rFonts w:ascii="Arial" w:cs="Arial" w:eastAsia="Arial" w:hAnsi="Arial"/>
          <w:b/>
          <w:bCs/>
          <w:sz w:val="22"/>
          <w:szCs w:val="22"/>
        </w:rPr>
        <w:t xml:space="preserve">dim_item </w:t>
      </w:r>
      <w:r>
        <w:rPr>
          <w:rFonts w:ascii="Arial" w:cs="Arial" w:eastAsia="Arial" w:hAnsi="Arial"/>
          <w:sz w:val="22"/>
          <w:szCs w:val="22"/>
        </w:rPr>
        <w:t xml:space="preserve">(item master with GE EXT_GEGL_* extensions, treated as static for the POC; SCD2 deferred to Phase 2), </w:t>
      </w:r>
      <w:r>
        <w:rPr>
          <w:rFonts w:ascii="Arial" w:cs="Arial" w:eastAsia="Arial" w:hAnsi="Arial"/>
          <w:b/>
          <w:bCs/>
          <w:sz w:val="22"/>
          <w:szCs w:val="22"/>
        </w:rPr>
        <w:t xml:space="preserve">dim_facility </w:t>
      </w:r>
      <w:r>
        <w:rPr>
          <w:rFonts w:ascii="Arial" w:cs="Arial" w:eastAsia="Arial" w:hAnsi="Arial"/>
          <w:sz w:val="22"/>
          <w:szCs w:val="22"/>
        </w:rPr>
        <w:t xml:space="preserve">(all 14 DCs with virtual warehouse groups and BU codes), </w:t>
      </w:r>
      <w:r>
        <w:rPr>
          <w:rFonts w:ascii="Arial" w:cs="Arial" w:eastAsia="Arial" w:hAnsi="Arial"/>
          <w:b/>
          <w:bCs/>
          <w:sz w:val="22"/>
          <w:szCs w:val="22"/>
        </w:rPr>
        <w:t xml:space="preserve">dim_business_unit </w:t>
      </w:r>
      <w:r>
        <w:rPr>
          <w:rFonts w:ascii="Arial" w:cs="Arial" w:eastAsia="Arial" w:hAnsi="Arial"/>
          <w:sz w:val="22"/>
          <w:szCs w:val="22"/>
        </w:rPr>
        <w:t xml:space="preserve">(BICEPS, HBC, ASF, BRM, FFM, OKG, OKP, CCS), </w:t>
      </w:r>
      <w:r>
        <w:rPr>
          <w:rFonts w:ascii="Arial" w:cs="Arial" w:eastAsia="Arial" w:hAnsi="Arial"/>
          <w:b/>
          <w:bCs/>
          <w:sz w:val="22"/>
          <w:szCs w:val="22"/>
        </w:rPr>
        <w:t xml:space="preserve">dim_location, dim_date, dim_adjustment_reason, dim_carrier, dim_purchase_order, dim_task_group </w:t>
      </w:r>
      <w:r>
        <w:rPr>
          <w:rFonts w:ascii="Arial" w:cs="Arial" w:eastAsia="Arial" w:hAnsi="Arial"/>
          <w:sz w:val="22"/>
          <w:szCs w:val="22"/>
        </w:rPr>
        <w:t xml:space="preserve">(static seed replacing the 49KB HBC_TASK_GROUP_DESC hardcoded UNION ALL view).</w:t>
      </w:r>
    </w:p>
    <w:p>
      <w:pPr>
        <w:pStyle w:val="Heading3"/>
        <w:spacing w:after="60" w:before="160"/>
      </w:pPr>
      <w:r>
        <w:rPr>
          <w:rFonts w:ascii="Arial" w:cs="Arial" w:eastAsia="Arial" w:hAnsi="Arial"/>
          <w:b/>
          <w:bCs/>
          <w:color w:val="2E75B6"/>
          <w:sz w:val="22"/>
          <w:szCs w:val="22"/>
        </w:rPr>
        <w:t xml:space="preserve">Conformed facts (12, liquid-clustered on facility + date)</w:t>
      </w:r>
    </w:p>
    <w:p>
      <w:pPr>
        <w:pStyle w:val="ListParagraph"/>
        <w:numPr>
          <w:ilvl w:val="0"/>
          <w:numId w:val="2"/>
        </w:numPr>
        <w:spacing w:after="40" w:before="40"/>
      </w:pPr>
      <w:r>
        <w:rPr>
          <w:rFonts w:ascii="Arial" w:cs="Arial" w:eastAsia="Arial" w:hAnsi="Arial"/>
          <w:b/>
          <w:bCs/>
          <w:sz w:val="22"/>
          <w:szCs w:val="22"/>
        </w:rPr>
        <w:t xml:space="preserve">fact_inventory_snapshot </w:t>
      </w:r>
      <w:r>
        <w:rPr>
          <w:rFonts w:ascii="Arial" w:cs="Arial" w:eastAsia="Arial" w:hAnsi="Arial"/>
          <w:sz w:val="22"/>
          <w:szCs w:val="22"/>
        </w:rPr>
        <w:t xml:space="preserve">replaces all *_IROO_V and *_ITEM_SNAPSHOT_V patterns.</w:t>
      </w:r>
    </w:p>
    <w:p>
      <w:pPr>
        <w:pStyle w:val="ListParagraph"/>
        <w:numPr>
          <w:ilvl w:val="0"/>
          <w:numId w:val="2"/>
        </w:numPr>
        <w:spacing w:after="40" w:before="40"/>
      </w:pPr>
      <w:r>
        <w:rPr>
          <w:rFonts w:ascii="Arial" w:cs="Arial" w:eastAsia="Arial" w:hAnsi="Arial"/>
          <w:b/>
          <w:bCs/>
          <w:sz w:val="22"/>
          <w:szCs w:val="22"/>
        </w:rPr>
        <w:t xml:space="preserve">fact_inventory_transaction </w:t>
      </w:r>
      <w:r>
        <w:rPr>
          <w:rFonts w:ascii="Arial" w:cs="Arial" w:eastAsia="Arial" w:hAnsi="Arial"/>
          <w:sz w:val="22"/>
          <w:szCs w:val="22"/>
        </w:rPr>
        <w:t xml:space="preserve">replaces *_QROO_V transaction shapes.</w:t>
      </w:r>
    </w:p>
    <w:p>
      <w:pPr>
        <w:pStyle w:val="ListParagraph"/>
        <w:numPr>
          <w:ilvl w:val="0"/>
          <w:numId w:val="2"/>
        </w:numPr>
        <w:spacing w:after="40" w:before="40"/>
      </w:pPr>
      <w:r>
        <w:rPr>
          <w:rFonts w:ascii="Arial" w:cs="Arial" w:eastAsia="Arial" w:hAnsi="Arial"/>
          <w:b/>
          <w:bCs/>
          <w:sz w:val="22"/>
          <w:szCs w:val="22"/>
        </w:rPr>
        <w:t xml:space="preserve">fact_inventory_daily_total, fact_cycle_count_adjustment </w:t>
      </w:r>
      <w:r>
        <w:rPr>
          <w:rFonts w:ascii="Arial" w:cs="Arial" w:eastAsia="Arial" w:hAnsi="Arial"/>
          <w:sz w:val="22"/>
          <w:szCs w:val="22"/>
        </w:rPr>
        <w:t xml:space="preserve">back the GE_CS_* corporate views.</w:t>
      </w:r>
    </w:p>
    <w:p>
      <w:pPr>
        <w:pStyle w:val="ListParagraph"/>
        <w:numPr>
          <w:ilvl w:val="0"/>
          <w:numId w:val="2"/>
        </w:numPr>
        <w:spacing w:after="40" w:before="40"/>
      </w:pPr>
      <w:r>
        <w:rPr>
          <w:rFonts w:ascii="Arial" w:cs="Arial" w:eastAsia="Arial" w:hAnsi="Arial"/>
          <w:b/>
          <w:bCs/>
          <w:sz w:val="22"/>
          <w:szCs w:val="22"/>
        </w:rPr>
        <w:t xml:space="preserve">fact_receiving_event, fact_pickpack_event, fact_ilpn_lifecycle </w:t>
      </w:r>
      <w:r>
        <w:rPr>
          <w:rFonts w:ascii="Arial" w:cs="Arial" w:eastAsia="Arial" w:hAnsi="Arial"/>
          <w:sz w:val="22"/>
          <w:szCs w:val="22"/>
        </w:rPr>
        <w:t xml:space="preserve">cover the inbound and outbound lifecycle. ITEM_FIRST_RCPT, PSE_CASE_V derive from here.</w:t>
      </w:r>
    </w:p>
    <w:p>
      <w:pPr>
        <w:pStyle w:val="ListParagraph"/>
        <w:numPr>
          <w:ilvl w:val="0"/>
          <w:numId w:val="2"/>
        </w:numPr>
        <w:spacing w:after="40" w:before="40"/>
      </w:pPr>
      <w:r>
        <w:rPr>
          <w:rFonts w:ascii="Arial" w:cs="Arial" w:eastAsia="Arial" w:hAnsi="Arial"/>
          <w:b/>
          <w:bCs/>
          <w:sz w:val="22"/>
          <w:szCs w:val="22"/>
        </w:rPr>
        <w:t xml:space="preserve">fact_pharmacy_transport </w:t>
      </w:r>
      <w:r>
        <w:rPr>
          <w:rFonts w:ascii="Arial" w:cs="Arial" w:eastAsia="Arial" w:hAnsi="Arial"/>
          <w:sz w:val="22"/>
          <w:szCs w:val="22"/>
        </w:rPr>
        <w:t xml:space="preserve">covers HBC_PHARMACY_TRANSPORTION_OH_V and PA_V via a single fact with a transport_variant column. Controlled-substance reporting is regulatory-sensitive, called out explicitly.</w:t>
      </w:r>
    </w:p>
    <w:p>
      <w:pPr>
        <w:pStyle w:val="ListParagraph"/>
        <w:numPr>
          <w:ilvl w:val="0"/>
          <w:numId w:val="2"/>
        </w:numPr>
        <w:spacing w:after="40" w:before="40"/>
      </w:pPr>
      <w:r>
        <w:rPr>
          <w:rFonts w:ascii="Arial" w:cs="Arial" w:eastAsia="Arial" w:hAnsi="Arial"/>
          <w:b/>
          <w:bCs/>
          <w:sz w:val="22"/>
          <w:szCs w:val="22"/>
        </w:rPr>
        <w:t xml:space="preserve">fact_transportation_shipment, fact_load_sheet </w:t>
      </w:r>
      <w:r>
        <w:rPr>
          <w:rFonts w:ascii="Arial" w:cs="Arial" w:eastAsia="Arial" w:hAnsi="Arial"/>
          <w:sz w:val="22"/>
          <w:szCs w:val="22"/>
        </w:rPr>
        <w:t xml:space="preserve">cover V_LOAD_SHEETS and V_GESC_*.</w:t>
      </w:r>
    </w:p>
    <w:p>
      <w:pPr>
        <w:pStyle w:val="ListParagraph"/>
        <w:numPr>
          <w:ilvl w:val="0"/>
          <w:numId w:val="2"/>
        </w:numPr>
        <w:spacing w:after="40" w:before="40"/>
      </w:pPr>
      <w:r>
        <w:rPr>
          <w:rFonts w:ascii="Arial" w:cs="Arial" w:eastAsia="Arial" w:hAnsi="Arial"/>
          <w:b/>
          <w:bCs/>
          <w:sz w:val="22"/>
          <w:szCs w:val="22"/>
        </w:rPr>
        <w:t xml:space="preserve">fact_task_completion </w:t>
      </w:r>
      <w:r>
        <w:rPr>
          <w:rFonts w:ascii="Arial" w:cs="Arial" w:eastAsia="Arial" w:hAnsi="Arial"/>
          <w:sz w:val="22"/>
          <w:szCs w:val="22"/>
        </w:rPr>
        <w:t xml:space="preserve">covers labor productivity and feeds TIME_DIFF-style freshness diagnostics.</w:t>
      </w:r>
    </w:p>
    <w:p>
      <w:pPr>
        <w:pStyle w:val="ListParagraph"/>
        <w:numPr>
          <w:ilvl w:val="0"/>
          <w:numId w:val="2"/>
        </w:numPr>
        <w:spacing w:after="40" w:before="40"/>
      </w:pPr>
      <w:r>
        <w:rPr>
          <w:rFonts w:ascii="Arial" w:cs="Arial" w:eastAsia="Arial" w:hAnsi="Arial"/>
          <w:b/>
          <w:bCs/>
          <w:sz w:val="22"/>
          <w:szCs w:val="22"/>
        </w:rPr>
        <w:t xml:space="preserve">v_inventory_compare </w:t>
      </w:r>
      <w:r>
        <w:rPr>
          <w:rFonts w:ascii="Arial" w:cs="Arial" w:eastAsia="Arial" w:hAnsi="Arial"/>
          <w:sz w:val="22"/>
          <w:szCs w:val="22"/>
        </w:rPr>
        <w:t xml:space="preserve">is a regular view replacing CCS_INV_COMPARE_V. Promote to a materialized view (DLT or DBSQL syntax) before production cutover if refresh latency matters.</w:t>
      </w:r>
    </w:p>
    <w:p>
      <w:pPr>
        <w:pStyle w:val="Heading3"/>
        <w:spacing w:after="60" w:before="160"/>
      </w:pPr>
      <w:r>
        <w:rPr>
          <w:rFonts w:ascii="Arial" w:cs="Arial" w:eastAsia="Arial" w:hAnsi="Arial"/>
          <w:b/>
          <w:bCs/>
          <w:color w:val="2E75B6"/>
          <w:sz w:val="22"/>
          <w:szCs w:val="22"/>
        </w:rPr>
        <w:t xml:space="preserve">Compatibility view layer (51 views, same shapes as Version A)</w:t>
      </w:r>
    </w:p>
    <w:p>
      <w:pPr>
        <w:spacing w:after="60" w:before="60"/>
      </w:pPr>
      <w:r>
        <w:rPr>
          <w:rFonts w:ascii="Arial" w:cs="Arial" w:eastAsia="Arial" w:hAnsi="Arial"/>
          <w:sz w:val="22"/>
          <w:szCs w:val="22"/>
        </w:rPr>
        <w:t xml:space="preserve">The template-then-filter pattern is the key insight. Roughly 40 of the 51 Snowflake views collapse into 6 SQL templates, with per-DC variants implemented as SELECT * FROM template WHERE profile_id = .... For example, v_biceps_iroo_d0001 becomes one line of SQL instead of a duplicated 3,500-character view definition. The remaining 11 views (GE_CS corporate, CCS cross-facility, pharmacy transport, transportation, specialty, HBC_TASK_GROUP_DESC) are explicit because their shapes don't fit a template.</w:t>
      </w:r>
    </w:p>
    <w:p>
      <w:pPr>
        <w:spacing w:after="60" w:before="60"/>
      </w:pPr>
      <w:r>
        <w:rPr>
          <w:rFonts w:ascii="Arial" w:cs="Arial" w:eastAsia="Arial" w:hAnsi="Arial"/>
          <w:sz w:val="22"/>
          <w:szCs w:val="22"/>
        </w:rPr>
        <w:t xml:space="preserve">misha_test_v is confirmed dev cruft and intentionally not migrated. Retire at cutover.</w:t>
      </w:r>
    </w:p>
    <w:p>
      <w:pPr>
        <w:pStyle w:val="Heading2"/>
        <w:spacing w:after="100" w:before="240"/>
      </w:pPr>
      <w:r>
        <w:rPr>
          <w:rFonts w:ascii="Arial" w:cs="Arial" w:eastAsia="Arial" w:hAnsi="Arial"/>
          <w:b/>
          <w:bCs/>
          <w:color w:val="1F3864"/>
          <w:sz w:val="26"/>
          <w:szCs w:val="26"/>
        </w:rPr>
        <w:t xml:space="preserve">9. Tech stack</w:t>
      </w:r>
    </w:p>
    <w:p>
      <w:pPr>
        <w:pStyle w:val="ListParagraph"/>
        <w:numPr>
          <w:ilvl w:val="0"/>
          <w:numId w:val="2"/>
        </w:numPr>
        <w:spacing w:after="40" w:before="40"/>
      </w:pPr>
      <w:r>
        <w:rPr>
          <w:rFonts w:ascii="Arial" w:cs="Arial" w:eastAsia="Arial" w:hAnsi="Arial"/>
          <w:b/>
          <w:bCs/>
          <w:sz w:val="22"/>
          <w:szCs w:val="22"/>
        </w:rPr>
        <w:t xml:space="preserve">Unity Catalog </w:t>
      </w:r>
      <w:r>
        <w:rPr>
          <w:rFonts w:ascii="Arial" w:cs="Arial" w:eastAsia="Arial" w:hAnsi="Arial"/>
          <w:sz w:val="22"/>
          <w:szCs w:val="22"/>
        </w:rPr>
        <w:t xml:space="preserve">for namespace and governance.</w:t>
      </w:r>
    </w:p>
    <w:p>
      <w:pPr>
        <w:pStyle w:val="ListParagraph"/>
        <w:numPr>
          <w:ilvl w:val="0"/>
          <w:numId w:val="2"/>
        </w:numPr>
        <w:spacing w:after="40" w:before="40"/>
      </w:pPr>
      <w:r>
        <w:rPr>
          <w:rFonts w:ascii="Arial" w:cs="Arial" w:eastAsia="Arial" w:hAnsi="Arial"/>
          <w:b/>
          <w:bCs/>
          <w:sz w:val="22"/>
          <w:szCs w:val="22"/>
        </w:rPr>
        <w:t xml:space="preserve">Delta Lake </w:t>
      </w:r>
      <w:r>
        <w:rPr>
          <w:rFonts w:ascii="Arial" w:cs="Arial" w:eastAsia="Arial" w:hAnsi="Arial"/>
          <w:sz w:val="22"/>
          <w:szCs w:val="22"/>
        </w:rPr>
        <w:t xml:space="preserve">for all storage.</w:t>
      </w:r>
    </w:p>
    <w:p>
      <w:pPr>
        <w:pStyle w:val="ListParagraph"/>
        <w:numPr>
          <w:ilvl w:val="0"/>
          <w:numId w:val="2"/>
        </w:numPr>
        <w:spacing w:after="40" w:before="40"/>
      </w:pPr>
      <w:r>
        <w:rPr>
          <w:rFonts w:ascii="Arial" w:cs="Arial" w:eastAsia="Arial" w:hAnsi="Arial"/>
          <w:b/>
          <w:bCs/>
          <w:sz w:val="22"/>
          <w:szCs w:val="22"/>
        </w:rPr>
        <w:t xml:space="preserve">Liquid clustering </w:t>
      </w:r>
      <w:r>
        <w:rPr>
          <w:rFonts w:ascii="Arial" w:cs="Arial" w:eastAsia="Arial" w:hAnsi="Arial"/>
          <w:sz w:val="22"/>
          <w:szCs w:val="22"/>
        </w:rPr>
        <w:t xml:space="preserve">on fact tables, on (facility_sk, date_sk).</w:t>
      </w:r>
    </w:p>
    <w:p>
      <w:pPr>
        <w:pStyle w:val="ListParagraph"/>
        <w:numPr>
          <w:ilvl w:val="0"/>
          <w:numId w:val="2"/>
        </w:numPr>
        <w:spacing w:after="40" w:before="40"/>
      </w:pPr>
      <w:r>
        <w:rPr>
          <w:rFonts w:ascii="Arial" w:cs="Arial" w:eastAsia="Arial" w:hAnsi="Arial"/>
          <w:b/>
          <w:bCs/>
          <w:sz w:val="22"/>
          <w:szCs w:val="22"/>
        </w:rPr>
        <w:t xml:space="preserve">Databricks SQL Serverless </w:t>
      </w:r>
      <w:r>
        <w:rPr>
          <w:rFonts w:ascii="Arial" w:cs="Arial" w:eastAsia="Arial" w:hAnsi="Arial"/>
          <w:sz w:val="22"/>
          <w:szCs w:val="22"/>
        </w:rPr>
        <w:t xml:space="preserve">for the query and serving layer; this is where Power BI connects.</w:t>
      </w:r>
    </w:p>
    <w:p>
      <w:pPr>
        <w:pStyle w:val="ListParagraph"/>
        <w:numPr>
          <w:ilvl w:val="0"/>
          <w:numId w:val="2"/>
        </w:numPr>
        <w:spacing w:after="40" w:before="40"/>
      </w:pPr>
      <w:r>
        <w:rPr>
          <w:rFonts w:ascii="Arial" w:cs="Arial" w:eastAsia="Arial" w:hAnsi="Arial"/>
          <w:b/>
          <w:bCs/>
          <w:sz w:val="22"/>
          <w:szCs w:val="22"/>
        </w:rPr>
        <w:t xml:space="preserve">Databricks Industry Data Models </w:t>
      </w:r>
      <w:r>
        <w:rPr>
          <w:rFonts w:ascii="Arial" w:cs="Arial" w:eastAsia="Arial" w:hAnsi="Arial"/>
          <w:sz w:val="22"/>
          <w:szCs w:val="22"/>
        </w:rPr>
        <w:t xml:space="preserve">(github.com/databricks-industry-solutions) as a reference for the dim_item and dim_location shapes where alignment with the published retail / supply chain models is cheap. Not a hard dependency.</w:t>
      </w:r>
    </w:p>
    <w:p>
      <w:pPr>
        <w:pStyle w:val="Heading2"/>
        <w:spacing w:after="100" w:before="240"/>
      </w:pPr>
      <w:r>
        <w:rPr>
          <w:rFonts w:ascii="Arial" w:cs="Arial" w:eastAsia="Arial" w:hAnsi="Arial"/>
          <w:b/>
          <w:bCs/>
          <w:color w:val="1F3864"/>
          <w:sz w:val="26"/>
          <w:szCs w:val="26"/>
        </w:rPr>
        <w:t xml:space="preserve">10. Indicative cost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Sizing thinking and indicative cost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DBSQL Serverless warehouse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Recommended Medium warehouse for the BI consumer pattern at ~1000 Primary Capacity users. Concurrency target 50+ active queries per second peak. Auto-scale up to Large during cycle count windows. Cost order-of-magnitude: low five figures monthly for the consumer tier. Validate against actual concurrency curve in the POC benchmark.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Lakeflow Connect CDC pipeline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Scoped separately on the source-side track. CDC ingestion cost is roughly DBU consumption proportional to source change volume; modest for MAWM relative to the consumer tier.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Gold layer build (one-time)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dimensional rebuild and compatibility view creation runs once per build. Negligible relative to ongoing consumption.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Delta storage at MAWM ODM volume is modest (low single-digit TB including history). Bronze_Archive carries the historical depth; Gold is the curated layer.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Net positioning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Total Databricks consumption cost expected to land at or below current Snowflake + Agilitics + Hevo combined operating cost. Validate during POC against the actual benchmark numbers.</w:t>
            </w:r>
          </w:p>
        </w:tc>
      </w:tr>
    </w:tbl>
    <w:p>
      <w:pPr>
        <w:pStyle w:val="Heading2"/>
        <w:spacing w:after="100" w:before="240"/>
      </w:pPr>
      <w:r>
        <w:rPr>
          <w:rFonts w:ascii="Arial" w:cs="Arial" w:eastAsia="Arial" w:hAnsi="Arial"/>
          <w:b/>
          <w:bCs/>
          <w:color w:val="1F3864"/>
          <w:sz w:val="26"/>
          <w:szCs w:val="26"/>
        </w:rPr>
        <w:t xml:space="preserve">11.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Foundation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Lawrence (Databricks SA), Aquila (GE)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Workspace catalog and schemas. All 35 reverse-engineered Bronze tables. Scaled sample data. Both diagrams (SVG + draw.io) reviewed with Eric.</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Version A complete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Lawrence (Databricks SA)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 51 Snowflake views ported to Delta views in gold_lift_shift. Dialect translations applied. About 8 views flagged with WARNING comments for hand-translation. Smoke-test row counts match expected.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Version B complete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Lawrence (Databricks SA), with Eric consulting</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 conformed dimensions, 12 facts, 51 compatibility views. Column-shape validation script returns zero diffs. Result-fidelity diffs match between A and B.</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BI repoint + decision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Aquila + Roshni (GE), Lawrence supporting</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Sample of priority Power BI datasets repointed to both Gold versions. Side-by-side benchmarks. Demo + recommendation to Eric, Michael, Zach. Hybrid path proposal.</w:t>
            </w:r>
          </w:p>
        </w:tc>
      </w:tr>
    </w:tbl>
    <w:p>
      <w:pPr>
        <w:pStyle w:val="Heading2"/>
        <w:spacing w:after="100" w:before="240"/>
      </w:pPr>
      <w:r>
        <w:rPr>
          <w:rFonts w:ascii="Arial" w:cs="Arial" w:eastAsia="Arial" w:hAnsi="Arial"/>
          <w:b/>
          <w:bCs/>
          <w:color w:val="1F3864"/>
          <w:sz w:val="26"/>
          <w:szCs w:val="26"/>
        </w:rPr>
        <w:t xml:space="preserve">12. Caveats and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b/>
                <w:bCs/>
                <w:sz w:val="20"/>
                <w:szCs w:val="20"/>
              </w:rPr>
              <w:t xml:space="preserve">CCS_INV_COMPARE_V port is reconstructed, not direct.</w:t>
            </w:r>
          </w:p>
        </w:tc>
      </w:tr>
      <w:tr>
        <w:tc>
          <w:tcPr>
            <w:tcW w:type="dxa" w:w="9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sz w:val="20"/>
                <w:szCs w:val="20"/>
              </w:rPr>
              <w:t xml:space="preserve">The original DDL extraction from the HTML was truncated by a &lt; symbol inside the SQL. The Version A port reconstructs the expected shape from contextual clues. This view's logic must be reconciled against Aquila's actual production DDL before the POC moves to a demo with Eric or Zach. Aquila to provide the full DDL via a follow-up.</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Reverse-engineered Bronze schemas. </w:t>
      </w:r>
      <w:r>
        <w:rPr>
          <w:rFonts w:ascii="Arial" w:cs="Arial" w:eastAsia="Arial" w:hAnsi="Arial"/>
          <w:sz w:val="22"/>
          <w:szCs w:val="22"/>
        </w:rPr>
        <w:t xml:space="preserve">Sample base tables are derived from view DDLs, not from Manhattan source. When Lakeflow Connect lands real Bronze data, these are superseded; the Gold layer logic carries forward.</w:t>
      </w:r>
    </w:p>
    <w:p>
      <w:pPr>
        <w:pStyle w:val="ListParagraph"/>
        <w:numPr>
          <w:ilvl w:val="0"/>
          <w:numId w:val="2"/>
        </w:numPr>
        <w:spacing w:after="40" w:before="40"/>
      </w:pPr>
      <w:r>
        <w:rPr>
          <w:rFonts w:ascii="Arial" w:cs="Arial" w:eastAsia="Arial" w:hAnsi="Arial"/>
          <w:b/>
          <w:bCs/>
          <w:sz w:val="22"/>
          <w:szCs w:val="22"/>
        </w:rPr>
        <w:t xml:space="preserve">Eight lift-and-shift views need hand-translation. </w:t>
      </w:r>
      <w:r>
        <w:rPr>
          <w:rFonts w:ascii="Arial" w:cs="Arial" w:eastAsia="Arial" w:hAnsi="Arial"/>
          <w:sz w:val="22"/>
          <w:szCs w:val="22"/>
        </w:rPr>
        <w:t xml:space="preserve">These contain Snowflake-specific decode() or other patterns the porter flags with WARNING comments. Lawrence hand-translates these on first run; this is a finite, bounded list.</w:t>
      </w:r>
    </w:p>
    <w:p>
      <w:pPr>
        <w:pStyle w:val="ListParagraph"/>
        <w:numPr>
          <w:ilvl w:val="0"/>
          <w:numId w:val="2"/>
        </w:numPr>
        <w:spacing w:after="40" w:before="40"/>
      </w:pPr>
      <w:r>
        <w:rPr>
          <w:rFonts w:ascii="Arial" w:cs="Arial" w:eastAsia="Arial" w:hAnsi="Arial"/>
          <w:b/>
          <w:bCs/>
          <w:sz w:val="22"/>
          <w:szCs w:val="22"/>
        </w:rPr>
        <w:t xml:space="preserve">Power BI direct queries against base tables. </w:t>
      </w:r>
      <w:r>
        <w:rPr>
          <w:rFonts w:ascii="Arial" w:cs="Arial" w:eastAsia="Arial" w:hAnsi="Arial"/>
          <w:sz w:val="22"/>
          <w:szCs w:val="22"/>
        </w:rPr>
        <w:t xml:space="preserve">Some Power BI datasets reference base tables directly, not through views. Those queries need to be inventoried with Aquila to confirm the reverse-engineered Bronze schemas don't miss columns. Open question for the BI walkthrough in Week 3.</w:t>
      </w:r>
    </w:p>
    <w:p>
      <w:pPr>
        <w:pStyle w:val="ListParagraph"/>
        <w:numPr>
          <w:ilvl w:val="0"/>
          <w:numId w:val="2"/>
        </w:numPr>
        <w:spacing w:after="40" w:before="40"/>
      </w:pPr>
      <w:r>
        <w:rPr>
          <w:rFonts w:ascii="Arial" w:cs="Arial" w:eastAsia="Arial" w:hAnsi="Arial"/>
          <w:b/>
          <w:bCs/>
          <w:sz w:val="22"/>
          <w:szCs w:val="22"/>
        </w:rPr>
        <w:t xml:space="preserve">External Oracle source mocked. </w:t>
      </w:r>
      <w:r>
        <w:rPr>
          <w:rFonts w:ascii="Arial" w:cs="Arial" w:eastAsia="Arial" w:hAnsi="Arial"/>
          <w:sz w:val="22"/>
          <w:szCs w:val="22"/>
        </w:rPr>
        <w:t xml:space="preserve">ge_oracle.ge_cs_invn_control is mocked in Bronze for the POC. The real integration story is Phase 2.</w:t>
      </w:r>
    </w:p>
    <w:p>
      <w:pPr>
        <w:pStyle w:val="ListParagraph"/>
        <w:numPr>
          <w:ilvl w:val="0"/>
          <w:numId w:val="2"/>
        </w:numPr>
        <w:spacing w:after="40" w:before="40"/>
      </w:pPr>
      <w:r>
        <w:rPr>
          <w:rFonts w:ascii="Arial" w:cs="Arial" w:eastAsia="Arial" w:hAnsi="Arial"/>
          <w:b/>
          <w:bCs/>
          <w:sz w:val="22"/>
          <w:szCs w:val="22"/>
        </w:rPr>
        <w:t xml:space="preserve">dim_task_group seeded with representative rows. </w:t>
      </w:r>
      <w:r>
        <w:rPr>
          <w:rFonts w:ascii="Arial" w:cs="Arial" w:eastAsia="Arial" w:hAnsi="Arial"/>
          <w:sz w:val="22"/>
          <w:szCs w:val="22"/>
        </w:rPr>
        <w:t xml:space="preserve">The full HBC_TASK_GROUP_DESC source DDL needs to be reconciled into the seed; current seed is a sample.</w:t>
      </w:r>
    </w:p>
    <w:p>
      <w:pPr>
        <w:pStyle w:val="Heading2"/>
        <w:spacing w:after="100" w:before="240"/>
      </w:pPr>
      <w:r>
        <w:rPr>
          <w:rFonts w:ascii="Arial" w:cs="Arial" w:eastAsia="Arial" w:hAnsi="Arial"/>
          <w:b/>
          <w:bCs/>
          <w:color w:val="1F3864"/>
          <w:sz w:val="26"/>
          <w:szCs w:val="26"/>
        </w:rPr>
        <w:t xml:space="preserve">13. Risks</w:t>
      </w:r>
    </w:p>
    <w:p>
      <w:pPr>
        <w:pStyle w:val="ListParagraph"/>
        <w:numPr>
          <w:ilvl w:val="0"/>
          <w:numId w:val="2"/>
        </w:numPr>
        <w:spacing w:after="40" w:before="40"/>
      </w:pPr>
      <w:r>
        <w:rPr>
          <w:rFonts w:ascii="Arial" w:cs="Arial" w:eastAsia="Arial" w:hAnsi="Arial"/>
          <w:b/>
          <w:bCs/>
          <w:sz w:val="22"/>
          <w:szCs w:val="22"/>
        </w:rPr>
        <w:t xml:space="preserve">Schema drift from Manhattan upgrades. </w:t>
      </w:r>
      <w:r>
        <w:rPr>
          <w:rFonts w:ascii="Arial" w:cs="Arial" w:eastAsia="Arial" w:hAnsi="Arial"/>
          <w:sz w:val="22"/>
          <w:szCs w:val="22"/>
        </w:rPr>
        <w:t xml:space="preserve">Manhattan Active WMS releases can change base table shapes. Mitigated by Lakeflow Connect schema evolution + the Bronze-Gold separation.</w:t>
      </w:r>
    </w:p>
    <w:p>
      <w:pPr>
        <w:pStyle w:val="ListParagraph"/>
        <w:numPr>
          <w:ilvl w:val="0"/>
          <w:numId w:val="2"/>
        </w:numPr>
        <w:spacing w:after="40" w:before="40"/>
      </w:pPr>
      <w:r>
        <w:rPr>
          <w:rFonts w:ascii="Arial" w:cs="Arial" w:eastAsia="Arial" w:hAnsi="Arial"/>
          <w:b/>
          <w:bCs/>
          <w:sz w:val="22"/>
          <w:szCs w:val="22"/>
        </w:rPr>
        <w:t xml:space="preserve">Bronze_Archive seed scope. </w:t>
      </w:r>
      <w:r>
        <w:rPr>
          <w:rFonts w:ascii="Arial" w:cs="Arial" w:eastAsia="Arial" w:hAnsi="Arial"/>
          <w:sz w:val="22"/>
          <w:szCs w:val="22"/>
        </w:rPr>
        <w:t xml:space="preserve">Snowflake historical seed to Bronze_Archive at cutover is a separate scoping conversation on the source-side track. Tracked but not in this document.</w:t>
      </w:r>
    </w:p>
    <w:p>
      <w:pPr>
        <w:pStyle w:val="ListParagraph"/>
        <w:numPr>
          <w:ilvl w:val="0"/>
          <w:numId w:val="2"/>
        </w:numPr>
        <w:spacing w:after="40" w:before="40"/>
      </w:pPr>
      <w:r>
        <w:rPr>
          <w:rFonts w:ascii="Arial" w:cs="Arial" w:eastAsia="Arial" w:hAnsi="Arial"/>
          <w:b/>
          <w:bCs/>
          <w:sz w:val="22"/>
          <w:szCs w:val="22"/>
        </w:rPr>
        <w:t xml:space="preserve">Power BI capacity at scale. </w:t>
      </w:r>
      <w:r>
        <w:rPr>
          <w:rFonts w:ascii="Arial" w:cs="Arial" w:eastAsia="Arial" w:hAnsi="Arial"/>
          <w:sz w:val="22"/>
          <w:szCs w:val="22"/>
        </w:rPr>
        <w:t xml:space="preserve">Concurrency target (~50+ active queries/sec peak) needs to be validated against actual workload during POC. Mitigated by the Medium-to-Large auto-scale on DBSQL Serverless.</w:t>
      </w:r>
    </w:p>
    <w:p>
      <w:pPr>
        <w:pStyle w:val="ListParagraph"/>
        <w:numPr>
          <w:ilvl w:val="0"/>
          <w:numId w:val="2"/>
        </w:numPr>
        <w:spacing w:after="40" w:before="40"/>
      </w:pPr>
      <w:r>
        <w:rPr>
          <w:rFonts w:ascii="Arial" w:cs="Arial" w:eastAsia="Arial" w:hAnsi="Arial"/>
          <w:b/>
          <w:bCs/>
          <w:sz w:val="22"/>
          <w:szCs w:val="22"/>
        </w:rPr>
        <w:t xml:space="preserve">Rollback path. </w:t>
      </w:r>
      <w:r>
        <w:rPr>
          <w:rFonts w:ascii="Arial" w:cs="Arial" w:eastAsia="Arial" w:hAnsi="Arial"/>
          <w:sz w:val="22"/>
          <w:szCs w:val="22"/>
        </w:rPr>
        <w:t xml:space="preserve">If Version B compatibility views drift from Version A row counts post-cutover, the BI consumers can be repointed back to Version A in minutes. The lift-and-shift is the safety net.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Giant Eagle Manhattan WMS to Databricks POC</dc:title>
  <dc:creator>Lawrence N. Kyei</dc:creator>
  <cp:lastModifiedBy>Un-named</cp:lastModifiedBy>
  <cp:revision>1</cp:revision>
  <dcterms:created xsi:type="dcterms:W3CDTF">2026-06-15T17:18:12.152Z</dcterms:created>
  <dcterms:modified xsi:type="dcterms:W3CDTF">2026-06-15T17:18:12.166Z</dcterms:modified>
</cp:coreProperties>
</file>

<file path=docProps/custom.xml><?xml version="1.0" encoding="utf-8"?>
<Properties xmlns="http://schemas.openxmlformats.org/officeDocument/2006/custom-properties" xmlns:vt="http://schemas.openxmlformats.org/officeDocument/2006/docPropsVTypes"/>
</file>