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4D0B1F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66A8D49" wp14:editId="30BB0622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14D">
              <w:t xml:space="preserve">River Operations – </w:t>
            </w:r>
            <w:r w:rsidR="004D0B1F">
              <w:t>verify threshold crossings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 w:rsidP="004D0B1F">
            <w:r>
              <w:t xml:space="preserve">Step by step description of how to </w:t>
            </w:r>
            <w:r w:rsidR="004D0B1F">
              <w:t>verify threshold crossings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E70D50" wp14:editId="67F66A10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523B82">
            <w:r>
              <w:t>2016-01</w:t>
            </w:r>
            <w:bookmarkStart w:id="0" w:name="_GoBack"/>
            <w:bookmarkEnd w:id="0"/>
          </w:p>
        </w:tc>
      </w:tr>
    </w:tbl>
    <w:p w:rsidR="00A85848" w:rsidRDefault="00D2298C" w:rsidP="001E2579">
      <w:pPr>
        <w:rPr>
          <w:lang w:val="en-US"/>
        </w:rPr>
      </w:pPr>
      <w:r>
        <w:br/>
      </w:r>
    </w:p>
    <w:p w:rsidR="00A85848" w:rsidRDefault="00A85848" w:rsidP="00A85848">
      <w:r>
        <w:t>Overview of steps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464"/>
      </w:tblGrid>
      <w:tr w:rsidR="00A85848" w:rsidTr="007A08AC">
        <w:tc>
          <w:tcPr>
            <w:tcW w:w="5778" w:type="dxa"/>
          </w:tcPr>
          <w:p w:rsidR="00A85848" w:rsidRDefault="00A85848" w:rsidP="007A08A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Run workflow 'Import from OPS Sheets'</w:t>
            </w:r>
            <w:r>
              <w:rPr>
                <w:lang w:val="en-US"/>
              </w:rPr>
              <w:br/>
              <w:t>this workflow computes the threshold crossings on the MDBC_OPS data</w:t>
            </w:r>
          </w:p>
          <w:p w:rsidR="00A85848" w:rsidRDefault="00A85848" w:rsidP="007A08A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Open display 'Threshold Status Table' from Explorer toolbar</w:t>
            </w:r>
            <w:r>
              <w:rPr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1257300" cy="285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</w:r>
          </w:p>
          <w:p w:rsidR="00A85848" w:rsidRDefault="00A85848" w:rsidP="00A858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Pick from the reach of interest</w:t>
            </w:r>
          </w:p>
          <w:p w:rsidR="00A85848" w:rsidRDefault="00A85848" w:rsidP="00A85848">
            <w:pPr>
              <w:pStyle w:val="ListParagrap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FAE015" wp14:editId="47734F22">
                  <wp:extent cx="2305050" cy="1257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5848" w:rsidRDefault="00A85848" w:rsidP="00A85848">
            <w:pPr>
              <w:pStyle w:val="ListParagraph"/>
              <w:rPr>
                <w:lang w:val="en-US"/>
              </w:rPr>
            </w:pPr>
          </w:p>
          <w:p w:rsidR="00981ADF" w:rsidRDefault="00981ADF" w:rsidP="00981AD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any value to go to the </w:t>
            </w:r>
            <w:proofErr w:type="spellStart"/>
            <w:r>
              <w:rPr>
                <w:lang w:val="en-US"/>
              </w:rPr>
              <w:t>timeseries</w:t>
            </w:r>
            <w:proofErr w:type="spellEnd"/>
            <w:r>
              <w:rPr>
                <w:lang w:val="en-US"/>
              </w:rPr>
              <w:t xml:space="preserve"> of the underlying threshold assessment. Both the parameter and the associated counter will show the same display.</w:t>
            </w:r>
          </w:p>
        </w:tc>
        <w:tc>
          <w:tcPr>
            <w:tcW w:w="3464" w:type="dxa"/>
          </w:tcPr>
          <w:p w:rsidR="00A85848" w:rsidRDefault="00A85848" w:rsidP="007A08A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D97A5F" wp14:editId="49383F71">
                  <wp:extent cx="1828800" cy="2590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DF" w:rsidRDefault="00981ADF" w:rsidP="001E2579">
      <w:pPr>
        <w:rPr>
          <w:lang w:val="en-US"/>
        </w:rPr>
      </w:pPr>
    </w:p>
    <w:p w:rsidR="00981ADF" w:rsidRDefault="00005A8A" w:rsidP="00981ADF">
      <w:pPr>
        <w:rPr>
          <w:lang w:val="en-US"/>
        </w:rPr>
      </w:pPr>
      <w:r w:rsidRPr="001E2579">
        <w:t xml:space="preserve">Ad </w:t>
      </w:r>
      <w:r>
        <w:t>3</w:t>
      </w:r>
      <w:r w:rsidRPr="001E2579">
        <w:t>:</w:t>
      </w:r>
      <w:r w:rsidRPr="001E2579">
        <w:tab/>
      </w:r>
      <w:r w:rsidR="00981ADF">
        <w:rPr>
          <w:lang w:val="en-US"/>
        </w:rPr>
        <w:t>After step 3 a table overview is shown listing a row of sites. For each site, the table shows per parameter the actual value at the time of the slider and a counter of the total number of thresholds crossing since the beginning of the water year (June 1) until the slider time</w:t>
      </w:r>
    </w:p>
    <w:p w:rsidR="00DD13C5" w:rsidRDefault="00981ADF" w:rsidP="00981ADF">
      <w:pPr>
        <w:rPr>
          <w:noProof/>
          <w:lang w:eastAsia="en-GB"/>
        </w:rPr>
      </w:pPr>
      <w:r>
        <w:rPr>
          <w:noProof/>
        </w:rPr>
        <w:drawing>
          <wp:inline distT="0" distB="0" distL="0" distR="0" wp14:anchorId="7656D33E" wp14:editId="7BF2E62F">
            <wp:extent cx="5943600" cy="2189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C5" w:rsidRPr="00005A8A" w:rsidRDefault="00DD13C5" w:rsidP="00DD13C5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 xml:space="preserve"> </w:t>
      </w:r>
      <w:r>
        <w:t xml:space="preserve">Example showing list of sites, parameter values and threshold information </w:t>
      </w:r>
    </w:p>
    <w:p w:rsidR="00981ADF" w:rsidRDefault="00981ADF" w:rsidP="00981ADF">
      <w:pPr>
        <w:rPr>
          <w:lang w:val="en-US"/>
        </w:rPr>
      </w:pPr>
      <w:r>
        <w:rPr>
          <w:noProof/>
          <w:lang w:eastAsia="en-GB"/>
        </w:rPr>
        <w:lastRenderedPageBreak/>
        <w:t xml:space="preserve">If a threshold crossing occurs at the time of the slider, the cell receives a color. </w:t>
      </w:r>
      <w:r w:rsidR="003930E3">
        <w:rPr>
          <w:noProof/>
          <w:lang w:eastAsia="en-GB"/>
        </w:rPr>
        <w:t xml:space="preserve">A count cell showing '----' is an indication that no </w:t>
      </w:r>
      <w:r>
        <w:rPr>
          <w:noProof/>
          <w:lang w:eastAsia="en-GB"/>
        </w:rPr>
        <w:t>threshold</w:t>
      </w:r>
      <w:r w:rsidR="003930E3">
        <w:rPr>
          <w:noProof/>
          <w:lang w:eastAsia="en-GB"/>
        </w:rPr>
        <w:t xml:space="preserve"> has been </w:t>
      </w:r>
      <w:r>
        <w:rPr>
          <w:noProof/>
          <w:lang w:eastAsia="en-GB"/>
        </w:rPr>
        <w:t>defined for this locat</w:t>
      </w:r>
      <w:r w:rsidR="003930E3">
        <w:rPr>
          <w:noProof/>
          <w:lang w:eastAsia="en-GB"/>
        </w:rPr>
        <w:t>ion-parameter combination</w:t>
      </w:r>
      <w:r>
        <w:rPr>
          <w:noProof/>
          <w:lang w:eastAsia="en-GB"/>
        </w:rPr>
        <w:t>.</w:t>
      </w:r>
    </w:p>
    <w:p w:rsidR="00981ADF" w:rsidRDefault="00981ADF" w:rsidP="00981ADF">
      <w:pPr>
        <w:rPr>
          <w:lang w:val="en-US"/>
        </w:rPr>
      </w:pPr>
      <w:r>
        <w:rPr>
          <w:lang w:val="en-US"/>
        </w:rPr>
        <w:t xml:space="preserve">Given the extensive variation in threshold definitions for River Operator Objectives and </w:t>
      </w:r>
      <w:r w:rsidRPr="004D0B1F">
        <w:rPr>
          <w:lang w:val="en-US"/>
        </w:rPr>
        <w:t>Specific Objectives and Outcomes</w:t>
      </w:r>
      <w:r>
        <w:rPr>
          <w:lang w:val="en-US"/>
        </w:rPr>
        <w:t>, the following color and code scheme has been applied: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81ADF" w:rsidTr="00A91B56">
        <w:tc>
          <w:tcPr>
            <w:tcW w:w="1540" w:type="dxa"/>
          </w:tcPr>
          <w:p w:rsidR="00981ADF" w:rsidRPr="003D71E7" w:rsidRDefault="00981ADF" w:rsidP="00A91B56">
            <w:pPr>
              <w:rPr>
                <w:b/>
                <w:lang w:val="en-US"/>
              </w:rPr>
            </w:pPr>
            <w:r w:rsidRPr="003D71E7">
              <w:rPr>
                <w:b/>
                <w:lang w:val="en-US"/>
              </w:rPr>
              <w:t>Variable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981ADF" w:rsidRPr="003D71E7" w:rsidRDefault="00981ADF" w:rsidP="00A91B56">
            <w:pPr>
              <w:rPr>
                <w:b/>
                <w:lang w:val="en-US"/>
              </w:rPr>
            </w:pPr>
            <w:r w:rsidRPr="003D71E7">
              <w:rPr>
                <w:b/>
                <w:lang w:val="en-US"/>
              </w:rPr>
              <w:t>SOFT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981ADF" w:rsidRPr="003D71E7" w:rsidRDefault="00981ADF" w:rsidP="00A91B56">
            <w:pPr>
              <w:rPr>
                <w:b/>
                <w:lang w:val="en-US"/>
              </w:rPr>
            </w:pPr>
            <w:r w:rsidRPr="003D71E7">
              <w:rPr>
                <w:b/>
                <w:lang w:val="en-US"/>
              </w:rPr>
              <w:t>HARD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981ADF" w:rsidRPr="003D71E7" w:rsidRDefault="00981ADF" w:rsidP="00A91B56">
            <w:pPr>
              <w:rPr>
                <w:b/>
                <w:lang w:val="en-US"/>
              </w:rPr>
            </w:pPr>
            <w:r w:rsidRPr="003D71E7">
              <w:rPr>
                <w:b/>
                <w:lang w:val="en-US"/>
              </w:rPr>
              <w:t>FSL</w:t>
            </w:r>
          </w:p>
        </w:tc>
        <w:tc>
          <w:tcPr>
            <w:tcW w:w="1541" w:type="dxa"/>
          </w:tcPr>
          <w:p w:rsidR="00981ADF" w:rsidRPr="003D71E7" w:rsidRDefault="00981ADF" w:rsidP="00A91B56">
            <w:pPr>
              <w:rPr>
                <w:b/>
                <w:lang w:val="en-US"/>
              </w:rPr>
            </w:pPr>
            <w:r w:rsidRPr="003D71E7">
              <w:rPr>
                <w:b/>
                <w:lang w:val="en-US"/>
              </w:rPr>
              <w:t>Salinity</w:t>
            </w:r>
          </w:p>
        </w:tc>
        <w:tc>
          <w:tcPr>
            <w:tcW w:w="1541" w:type="dxa"/>
          </w:tcPr>
          <w:p w:rsidR="00981ADF" w:rsidRPr="003D71E7" w:rsidRDefault="00981ADF" w:rsidP="00A91B56">
            <w:pPr>
              <w:rPr>
                <w:b/>
                <w:lang w:val="en-US"/>
              </w:rPr>
            </w:pPr>
            <w:r w:rsidRPr="003D71E7">
              <w:rPr>
                <w:b/>
                <w:lang w:val="en-US"/>
              </w:rPr>
              <w:t>DO%</w:t>
            </w:r>
          </w:p>
        </w:tc>
      </w:tr>
      <w:tr w:rsidR="00981ADF" w:rsidTr="00A91B56"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540" w:type="dxa"/>
            <w:shd w:val="clear" w:color="auto" w:fill="FFC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40" w:type="dxa"/>
            <w:shd w:val="clear" w:color="auto" w:fill="FF0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540" w:type="dxa"/>
            <w:shd w:val="clear" w:color="auto" w:fill="00B0F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</w:tr>
      <w:tr w:rsidR="00981ADF" w:rsidTr="00A91B56"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dH</w:t>
            </w:r>
            <w:proofErr w:type="spellEnd"/>
          </w:p>
        </w:tc>
        <w:tc>
          <w:tcPr>
            <w:tcW w:w="1540" w:type="dxa"/>
            <w:shd w:val="clear" w:color="auto" w:fill="FFC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540" w:type="dxa"/>
            <w:shd w:val="clear" w:color="auto" w:fill="FF0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</w:tr>
      <w:tr w:rsidR="00981ADF" w:rsidTr="00A91B56"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Q  / (Q-</w:t>
            </w:r>
            <w:proofErr w:type="spellStart"/>
            <w:r>
              <w:rPr>
                <w:lang w:val="en-US"/>
              </w:rPr>
              <w:t>Qord</w:t>
            </w:r>
            <w:proofErr w:type="spellEnd"/>
            <w:r>
              <w:rPr>
                <w:lang w:val="en-US"/>
              </w:rPr>
              <w:t>) / Q related</w:t>
            </w:r>
          </w:p>
        </w:tc>
        <w:tc>
          <w:tcPr>
            <w:tcW w:w="1540" w:type="dxa"/>
            <w:shd w:val="clear" w:color="auto" w:fill="FFC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540" w:type="dxa"/>
            <w:shd w:val="clear" w:color="auto" w:fill="FF0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</w:tr>
      <w:tr w:rsidR="00981ADF" w:rsidTr="00A91B56"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</w:t>
            </w:r>
            <w:proofErr w:type="spellEnd"/>
          </w:p>
        </w:tc>
        <w:tc>
          <w:tcPr>
            <w:tcW w:w="1540" w:type="dxa"/>
            <w:shd w:val="clear" w:color="auto" w:fill="FFC000"/>
          </w:tcPr>
          <w:p w:rsidR="00981ADF" w:rsidRDefault="00981ADF" w:rsidP="00A91B56">
            <w:pPr>
              <w:rPr>
                <w:lang w:val="en-US"/>
              </w:rPr>
            </w:pPr>
            <w:r w:rsidRPr="003D71E7">
              <w:rPr>
                <w:color w:val="808080" w:themeColor="background1" w:themeShade="80"/>
                <w:lang w:val="en-US"/>
              </w:rPr>
              <w:t>401</w:t>
            </w:r>
          </w:p>
        </w:tc>
        <w:tc>
          <w:tcPr>
            <w:tcW w:w="1540" w:type="dxa"/>
            <w:shd w:val="clear" w:color="auto" w:fill="FF0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</w:tr>
      <w:tr w:rsidR="00981ADF" w:rsidTr="00A91B56"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540" w:type="dxa"/>
            <w:shd w:val="clear" w:color="auto" w:fill="FFC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1540" w:type="dxa"/>
            <w:shd w:val="clear" w:color="auto" w:fill="FF00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502</w:t>
            </w:r>
          </w:p>
        </w:tc>
        <w:tc>
          <w:tcPr>
            <w:tcW w:w="1540" w:type="dxa"/>
            <w:shd w:val="clear" w:color="auto" w:fill="00B0F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</w:tr>
      <w:tr w:rsidR="00981ADF" w:rsidTr="00A91B56"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dV</w:t>
            </w:r>
            <w:proofErr w:type="spellEnd"/>
          </w:p>
        </w:tc>
        <w:tc>
          <w:tcPr>
            <w:tcW w:w="1540" w:type="dxa"/>
            <w:shd w:val="clear" w:color="auto" w:fill="FFC000"/>
          </w:tcPr>
          <w:p w:rsidR="00981ADF" w:rsidRPr="003D71E7" w:rsidRDefault="00981ADF" w:rsidP="00A91B56">
            <w:pPr>
              <w:rPr>
                <w:color w:val="808080" w:themeColor="background1" w:themeShade="80"/>
                <w:lang w:val="en-US"/>
              </w:rPr>
            </w:pPr>
            <w:r w:rsidRPr="003D71E7">
              <w:rPr>
                <w:color w:val="808080" w:themeColor="background1" w:themeShade="80"/>
                <w:lang w:val="en-US"/>
              </w:rPr>
              <w:t>601</w:t>
            </w:r>
          </w:p>
        </w:tc>
        <w:tc>
          <w:tcPr>
            <w:tcW w:w="1540" w:type="dxa"/>
            <w:shd w:val="clear" w:color="auto" w:fill="FF0000"/>
          </w:tcPr>
          <w:p w:rsidR="00981ADF" w:rsidRPr="003D71E7" w:rsidRDefault="00981ADF" w:rsidP="00A91B56">
            <w:pPr>
              <w:rPr>
                <w:color w:val="808080" w:themeColor="background1" w:themeShade="80"/>
                <w:lang w:val="en-US"/>
              </w:rPr>
            </w:pPr>
            <w:r w:rsidRPr="003D71E7">
              <w:rPr>
                <w:color w:val="808080" w:themeColor="background1" w:themeShade="80"/>
                <w:lang w:val="en-US"/>
              </w:rPr>
              <w:t>602</w:t>
            </w: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</w:tr>
      <w:tr w:rsidR="00981ADF" w:rsidTr="00A91B56"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  <w:shd w:val="clear" w:color="auto" w:fill="FFFF00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1541" w:type="dxa"/>
            <w:tcBorders>
              <w:bottom w:val="single" w:sz="4" w:space="0" w:color="auto"/>
            </w:tcBorders>
          </w:tcPr>
          <w:p w:rsidR="00981ADF" w:rsidRDefault="00981ADF" w:rsidP="00A91B56">
            <w:pPr>
              <w:rPr>
                <w:lang w:val="en-US"/>
              </w:rPr>
            </w:pPr>
          </w:p>
        </w:tc>
      </w:tr>
      <w:tr w:rsidR="00981ADF" w:rsidTr="00A91B56"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  <w:r>
              <w:rPr>
                <w:lang w:val="en-US"/>
              </w:rPr>
              <w:t>DO%</w:t>
            </w: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0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</w:tcPr>
          <w:p w:rsidR="00981ADF" w:rsidRDefault="00981ADF" w:rsidP="00A91B56">
            <w:pPr>
              <w:rPr>
                <w:lang w:val="en-US"/>
              </w:rPr>
            </w:pPr>
          </w:p>
        </w:tc>
        <w:tc>
          <w:tcPr>
            <w:tcW w:w="1541" w:type="dxa"/>
            <w:shd w:val="clear" w:color="auto" w:fill="FFFF00"/>
          </w:tcPr>
          <w:p w:rsidR="00981ADF" w:rsidRDefault="00981ADF" w:rsidP="00A91B56">
            <w:pPr>
              <w:keepNext/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</w:tr>
    </w:tbl>
    <w:p w:rsidR="00981ADF" w:rsidRDefault="00981ADF" w:rsidP="00981ADF">
      <w:pPr>
        <w:pStyle w:val="Caption"/>
        <w:rPr>
          <w:lang w:val="en-US"/>
        </w:rPr>
      </w:pPr>
      <w:r>
        <w:t xml:space="preserve">Table </w:t>
      </w:r>
      <w:fldSimple w:instr=" SEQ Table \* ARABIC ">
        <w:r w:rsidR="00DD13C5">
          <w:rPr>
            <w:noProof/>
          </w:rPr>
          <w:t>1</w:t>
        </w:r>
      </w:fldSimple>
      <w:r>
        <w:t xml:space="preserve"> Threshold crossing code scheme</w:t>
      </w:r>
    </w:p>
    <w:p w:rsidR="00981ADF" w:rsidRDefault="00981ADF" w:rsidP="00981ADF">
      <w:pPr>
        <w:rPr>
          <w:lang w:val="en-US"/>
        </w:rPr>
      </w:pPr>
    </w:p>
    <w:p w:rsidR="00981ADF" w:rsidRDefault="002D1F97" w:rsidP="00981ADF">
      <w:pPr>
        <w:pStyle w:val="ListParagraph"/>
        <w:keepLines/>
        <w:ind w:left="714" w:hanging="357"/>
        <w:rPr>
          <w:lang w:val="en-US"/>
        </w:rPr>
      </w:pPr>
      <w:r>
        <w:rPr>
          <w:lang w:val="en-US"/>
        </w:rPr>
        <w:t>Ad 4:</w:t>
      </w:r>
      <w:r w:rsidR="00706798">
        <w:rPr>
          <w:lang w:val="en-US"/>
        </w:rPr>
        <w:tab/>
      </w:r>
    </w:p>
    <w:p w:rsidR="00981ADF" w:rsidRDefault="00981ADF" w:rsidP="00981ADF">
      <w:pPr>
        <w:pStyle w:val="ListParagraph"/>
        <w:keepLines/>
        <w:ind w:left="714" w:hanging="357"/>
        <w:rPr>
          <w:lang w:val="en-US"/>
        </w:rPr>
      </w:pPr>
      <w:r>
        <w:rPr>
          <w:lang w:val="en-US"/>
        </w:rPr>
        <w:t xml:space="preserve">The display is composed of at least two subplots. The top </w:t>
      </w:r>
      <w:r w:rsidR="00F1440C">
        <w:rPr>
          <w:lang w:val="en-US"/>
        </w:rPr>
        <w:t>section</w:t>
      </w:r>
      <w:r>
        <w:rPr>
          <w:lang w:val="en-US"/>
        </w:rPr>
        <w:t xml:space="preserve"> show</w:t>
      </w:r>
      <w:r w:rsidR="00F1440C">
        <w:rPr>
          <w:lang w:val="en-US"/>
        </w:rPr>
        <w:t>s</w:t>
      </w:r>
      <w:r>
        <w:rPr>
          <w:lang w:val="en-US"/>
        </w:rPr>
        <w:t xml:space="preserve"> the actual parameter value and the threshold definition. The bottom section shows the type of the threshold crossing (</w:t>
      </w:r>
      <w:r w:rsidR="00F1440C">
        <w:rPr>
          <w:lang w:val="en-US"/>
        </w:rPr>
        <w:t xml:space="preserve">left axis, hits indicated by </w:t>
      </w:r>
      <w:r>
        <w:rPr>
          <w:lang w:val="en-US"/>
        </w:rPr>
        <w:t>diamond dots)</w:t>
      </w:r>
      <w:proofErr w:type="gramStart"/>
      <w:r>
        <w:rPr>
          <w:lang w:val="en-US"/>
        </w:rPr>
        <w:t>,  as</w:t>
      </w:r>
      <w:proofErr w:type="gramEnd"/>
      <w:r>
        <w:rPr>
          <w:lang w:val="en-US"/>
        </w:rPr>
        <w:t xml:space="preserve"> well as the total count since the beginning of the water year (right axis).</w:t>
      </w:r>
    </w:p>
    <w:p w:rsidR="00F1440C" w:rsidRPr="001E2579" w:rsidRDefault="00F1440C" w:rsidP="00981ADF">
      <w:pPr>
        <w:pStyle w:val="ListParagraph"/>
        <w:keepLines/>
        <w:ind w:left="714" w:hanging="357"/>
      </w:pPr>
    </w:p>
    <w:p w:rsidR="00981ADF" w:rsidRDefault="00981ADF" w:rsidP="00981ADF">
      <w:pPr>
        <w:pStyle w:val="ListParagraph"/>
        <w:keepNext/>
        <w:keepLines/>
        <w:ind w:left="714" w:hanging="357"/>
      </w:pPr>
      <w:r>
        <w:rPr>
          <w:noProof/>
        </w:rPr>
        <w:drawing>
          <wp:inline distT="0" distB="0" distL="0" distR="0" wp14:anchorId="06C67DF2" wp14:editId="07DA5A19">
            <wp:extent cx="5731510" cy="3242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98" w:rsidRPr="00005A8A" w:rsidRDefault="00981ADF" w:rsidP="00981ADF">
      <w:pPr>
        <w:pStyle w:val="Caption"/>
        <w:rPr>
          <w:lang w:val="en-US"/>
        </w:rPr>
      </w:pPr>
      <w:r>
        <w:t xml:space="preserve">Figure </w:t>
      </w:r>
      <w:r w:rsidR="00523B82">
        <w:fldChar w:fldCharType="begin"/>
      </w:r>
      <w:r w:rsidR="00523B82">
        <w:instrText xml:space="preserve"> SEQ Figure \* ARABIC </w:instrText>
      </w:r>
      <w:r w:rsidR="00523B82">
        <w:fldChar w:fldCharType="separate"/>
      </w:r>
      <w:r w:rsidR="00DD13C5">
        <w:rPr>
          <w:noProof/>
        </w:rPr>
        <w:t>2</w:t>
      </w:r>
      <w:r w:rsidR="00523B82">
        <w:rPr>
          <w:noProof/>
        </w:rPr>
        <w:fldChar w:fldCharType="end"/>
      </w:r>
      <w:r w:rsidR="00DD13C5">
        <w:rPr>
          <w:noProof/>
        </w:rPr>
        <w:t xml:space="preserve"> </w:t>
      </w:r>
      <w:r>
        <w:t xml:space="preserve">Example showing display crossing at Lake William </w:t>
      </w:r>
      <w:proofErr w:type="spellStart"/>
      <w:r>
        <w:t>Hovell</w:t>
      </w:r>
      <w:proofErr w:type="spellEnd"/>
    </w:p>
    <w:sectPr w:rsidR="00706798" w:rsidRPr="00005A8A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C14AD"/>
    <w:multiLevelType w:val="hybridMultilevel"/>
    <w:tmpl w:val="FA96F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05A8A"/>
    <w:rsid w:val="00086A4D"/>
    <w:rsid w:val="000B7D35"/>
    <w:rsid w:val="000E2AAC"/>
    <w:rsid w:val="001E2579"/>
    <w:rsid w:val="001E63A2"/>
    <w:rsid w:val="002318F0"/>
    <w:rsid w:val="002D1F97"/>
    <w:rsid w:val="0035231D"/>
    <w:rsid w:val="003930E3"/>
    <w:rsid w:val="003B15E4"/>
    <w:rsid w:val="003D71E7"/>
    <w:rsid w:val="004102C0"/>
    <w:rsid w:val="004565F6"/>
    <w:rsid w:val="004D0B1F"/>
    <w:rsid w:val="004D7B87"/>
    <w:rsid w:val="00515821"/>
    <w:rsid w:val="00523B82"/>
    <w:rsid w:val="005879F1"/>
    <w:rsid w:val="005D0B38"/>
    <w:rsid w:val="005D24B1"/>
    <w:rsid w:val="005F2007"/>
    <w:rsid w:val="006A1040"/>
    <w:rsid w:val="00706798"/>
    <w:rsid w:val="0078280E"/>
    <w:rsid w:val="00786556"/>
    <w:rsid w:val="00814011"/>
    <w:rsid w:val="008365AB"/>
    <w:rsid w:val="0088105F"/>
    <w:rsid w:val="008A4432"/>
    <w:rsid w:val="008D1D38"/>
    <w:rsid w:val="00975B39"/>
    <w:rsid w:val="00981ADF"/>
    <w:rsid w:val="009B414D"/>
    <w:rsid w:val="009B5E0D"/>
    <w:rsid w:val="009D06ED"/>
    <w:rsid w:val="00A20DF6"/>
    <w:rsid w:val="00A85848"/>
    <w:rsid w:val="00AF09E6"/>
    <w:rsid w:val="00B3500C"/>
    <w:rsid w:val="00B768BD"/>
    <w:rsid w:val="00C62BE7"/>
    <w:rsid w:val="00D11B60"/>
    <w:rsid w:val="00D2298C"/>
    <w:rsid w:val="00D52D82"/>
    <w:rsid w:val="00D765B9"/>
    <w:rsid w:val="00D919F8"/>
    <w:rsid w:val="00DB7947"/>
    <w:rsid w:val="00DD13C5"/>
    <w:rsid w:val="00E22417"/>
    <w:rsid w:val="00EA53EF"/>
    <w:rsid w:val="00F1440C"/>
    <w:rsid w:val="00F20E3A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71E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71E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FAA95-8EBD-480E-B851-FE14E0C3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9</cp:revision>
  <cp:lastPrinted>2016-01-21T16:55:00Z</cp:lastPrinted>
  <dcterms:created xsi:type="dcterms:W3CDTF">2015-05-29T06:36:00Z</dcterms:created>
  <dcterms:modified xsi:type="dcterms:W3CDTF">2016-01-25T04:55:00Z</dcterms:modified>
</cp:coreProperties>
</file>