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47141E" w:rsidP="00BE5B1F">
            <w:pPr>
              <w:tabs>
                <w:tab w:val="left" w:pos="2625"/>
              </w:tabs>
            </w:pPr>
            <w:r>
              <w:t>MDBC OPS</w:t>
            </w:r>
            <w:r w:rsidR="00225168">
              <w:t xml:space="preserve">– </w:t>
            </w:r>
            <w:r>
              <w:t>Special SOnO rules Heywoods and Doctor’s point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47141E" w:rsidP="00840715">
            <w:r>
              <w:rPr>
                <w:noProof/>
              </w:rPr>
              <w:t>Background informatin on how these rules are executed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0D0D0B" w:rsidP="000D0D0B">
            <w:r>
              <w:t xml:space="preserve">“quotes” refer </w:t>
            </w:r>
            <w:r w:rsidR="00840715">
              <w:t xml:space="preserve">to </w:t>
            </w:r>
            <w:r>
              <w:t xml:space="preserve">the screenshots, which </w:t>
            </w:r>
            <w:r w:rsidR="00840715">
              <w:t>may deviate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D93153" w:rsidRDefault="000D0D0B" w:rsidP="00D93153">
      <w:pPr>
        <w:rPr>
          <w:kern w:val="22"/>
        </w:rPr>
      </w:pP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9984" behindDoc="0" locked="0" layoutInCell="1" allowOverlap="1" wp14:anchorId="1C13DC10" wp14:editId="40EE1852">
            <wp:simplePos x="0" y="0"/>
            <wp:positionH relativeFrom="column">
              <wp:posOffset>4004945</wp:posOffset>
            </wp:positionH>
            <wp:positionV relativeFrom="paragraph">
              <wp:posOffset>-1436370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D0B">
        <w:rPr>
          <w:rFonts w:eastAsia="Times New Roman" w:cs="Arial"/>
          <w:noProof/>
          <w:color w:val="000000"/>
        </w:rPr>
        <w:drawing>
          <wp:anchor distT="0" distB="0" distL="114300" distR="114300" simplePos="0" relativeHeight="251688960" behindDoc="1" locked="0" layoutInCell="1" allowOverlap="1" wp14:anchorId="4361D896" wp14:editId="1BBEC31E">
            <wp:simplePos x="0" y="0"/>
            <wp:positionH relativeFrom="column">
              <wp:posOffset>5733184</wp:posOffset>
            </wp:positionH>
            <wp:positionV relativeFrom="paragraph">
              <wp:posOffset>-1517708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47141E">
        <w:rPr>
          <w:kern w:val="22"/>
        </w:rPr>
        <w:t>The SOnO rules for require the calculation of the max rate of fall over the last 24 hours.</w:t>
      </w:r>
      <w:r w:rsidR="00D93153">
        <w:rPr>
          <w:kern w:val="22"/>
        </w:rPr>
        <w:t xml:space="preserve"> </w:t>
      </w:r>
      <w:r w:rsidR="00D93153">
        <w:rPr>
          <w:kern w:val="22"/>
        </w:rPr>
        <w:t>These compilated rules are calculated in several modules part of the workflow Prepare_Thresholds</w:t>
      </w:r>
      <w:r w:rsidR="00D93153" w:rsidRPr="0047141E">
        <w:rPr>
          <w:kern w:val="22"/>
        </w:rPr>
        <w:t xml:space="preserve"> </w:t>
      </w:r>
    </w:p>
    <w:p w:rsidR="00D93153" w:rsidRDefault="00D93153" w:rsidP="00D93153">
      <w:pPr>
        <w:pStyle w:val="ListParagraph"/>
        <w:numPr>
          <w:ilvl w:val="0"/>
          <w:numId w:val="24"/>
        </w:numPr>
        <w:rPr>
          <w:kern w:val="22"/>
        </w:rPr>
      </w:pPr>
      <w:r w:rsidRPr="00D93153">
        <w:rPr>
          <w:kern w:val="22"/>
        </w:rPr>
        <w:t xml:space="preserve">PreprocessThresholdsMDBC_OPS: </w:t>
      </w:r>
      <w:r>
        <w:rPr>
          <w:kern w:val="22"/>
        </w:rPr>
        <w:t xml:space="preserve">calculate maximum rate of fall over the last 24 hours </w:t>
      </w:r>
    </w:p>
    <w:p w:rsidR="00D93153" w:rsidRDefault="00D93153" w:rsidP="00D93153">
      <w:pPr>
        <w:pStyle w:val="ListParagraph"/>
        <w:numPr>
          <w:ilvl w:val="0"/>
          <w:numId w:val="24"/>
        </w:numPr>
        <w:rPr>
          <w:kern w:val="22"/>
        </w:rPr>
      </w:pPr>
      <w:r w:rsidRPr="00D93153">
        <w:rPr>
          <w:kern w:val="22"/>
        </w:rPr>
        <w:t>AssessThresholdsMDBC_OPS_specials_SO</w:t>
      </w:r>
      <w:r>
        <w:rPr>
          <w:kern w:val="22"/>
        </w:rPr>
        <w:t>: determine different elements of the rule</w:t>
      </w:r>
    </w:p>
    <w:p w:rsidR="00D93153" w:rsidRDefault="00D93153" w:rsidP="00D93153">
      <w:pPr>
        <w:pStyle w:val="ListParagraph"/>
        <w:numPr>
          <w:ilvl w:val="0"/>
          <w:numId w:val="24"/>
        </w:numPr>
        <w:rPr>
          <w:rStyle w:val="st"/>
          <w:kern w:val="22"/>
        </w:rPr>
      </w:pPr>
      <w:r w:rsidRPr="00D93153">
        <w:rPr>
          <w:rStyle w:val="st"/>
          <w:kern w:val="22"/>
        </w:rPr>
        <w:t>AssessThresholdsMDBC_OPS_SO</w:t>
      </w:r>
      <w:r>
        <w:rPr>
          <w:rStyle w:val="st"/>
          <w:kern w:val="22"/>
        </w:rPr>
        <w:t>: combine everything to determine if there is a crossing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00"/>
        <w:gridCol w:w="5477"/>
      </w:tblGrid>
      <w:tr w:rsidR="0047141E" w:rsidTr="0047141E">
        <w:tc>
          <w:tcPr>
            <w:tcW w:w="1339" w:type="dxa"/>
            <w:vMerge w:val="restart"/>
            <w:vAlign w:val="center"/>
          </w:tcPr>
          <w:p w:rsidR="0047141E" w:rsidRDefault="0047141E" w:rsidP="0047141E">
            <w:pPr>
              <w:rPr>
                <w:kern w:val="22"/>
              </w:rPr>
            </w:pPr>
            <w:r>
              <w:rPr>
                <w:kern w:val="22"/>
              </w:rPr>
              <w:t>Heywoods</w:t>
            </w:r>
          </w:p>
        </w:tc>
        <w:tc>
          <w:tcPr>
            <w:tcW w:w="2200" w:type="dxa"/>
            <w:vMerge w:val="restart"/>
            <w:vAlign w:val="center"/>
          </w:tcPr>
          <w:p w:rsidR="0047141E" w:rsidRDefault="0047141E" w:rsidP="0047141E">
            <w:pPr>
              <w:rPr>
                <w:kern w:val="22"/>
              </w:rPr>
            </w:pPr>
            <w:r>
              <w:rPr>
                <w:kern w:val="22"/>
              </w:rPr>
              <w:t>Q (at 409017) &lt; 25,000 ML/day</w:t>
            </w:r>
          </w:p>
        </w:tc>
        <w:tc>
          <w:tcPr>
            <w:tcW w:w="5477" w:type="dxa"/>
          </w:tcPr>
          <w:p w:rsidR="0047141E" w:rsidRPr="0047141E" w:rsidRDefault="0047141E" w:rsidP="0047141E">
            <w:pPr>
              <w:rPr>
                <w:kern w:val="22"/>
              </w:rPr>
            </w:pPr>
            <w:r w:rsidRPr="0047141E">
              <w:rPr>
                <w:kern w:val="22"/>
              </w:rPr>
              <w:t>ΔH (rate of fall) &gt; 0.225 m</w:t>
            </w:r>
          </w:p>
        </w:tc>
      </w:tr>
      <w:tr w:rsidR="0047141E" w:rsidTr="0047141E">
        <w:tc>
          <w:tcPr>
            <w:tcW w:w="1339" w:type="dxa"/>
            <w:vMerge/>
            <w:vAlign w:val="center"/>
          </w:tcPr>
          <w:p w:rsidR="0047141E" w:rsidRDefault="0047141E" w:rsidP="0047141E">
            <w:pPr>
              <w:rPr>
                <w:kern w:val="22"/>
              </w:rPr>
            </w:pPr>
          </w:p>
        </w:tc>
        <w:tc>
          <w:tcPr>
            <w:tcW w:w="2200" w:type="dxa"/>
            <w:vMerge/>
            <w:vAlign w:val="center"/>
          </w:tcPr>
          <w:p w:rsidR="0047141E" w:rsidRDefault="0047141E" w:rsidP="0047141E">
            <w:pPr>
              <w:rPr>
                <w:kern w:val="22"/>
              </w:rPr>
            </w:pPr>
          </w:p>
        </w:tc>
        <w:tc>
          <w:tcPr>
            <w:tcW w:w="5477" w:type="dxa"/>
          </w:tcPr>
          <w:p w:rsidR="0047141E" w:rsidRPr="0047141E" w:rsidRDefault="0047141E" w:rsidP="0047141E">
            <w:pPr>
              <w:rPr>
                <w:kern w:val="22"/>
              </w:rPr>
            </w:pPr>
            <w:r w:rsidRPr="0047141E">
              <w:rPr>
                <w:kern w:val="22"/>
              </w:rPr>
              <w:t>ΔH (rate of fall) (6 day rolling average) &gt; 0.249m</w:t>
            </w:r>
          </w:p>
        </w:tc>
      </w:tr>
      <w:tr w:rsidR="0047141E" w:rsidTr="0047141E">
        <w:tc>
          <w:tcPr>
            <w:tcW w:w="1339" w:type="dxa"/>
            <w:vMerge w:val="restart"/>
            <w:vAlign w:val="center"/>
          </w:tcPr>
          <w:p w:rsidR="0047141E" w:rsidRDefault="0047141E" w:rsidP="0047141E">
            <w:pPr>
              <w:rPr>
                <w:kern w:val="22"/>
              </w:rPr>
            </w:pPr>
            <w:r>
              <w:rPr>
                <w:kern w:val="22"/>
              </w:rPr>
              <w:t>Doctor’s Point</w:t>
            </w:r>
          </w:p>
        </w:tc>
        <w:tc>
          <w:tcPr>
            <w:tcW w:w="2200" w:type="dxa"/>
            <w:vMerge w:val="restart"/>
            <w:vAlign w:val="center"/>
          </w:tcPr>
          <w:p w:rsidR="0047141E" w:rsidRDefault="0047141E" w:rsidP="0047141E">
            <w:pPr>
              <w:rPr>
                <w:kern w:val="22"/>
              </w:rPr>
            </w:pPr>
            <w:r w:rsidRPr="0047141E">
              <w:rPr>
                <w:kern w:val="22"/>
              </w:rPr>
              <w:t>Q &lt; 25,000 ML/day</w:t>
            </w:r>
          </w:p>
        </w:tc>
        <w:tc>
          <w:tcPr>
            <w:tcW w:w="5477" w:type="dxa"/>
          </w:tcPr>
          <w:p w:rsidR="0047141E" w:rsidRDefault="0047141E" w:rsidP="0047141E">
            <w:pPr>
              <w:rPr>
                <w:kern w:val="22"/>
              </w:rPr>
            </w:pPr>
            <w:r w:rsidRPr="0047141E">
              <w:rPr>
                <w:kern w:val="22"/>
              </w:rPr>
              <w:t>ΔH (rate of fall) &gt; 0.225 m</w:t>
            </w:r>
          </w:p>
        </w:tc>
      </w:tr>
      <w:tr w:rsidR="0047141E" w:rsidTr="0047141E">
        <w:tc>
          <w:tcPr>
            <w:tcW w:w="1339" w:type="dxa"/>
            <w:vMerge/>
          </w:tcPr>
          <w:p w:rsidR="0047141E" w:rsidRDefault="0047141E" w:rsidP="0047141E">
            <w:pPr>
              <w:rPr>
                <w:kern w:val="22"/>
              </w:rPr>
            </w:pPr>
          </w:p>
        </w:tc>
        <w:tc>
          <w:tcPr>
            <w:tcW w:w="2200" w:type="dxa"/>
            <w:vMerge/>
          </w:tcPr>
          <w:p w:rsidR="0047141E" w:rsidRDefault="0047141E" w:rsidP="0047141E">
            <w:pPr>
              <w:rPr>
                <w:kern w:val="22"/>
              </w:rPr>
            </w:pPr>
          </w:p>
        </w:tc>
        <w:tc>
          <w:tcPr>
            <w:tcW w:w="5477" w:type="dxa"/>
          </w:tcPr>
          <w:p w:rsidR="0047141E" w:rsidRDefault="0047141E" w:rsidP="0047141E">
            <w:pPr>
              <w:rPr>
                <w:kern w:val="22"/>
              </w:rPr>
            </w:pPr>
            <w:r w:rsidRPr="0047141E">
              <w:rPr>
                <w:kern w:val="22"/>
              </w:rPr>
              <w:t>ΔH (rate of fall) (6 day rolling average) &gt; 0.154 m</w:t>
            </w:r>
          </w:p>
        </w:tc>
      </w:tr>
    </w:tbl>
    <w:p w:rsidR="00D93153" w:rsidRDefault="00D93153" w:rsidP="00D93153">
      <w:pPr>
        <w:rPr>
          <w:rStyle w:val="st"/>
          <w:kern w:val="22"/>
        </w:rPr>
      </w:pPr>
      <w:r w:rsidRPr="00D93153">
        <w:rPr>
          <w:rStyle w:val="st"/>
          <w:kern w:val="22"/>
          <w:sz w:val="6"/>
          <w:szCs w:val="6"/>
        </w:rPr>
        <w:br/>
      </w:r>
      <w:r>
        <w:rPr>
          <w:rStyle w:val="st"/>
          <w:kern w:val="22"/>
        </w:rPr>
        <w:t xml:space="preserve">View the end results and some of the intermediate steps can be viewed in the </w:t>
      </w:r>
      <w:r>
        <w:rPr>
          <w:rStyle w:val="st"/>
          <w:kern w:val="22"/>
        </w:rPr>
        <w:br/>
        <w:t>Data Viewer &gt; River Operations &gt; SOnO Thresholds &gt; max dH over 24 h</w:t>
      </w:r>
    </w:p>
    <w:p w:rsidR="00D93153" w:rsidRDefault="00D93153" w:rsidP="00D93153">
      <w:pPr>
        <w:rPr>
          <w:rStyle w:val="st"/>
          <w:kern w:val="22"/>
        </w:rPr>
      </w:pPr>
      <w:r w:rsidRPr="00D93153">
        <w:rPr>
          <w:rStyle w:val="st"/>
          <w:kern w:val="22"/>
        </w:rPr>
        <w:drawing>
          <wp:inline distT="0" distB="0" distL="0" distR="0" wp14:anchorId="5C31302A" wp14:editId="172BBBBA">
            <wp:extent cx="5730782" cy="315883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729" b="10522"/>
                    <a:stretch/>
                  </pic:blipFill>
                  <pic:spPr bwMode="auto">
                    <a:xfrm>
                      <a:off x="0" y="0"/>
                      <a:ext cx="5731510" cy="315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153" w:rsidRPr="00D93153" w:rsidRDefault="00D93153" w:rsidP="00D93153">
      <w:pPr>
        <w:rPr>
          <w:rStyle w:val="st"/>
          <w:kern w:val="22"/>
        </w:rPr>
      </w:pPr>
      <w:bookmarkStart w:id="0" w:name="_GoBack"/>
      <w:bookmarkEnd w:id="0"/>
      <w:r w:rsidRPr="00D93153">
        <w:rPr>
          <w:rStyle w:val="st"/>
          <w:kern w:val="22"/>
        </w:rPr>
        <w:drawing>
          <wp:inline distT="0" distB="0" distL="0" distR="0" wp14:anchorId="25F8CC1B" wp14:editId="5854FF16">
            <wp:extent cx="5731139" cy="23691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29" b="9351"/>
                    <a:stretch/>
                  </pic:blipFill>
                  <pic:spPr bwMode="auto">
                    <a:xfrm>
                      <a:off x="0" y="0"/>
                      <a:ext cx="5731510" cy="23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153" w:rsidRPr="00D93153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11" w:rsidRDefault="009D3A11" w:rsidP="00DE7685">
      <w:pPr>
        <w:spacing w:after="0" w:line="240" w:lineRule="auto"/>
      </w:pPr>
      <w:r>
        <w:separator/>
      </w:r>
    </w:p>
  </w:endnote>
  <w:endnote w:type="continuationSeparator" w:id="0">
    <w:p w:rsidR="009D3A11" w:rsidRDefault="009D3A11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11" w:rsidRDefault="009D3A11" w:rsidP="00DE7685">
      <w:pPr>
        <w:spacing w:after="0" w:line="240" w:lineRule="auto"/>
      </w:pPr>
      <w:r>
        <w:separator/>
      </w:r>
    </w:p>
  </w:footnote>
  <w:footnote w:type="continuationSeparator" w:id="0">
    <w:p w:rsidR="009D3A11" w:rsidRDefault="009D3A11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26724F3"/>
    <w:multiLevelType w:val="hybridMultilevel"/>
    <w:tmpl w:val="41723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6" w15:restartNumberingAfterBreak="0">
    <w:nsid w:val="235700DC"/>
    <w:multiLevelType w:val="hybridMultilevel"/>
    <w:tmpl w:val="41723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6E1A2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1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2E4C"/>
    <w:multiLevelType w:val="hybridMultilevel"/>
    <w:tmpl w:val="928A4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950C3"/>
    <w:multiLevelType w:val="hybridMultilevel"/>
    <w:tmpl w:val="1EC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1"/>
  </w:num>
  <w:num w:numId="5">
    <w:abstractNumId w:val="5"/>
  </w:num>
  <w:num w:numId="6">
    <w:abstractNumId w:val="2"/>
  </w:num>
  <w:num w:numId="7">
    <w:abstractNumId w:val="18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15"/>
  </w:num>
  <w:num w:numId="13">
    <w:abstractNumId w:val="13"/>
  </w:num>
  <w:num w:numId="14">
    <w:abstractNumId w:val="1"/>
  </w:num>
  <w:num w:numId="15">
    <w:abstractNumId w:val="19"/>
  </w:num>
  <w:num w:numId="16">
    <w:abstractNumId w:val="22"/>
  </w:num>
  <w:num w:numId="17">
    <w:abstractNumId w:val="17"/>
  </w:num>
  <w:num w:numId="18">
    <w:abstractNumId w:val="14"/>
  </w:num>
  <w:num w:numId="19">
    <w:abstractNumId w:val="10"/>
  </w:num>
  <w:num w:numId="20">
    <w:abstractNumId w:val="21"/>
  </w:num>
  <w:num w:numId="21">
    <w:abstractNumId w:val="6"/>
  </w:num>
  <w:num w:numId="22">
    <w:abstractNumId w:val="8"/>
  </w:num>
  <w:num w:numId="23">
    <w:abstractNumId w:val="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45C18"/>
    <w:rsid w:val="00086A4D"/>
    <w:rsid w:val="000904D0"/>
    <w:rsid w:val="000B7D35"/>
    <w:rsid w:val="000D0D0B"/>
    <w:rsid w:val="000E16AB"/>
    <w:rsid w:val="000E1B57"/>
    <w:rsid w:val="000E2F04"/>
    <w:rsid w:val="000E45F5"/>
    <w:rsid w:val="00103E6D"/>
    <w:rsid w:val="0011473F"/>
    <w:rsid w:val="0013312E"/>
    <w:rsid w:val="001438DE"/>
    <w:rsid w:val="00161B6A"/>
    <w:rsid w:val="001C1D64"/>
    <w:rsid w:val="001E63A2"/>
    <w:rsid w:val="00205A5E"/>
    <w:rsid w:val="0021223A"/>
    <w:rsid w:val="00225168"/>
    <w:rsid w:val="0023009A"/>
    <w:rsid w:val="00275A2A"/>
    <w:rsid w:val="002A5A16"/>
    <w:rsid w:val="002C54C6"/>
    <w:rsid w:val="002D03B4"/>
    <w:rsid w:val="002E5966"/>
    <w:rsid w:val="002F1AD5"/>
    <w:rsid w:val="002F1DD8"/>
    <w:rsid w:val="00334EB3"/>
    <w:rsid w:val="00346A45"/>
    <w:rsid w:val="00350134"/>
    <w:rsid w:val="00380E22"/>
    <w:rsid w:val="00387E03"/>
    <w:rsid w:val="00392A01"/>
    <w:rsid w:val="003B1328"/>
    <w:rsid w:val="003B15E4"/>
    <w:rsid w:val="003B3DF1"/>
    <w:rsid w:val="003D2BFD"/>
    <w:rsid w:val="003D2E69"/>
    <w:rsid w:val="003F5F2D"/>
    <w:rsid w:val="00400316"/>
    <w:rsid w:val="004224D8"/>
    <w:rsid w:val="004345BF"/>
    <w:rsid w:val="0047141E"/>
    <w:rsid w:val="00482FF5"/>
    <w:rsid w:val="004B0C42"/>
    <w:rsid w:val="004B1F89"/>
    <w:rsid w:val="00503D57"/>
    <w:rsid w:val="0052758E"/>
    <w:rsid w:val="00560AC4"/>
    <w:rsid w:val="00583BA7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B3216"/>
    <w:rsid w:val="007D07D6"/>
    <w:rsid w:val="007D783C"/>
    <w:rsid w:val="007E2706"/>
    <w:rsid w:val="007F5F05"/>
    <w:rsid w:val="008365AB"/>
    <w:rsid w:val="00840715"/>
    <w:rsid w:val="00852CE9"/>
    <w:rsid w:val="008766B9"/>
    <w:rsid w:val="00881BC6"/>
    <w:rsid w:val="00886859"/>
    <w:rsid w:val="008A137B"/>
    <w:rsid w:val="008D1D38"/>
    <w:rsid w:val="008E4111"/>
    <w:rsid w:val="00913A60"/>
    <w:rsid w:val="009500A7"/>
    <w:rsid w:val="00974A61"/>
    <w:rsid w:val="00991267"/>
    <w:rsid w:val="009A0135"/>
    <w:rsid w:val="009A2B66"/>
    <w:rsid w:val="009B5E0D"/>
    <w:rsid w:val="009C1E94"/>
    <w:rsid w:val="009D3A11"/>
    <w:rsid w:val="009E6684"/>
    <w:rsid w:val="00A17FA1"/>
    <w:rsid w:val="00A20DF6"/>
    <w:rsid w:val="00A30D81"/>
    <w:rsid w:val="00AA3676"/>
    <w:rsid w:val="00AF38CA"/>
    <w:rsid w:val="00AF6A8A"/>
    <w:rsid w:val="00B00D8F"/>
    <w:rsid w:val="00B04D6F"/>
    <w:rsid w:val="00B52154"/>
    <w:rsid w:val="00B52578"/>
    <w:rsid w:val="00B7273E"/>
    <w:rsid w:val="00B744C5"/>
    <w:rsid w:val="00B8188C"/>
    <w:rsid w:val="00BC7FE0"/>
    <w:rsid w:val="00BE1354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D0565F"/>
    <w:rsid w:val="00D11B60"/>
    <w:rsid w:val="00D2298C"/>
    <w:rsid w:val="00D52D82"/>
    <w:rsid w:val="00D60D7E"/>
    <w:rsid w:val="00D765B9"/>
    <w:rsid w:val="00D93153"/>
    <w:rsid w:val="00DE2725"/>
    <w:rsid w:val="00DE7685"/>
    <w:rsid w:val="00E22E13"/>
    <w:rsid w:val="00E93147"/>
    <w:rsid w:val="00ED4C7F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367BF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2020-03-26T03:32:00Z</cp:lastPrinted>
  <dcterms:created xsi:type="dcterms:W3CDTF">2020-03-26T06:08:00Z</dcterms:created>
  <dcterms:modified xsi:type="dcterms:W3CDTF">2020-03-26T06:27:00Z</dcterms:modified>
</cp:coreProperties>
</file>