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49"/>
        <w:gridCol w:w="7291"/>
      </w:tblGrid>
      <w:tr w:rsidR="00F77329" w:rsidTr="00F77329">
        <w:tc>
          <w:tcPr>
            <w:tcW w:w="1349" w:type="dxa"/>
          </w:tcPr>
          <w:p w:rsidR="00F77329" w:rsidRDefault="00F77329">
            <w:r>
              <w:t>How to</w:t>
            </w:r>
          </w:p>
        </w:tc>
        <w:tc>
          <w:tcPr>
            <w:tcW w:w="7291" w:type="dxa"/>
          </w:tcPr>
          <w:p w:rsidR="00F77329" w:rsidRDefault="00E925EA" w:rsidP="003B4B93">
            <w:r w:rsidRPr="00E925EA">
              <w:rPr>
                <w:lang w:val="en-US"/>
              </w:rPr>
              <w:drawing>
                <wp:anchor distT="0" distB="0" distL="114300" distR="114300" simplePos="0" relativeHeight="251660288" behindDoc="1" locked="0" layoutInCell="1" allowOverlap="1" wp14:anchorId="7D19A697" wp14:editId="5C18ED7C">
                  <wp:simplePos x="0" y="0"/>
                  <wp:positionH relativeFrom="column">
                    <wp:posOffset>3314065</wp:posOffset>
                  </wp:positionH>
                  <wp:positionV relativeFrom="paragraph">
                    <wp:posOffset>-824865</wp:posOffset>
                  </wp:positionV>
                  <wp:extent cx="2285365" cy="1323340"/>
                  <wp:effectExtent l="0" t="0" r="0" b="0"/>
                  <wp:wrapNone/>
                  <wp:docPr id="4" name="Picture 4" descr="D:\projecten\1210326 MDBA ROWS (local, See N)\C. Report - advise\Workshops\2015-02 workshop 3 UAT, end user training\Screenshots\DELTARES_ENABLING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en\1210326 MDBA ROWS (local, See N)\C. Report - advise\Workshops\2015-02 workshop 3 UAT, end user training\Screenshots\DELTARES_ENABLING_RG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5365" cy="1323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25EA">
              <w:rPr>
                <w:lang w:val="en-US"/>
              </w:rPr>
              <w:drawing>
                <wp:anchor distT="0" distB="0" distL="114300" distR="114300" simplePos="0" relativeHeight="251659264" behindDoc="1" locked="0" layoutInCell="1" allowOverlap="1" wp14:anchorId="078EB90F" wp14:editId="095E36EA">
                  <wp:simplePos x="0" y="0"/>
                  <wp:positionH relativeFrom="column">
                    <wp:posOffset>4451350</wp:posOffset>
                  </wp:positionH>
                  <wp:positionV relativeFrom="paragraph">
                    <wp:posOffset>489585</wp:posOffset>
                  </wp:positionV>
                  <wp:extent cx="1152525" cy="781050"/>
                  <wp:effectExtent l="0" t="0" r="9525" b="0"/>
                  <wp:wrapNone/>
                  <wp:docPr id="153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9"/>
                          <pic:cNvPicPr>
                            <a:picLocks noChangeAspect="1" noChangeArrowheads="1"/>
                          </pic:cNvPicPr>
                        </pic:nvPicPr>
                        <pic:blipFill rotWithShape="1">
                          <a:blip r:embed="rId7">
                            <a:extLst>
                              <a:ext uri="{28A0092B-C50C-407E-A947-70E740481C1C}">
                                <a14:useLocalDpi xmlns:a14="http://schemas.microsoft.com/office/drawing/2010/main" val="0"/>
                              </a:ext>
                            </a:extLst>
                          </a:blip>
                          <a:srcRect l="6049" t="12384" r="12613" b="13548"/>
                          <a:stretch/>
                        </pic:blipFill>
                        <pic:spPr bwMode="auto">
                          <a:xfrm>
                            <a:off x="0" y="0"/>
                            <a:ext cx="1152525" cy="781050"/>
                          </a:xfrm>
                          <a:prstGeom prst="rect">
                            <a:avLst/>
                          </a:prstGeom>
                          <a:solidFill>
                            <a:srgbClr val="FFFF99"/>
                          </a:solid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6685">
              <w:t xml:space="preserve">Quality control – Flags as result of </w:t>
            </w:r>
            <w:r w:rsidR="0035231D">
              <w:t xml:space="preserve">Automatic </w:t>
            </w:r>
            <w:r w:rsidR="003B4B93">
              <w:t>Validation Rules</w:t>
            </w:r>
          </w:p>
        </w:tc>
      </w:tr>
      <w:tr w:rsidR="00F77329" w:rsidTr="00F77329">
        <w:tc>
          <w:tcPr>
            <w:tcW w:w="1349" w:type="dxa"/>
          </w:tcPr>
          <w:p w:rsidR="00F77329" w:rsidRDefault="00F77329">
            <w:r>
              <w:t>Description</w:t>
            </w:r>
          </w:p>
        </w:tc>
        <w:tc>
          <w:tcPr>
            <w:tcW w:w="7291" w:type="dxa"/>
          </w:tcPr>
          <w:p w:rsidR="00F77329" w:rsidRDefault="00F77329">
            <w:r>
              <w:t>Step by step description of how to perform a specific task in ROWS.</w:t>
            </w:r>
          </w:p>
        </w:tc>
      </w:tr>
      <w:tr w:rsidR="00F77329" w:rsidTr="00F77329">
        <w:tc>
          <w:tcPr>
            <w:tcW w:w="1349" w:type="dxa"/>
          </w:tcPr>
          <w:p w:rsidR="00F77329" w:rsidRDefault="00F77329">
            <w:r>
              <w:t>Comments</w:t>
            </w:r>
          </w:p>
        </w:tc>
        <w:tc>
          <w:tcPr>
            <w:tcW w:w="7291" w:type="dxa"/>
          </w:tcPr>
          <w:p w:rsidR="00D52D82" w:rsidRDefault="00D52D82" w:rsidP="00F77329">
            <w:r>
              <w:t xml:space="preserve">The </w:t>
            </w:r>
            <w:r>
              <w:rPr>
                <w:i/>
              </w:rPr>
              <w:t>italic</w:t>
            </w:r>
            <w:r>
              <w:t xml:space="preserve"> phrases correspond to the red markings in the screenshots.</w:t>
            </w:r>
          </w:p>
          <w:p w:rsidR="00F77329" w:rsidRDefault="00F77329" w:rsidP="00F77329">
            <w:r>
              <w:t>Please be aware that the screenshots may deviate slightly from the application</w:t>
            </w:r>
          </w:p>
        </w:tc>
      </w:tr>
      <w:tr w:rsidR="00F77329" w:rsidTr="00F77329">
        <w:tc>
          <w:tcPr>
            <w:tcW w:w="1349" w:type="dxa"/>
          </w:tcPr>
          <w:p w:rsidR="00F77329" w:rsidRDefault="00F77329">
            <w:r>
              <w:t>version</w:t>
            </w:r>
          </w:p>
        </w:tc>
        <w:tc>
          <w:tcPr>
            <w:tcW w:w="7291" w:type="dxa"/>
          </w:tcPr>
          <w:p w:rsidR="00F77329" w:rsidRDefault="00F77329">
            <w:r>
              <w:t>2015-02</w:t>
            </w:r>
          </w:p>
        </w:tc>
      </w:tr>
    </w:tbl>
    <w:p w:rsidR="00F76685" w:rsidRDefault="00D2298C" w:rsidP="00F76685">
      <w:pPr>
        <w:rPr>
          <w:lang w:val="en-US"/>
        </w:rPr>
      </w:pPr>
      <w:r>
        <w:br/>
      </w:r>
      <w:r w:rsidR="00F76685">
        <w:rPr>
          <w:lang w:val="en-US"/>
        </w:rPr>
        <w:t>Data that is flagged as unreliable or doubtful can be shown in the graph and in the table. Additional to the data flag colors, there are also data flag sources that can be shown in the Plots Table View. The Delft-FEWS software has an internal list of system data flag sources; additional it is also possible to add user defined data flag sources. The following system data flag sources are currently in use:</w:t>
      </w:r>
    </w:p>
    <w:p w:rsidR="00F76685" w:rsidRDefault="00F76685" w:rsidP="00F76685">
      <w:pPr>
        <w:numPr>
          <w:ilvl w:val="0"/>
          <w:numId w:val="4"/>
        </w:numPr>
        <w:spacing w:after="0" w:line="255" w:lineRule="atLeast"/>
        <w:jc w:val="both"/>
        <w:rPr>
          <w:lang w:val="en-US"/>
        </w:rPr>
      </w:pPr>
      <w:r>
        <w:rPr>
          <w:lang w:val="en-US"/>
        </w:rPr>
        <w:t>IMP</w:t>
      </w:r>
      <w:r>
        <w:rPr>
          <w:lang w:val="en-US"/>
        </w:rPr>
        <w:tab/>
        <w:t>Data flags imported from data files, flagged by Delft-FEWS import module</w:t>
      </w:r>
    </w:p>
    <w:p w:rsidR="00F76685" w:rsidRDefault="00F76685" w:rsidP="00F76685">
      <w:pPr>
        <w:numPr>
          <w:ilvl w:val="0"/>
          <w:numId w:val="4"/>
        </w:numPr>
        <w:spacing w:after="0" w:line="255" w:lineRule="atLeast"/>
        <w:jc w:val="both"/>
        <w:rPr>
          <w:lang w:val="en-US"/>
        </w:rPr>
      </w:pPr>
      <w:r>
        <w:rPr>
          <w:lang w:val="en-US"/>
        </w:rPr>
        <w:t>MAN</w:t>
      </w:r>
      <w:r>
        <w:rPr>
          <w:lang w:val="en-US"/>
        </w:rPr>
        <w:tab/>
        <w:t>Manually flagged data, flagged by Delft-FEWS Plots display</w:t>
      </w:r>
    </w:p>
    <w:p w:rsidR="00F76685" w:rsidRDefault="00F76685" w:rsidP="00F76685">
      <w:pPr>
        <w:numPr>
          <w:ilvl w:val="0"/>
          <w:numId w:val="4"/>
        </w:numPr>
        <w:spacing w:after="0" w:line="255" w:lineRule="atLeast"/>
        <w:jc w:val="both"/>
        <w:rPr>
          <w:lang w:val="en-US"/>
        </w:rPr>
      </w:pPr>
      <w:r>
        <w:rPr>
          <w:lang w:val="en-US"/>
        </w:rPr>
        <w:t>MOD</w:t>
      </w:r>
      <w:r>
        <w:rPr>
          <w:lang w:val="en-US"/>
        </w:rPr>
        <w:tab/>
        <w:t>Data flagged through modifiers</w:t>
      </w:r>
    </w:p>
    <w:p w:rsidR="00F76685" w:rsidRDefault="00F76685" w:rsidP="00F76685">
      <w:pPr>
        <w:numPr>
          <w:ilvl w:val="0"/>
          <w:numId w:val="4"/>
        </w:numPr>
        <w:spacing w:after="0" w:line="255" w:lineRule="atLeast"/>
        <w:jc w:val="both"/>
        <w:rPr>
          <w:lang w:val="en-US"/>
        </w:rPr>
      </w:pPr>
      <w:r>
        <w:rPr>
          <w:lang w:val="en-US"/>
        </w:rPr>
        <w:t>HN</w:t>
      </w:r>
      <w:r>
        <w:rPr>
          <w:lang w:val="en-US"/>
        </w:rPr>
        <w:tab/>
        <w:t>Minimum hard limit, flagged by Delft-FEWS primary validation module</w:t>
      </w:r>
    </w:p>
    <w:p w:rsidR="00F76685" w:rsidRDefault="00F76685" w:rsidP="00F76685">
      <w:pPr>
        <w:numPr>
          <w:ilvl w:val="0"/>
          <w:numId w:val="4"/>
        </w:numPr>
        <w:spacing w:after="0" w:line="255" w:lineRule="atLeast"/>
        <w:jc w:val="both"/>
        <w:rPr>
          <w:lang w:val="en-US"/>
        </w:rPr>
      </w:pPr>
      <w:r>
        <w:rPr>
          <w:lang w:val="en-US"/>
        </w:rPr>
        <w:t>HX</w:t>
      </w:r>
      <w:r>
        <w:rPr>
          <w:lang w:val="en-US"/>
        </w:rPr>
        <w:tab/>
        <w:t>Maximum hard limit, flagged by Delft-FEWS primary validation module</w:t>
      </w:r>
    </w:p>
    <w:p w:rsidR="00F76685" w:rsidRDefault="00F76685" w:rsidP="00F76685">
      <w:pPr>
        <w:numPr>
          <w:ilvl w:val="0"/>
          <w:numId w:val="4"/>
        </w:numPr>
        <w:spacing w:after="0" w:line="255" w:lineRule="atLeast"/>
        <w:jc w:val="both"/>
        <w:rPr>
          <w:lang w:val="en-US"/>
        </w:rPr>
      </w:pPr>
      <w:r>
        <w:rPr>
          <w:lang w:val="en-US"/>
        </w:rPr>
        <w:t>SN</w:t>
      </w:r>
      <w:r>
        <w:rPr>
          <w:lang w:val="en-US"/>
        </w:rPr>
        <w:tab/>
        <w:t>Minimum soft limit, set by Delft-FEWS primary validation module</w:t>
      </w:r>
    </w:p>
    <w:p w:rsidR="00F76685" w:rsidRDefault="00F76685" w:rsidP="00F76685">
      <w:pPr>
        <w:numPr>
          <w:ilvl w:val="0"/>
          <w:numId w:val="4"/>
        </w:numPr>
        <w:spacing w:after="0" w:line="255" w:lineRule="atLeast"/>
        <w:jc w:val="both"/>
        <w:rPr>
          <w:lang w:val="en-US"/>
        </w:rPr>
      </w:pPr>
      <w:r>
        <w:rPr>
          <w:lang w:val="en-US"/>
        </w:rPr>
        <w:t>SX</w:t>
      </w:r>
      <w:r>
        <w:rPr>
          <w:lang w:val="en-US"/>
        </w:rPr>
        <w:tab/>
        <w:t>Maximum soft limit, flagged by Delft-FEWS primary validation module</w:t>
      </w:r>
    </w:p>
    <w:p w:rsidR="00F76685" w:rsidRDefault="00F76685" w:rsidP="00F76685">
      <w:pPr>
        <w:numPr>
          <w:ilvl w:val="0"/>
          <w:numId w:val="4"/>
        </w:numPr>
        <w:spacing w:after="0" w:line="255" w:lineRule="atLeast"/>
        <w:jc w:val="both"/>
        <w:rPr>
          <w:lang w:val="en-US"/>
        </w:rPr>
      </w:pPr>
      <w:r>
        <w:rPr>
          <w:lang w:val="en-US"/>
        </w:rPr>
        <w:t>ROF</w:t>
      </w:r>
      <w:r>
        <w:rPr>
          <w:lang w:val="en-US"/>
        </w:rPr>
        <w:tab/>
        <w:t>Rate of fall, flagged by Delft-FEWS primary validation module</w:t>
      </w:r>
    </w:p>
    <w:p w:rsidR="00F76685" w:rsidRDefault="00F76685" w:rsidP="00F76685">
      <w:pPr>
        <w:numPr>
          <w:ilvl w:val="0"/>
          <w:numId w:val="4"/>
        </w:numPr>
        <w:spacing w:after="0" w:line="255" w:lineRule="atLeast"/>
        <w:jc w:val="both"/>
        <w:rPr>
          <w:lang w:val="en-US"/>
        </w:rPr>
      </w:pPr>
      <w:r>
        <w:rPr>
          <w:lang w:val="en-US"/>
        </w:rPr>
        <w:t>ROR</w:t>
      </w:r>
      <w:r>
        <w:rPr>
          <w:lang w:val="en-US"/>
        </w:rPr>
        <w:tab/>
        <w:t>Rate of rise, flagged by Delft-FEWS primary validation module</w:t>
      </w:r>
    </w:p>
    <w:p w:rsidR="00F76685" w:rsidRDefault="00F76685" w:rsidP="00F76685">
      <w:pPr>
        <w:numPr>
          <w:ilvl w:val="0"/>
          <w:numId w:val="4"/>
        </w:numPr>
        <w:spacing w:after="0" w:line="255" w:lineRule="atLeast"/>
        <w:jc w:val="both"/>
        <w:rPr>
          <w:lang w:val="en-US"/>
        </w:rPr>
      </w:pPr>
      <w:r>
        <w:rPr>
          <w:lang w:val="en-US"/>
        </w:rPr>
        <w:t>SR</w:t>
      </w:r>
      <w:r>
        <w:rPr>
          <w:lang w:val="en-US"/>
        </w:rPr>
        <w:tab/>
        <w:t>Same reading, flagged by Delft-FEWS primary validation module</w:t>
      </w:r>
    </w:p>
    <w:p w:rsidR="00F76685" w:rsidRDefault="00F76685" w:rsidP="00F76685">
      <w:pPr>
        <w:numPr>
          <w:ilvl w:val="0"/>
          <w:numId w:val="4"/>
        </w:numPr>
        <w:spacing w:after="0" w:line="255" w:lineRule="atLeast"/>
        <w:jc w:val="both"/>
        <w:rPr>
          <w:lang w:val="en-US"/>
        </w:rPr>
      </w:pPr>
      <w:r>
        <w:rPr>
          <w:lang w:val="en-US"/>
        </w:rPr>
        <w:t>TS</w:t>
      </w:r>
      <w:r>
        <w:rPr>
          <w:lang w:val="en-US"/>
        </w:rPr>
        <w:tab/>
        <w:t>Temporary shift, flagged by Delft-FEWS primary validation module</w:t>
      </w:r>
    </w:p>
    <w:p w:rsidR="00F76685" w:rsidRDefault="00F76685" w:rsidP="00F76685">
      <w:pPr>
        <w:numPr>
          <w:ilvl w:val="0"/>
          <w:numId w:val="4"/>
        </w:numPr>
        <w:spacing w:after="0" w:line="255" w:lineRule="atLeast"/>
        <w:jc w:val="both"/>
        <w:rPr>
          <w:lang w:val="en-US"/>
        </w:rPr>
      </w:pPr>
      <w:r>
        <w:rPr>
          <w:lang w:val="en-US"/>
        </w:rPr>
        <w:t>SFP</w:t>
      </w:r>
      <w:r>
        <w:rPr>
          <w:lang w:val="en-US"/>
        </w:rPr>
        <w:tab/>
        <w:t>Start of persistency flag, , flagged by Delft-FEWS Plots display</w:t>
      </w:r>
    </w:p>
    <w:p w:rsidR="00F76685" w:rsidRDefault="00F76685" w:rsidP="00F76685">
      <w:pPr>
        <w:numPr>
          <w:ilvl w:val="0"/>
          <w:numId w:val="4"/>
        </w:numPr>
        <w:spacing w:after="0" w:line="255" w:lineRule="atLeast"/>
        <w:jc w:val="both"/>
        <w:rPr>
          <w:lang w:val="en-US"/>
        </w:rPr>
      </w:pPr>
      <w:r>
        <w:rPr>
          <w:lang w:val="en-US"/>
        </w:rPr>
        <w:t>SVP</w:t>
      </w:r>
      <w:r>
        <w:rPr>
          <w:lang w:val="en-US"/>
        </w:rPr>
        <w:tab/>
        <w:t>Persistency flag copy, flagged by Delft-FEWS secondary validation module</w:t>
      </w:r>
    </w:p>
    <w:p w:rsidR="00F76685" w:rsidRDefault="00F76685" w:rsidP="00F76685">
      <w:pPr>
        <w:numPr>
          <w:ilvl w:val="0"/>
          <w:numId w:val="4"/>
        </w:numPr>
        <w:spacing w:after="0" w:line="255" w:lineRule="atLeast"/>
        <w:jc w:val="both"/>
        <w:rPr>
          <w:lang w:val="en-US"/>
        </w:rPr>
      </w:pPr>
      <w:r>
        <w:rPr>
          <w:lang w:val="en-US"/>
        </w:rPr>
        <w:t>CA</w:t>
      </w:r>
      <w:r>
        <w:rPr>
          <w:lang w:val="en-US"/>
        </w:rPr>
        <w:tab/>
        <w:t>Conditional aggregation, flagged by Delft-FEWS transformation module</w:t>
      </w:r>
    </w:p>
    <w:p w:rsidR="00F76685" w:rsidRDefault="00F76685" w:rsidP="00F76685">
      <w:pPr>
        <w:numPr>
          <w:ilvl w:val="0"/>
          <w:numId w:val="4"/>
        </w:numPr>
        <w:spacing w:after="0" w:line="255" w:lineRule="atLeast"/>
        <w:jc w:val="both"/>
        <w:rPr>
          <w:lang w:val="en-US"/>
        </w:rPr>
      </w:pPr>
      <w:r>
        <w:rPr>
          <w:lang w:val="en-US"/>
        </w:rPr>
        <w:t>FC</w:t>
      </w:r>
      <w:r>
        <w:rPr>
          <w:lang w:val="en-US"/>
        </w:rPr>
        <w:tab/>
        <w:t>Flags comparison, flagged by Delft-FEWS secondary validation module</w:t>
      </w:r>
    </w:p>
    <w:p w:rsidR="00F76685" w:rsidRDefault="00F76685" w:rsidP="00F76685">
      <w:pPr>
        <w:numPr>
          <w:ilvl w:val="0"/>
          <w:numId w:val="4"/>
        </w:numPr>
        <w:spacing w:after="0" w:line="255" w:lineRule="atLeast"/>
        <w:jc w:val="both"/>
        <w:rPr>
          <w:lang w:val="en-US"/>
        </w:rPr>
      </w:pPr>
      <w:r>
        <w:rPr>
          <w:lang w:val="en-US"/>
        </w:rPr>
        <w:t>MK</w:t>
      </w:r>
      <w:r>
        <w:rPr>
          <w:lang w:val="en-US"/>
        </w:rPr>
        <w:tab/>
        <w:t>Manual Kendall Test, flagged by Delft-FEWS secondary validation module</w:t>
      </w:r>
    </w:p>
    <w:p w:rsidR="00F76685" w:rsidRDefault="00F76685" w:rsidP="00F76685">
      <w:pPr>
        <w:numPr>
          <w:ilvl w:val="0"/>
          <w:numId w:val="4"/>
        </w:numPr>
        <w:spacing w:after="0" w:line="255" w:lineRule="atLeast"/>
        <w:jc w:val="both"/>
        <w:rPr>
          <w:lang w:val="en-US"/>
        </w:rPr>
      </w:pPr>
      <w:r>
        <w:rPr>
          <w:lang w:val="en-US"/>
        </w:rPr>
        <w:t>SC</w:t>
      </w:r>
      <w:r>
        <w:rPr>
          <w:lang w:val="en-US"/>
        </w:rPr>
        <w:tab/>
        <w:t>Series comparison, flagged by Delft-FEWS secondary validation module</w:t>
      </w:r>
    </w:p>
    <w:p w:rsidR="00F76685" w:rsidRDefault="00F76685" w:rsidP="00F76685">
      <w:pPr>
        <w:numPr>
          <w:ilvl w:val="0"/>
          <w:numId w:val="4"/>
        </w:numPr>
        <w:spacing w:after="0" w:line="255" w:lineRule="atLeast"/>
        <w:jc w:val="both"/>
        <w:rPr>
          <w:lang w:val="en-US"/>
        </w:rPr>
      </w:pPr>
      <w:r>
        <w:rPr>
          <w:lang w:val="en-US"/>
        </w:rPr>
        <w:t>SH</w:t>
      </w:r>
      <w:r>
        <w:rPr>
          <w:lang w:val="en-US"/>
        </w:rPr>
        <w:tab/>
        <w:t>Spatial Homogeneity, flagged by Delft-FEWS secondary validation module</w:t>
      </w:r>
    </w:p>
    <w:p w:rsidR="00F76685" w:rsidRDefault="00F76685" w:rsidP="00F76685">
      <w:pPr>
        <w:rPr>
          <w:lang w:val="en-US"/>
        </w:rPr>
      </w:pPr>
    </w:p>
    <w:p w:rsidR="001E63A2" w:rsidRPr="00F76685" w:rsidRDefault="00D17EC4" w:rsidP="00F76685">
      <w:pPr>
        <w:rPr>
          <w:lang w:val="en-US"/>
        </w:rPr>
      </w:pPr>
      <w:r>
        <w:rPr>
          <w:noProof/>
        </w:rPr>
        <w:drawing>
          <wp:anchor distT="0" distB="0" distL="114300" distR="114300" simplePos="0" relativeHeight="251661312" behindDoc="0" locked="0" layoutInCell="1" allowOverlap="1" wp14:anchorId="2F175BD1" wp14:editId="2E2A2F61">
            <wp:simplePos x="0" y="0"/>
            <wp:positionH relativeFrom="column">
              <wp:posOffset>-440055</wp:posOffset>
            </wp:positionH>
            <wp:positionV relativeFrom="paragraph">
              <wp:posOffset>-1270</wp:posOffset>
            </wp:positionV>
            <wp:extent cx="266700" cy="171450"/>
            <wp:effectExtent l="0" t="0" r="0" b="0"/>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76685">
        <w:rPr>
          <w:lang w:val="en-US"/>
        </w:rPr>
        <w:t xml:space="preserve">In the Plots display the flag sources can be shown by selecting the Table </w:t>
      </w:r>
      <w:r>
        <w:rPr>
          <w:lang w:val="en-US"/>
        </w:rPr>
        <w:t>View button</w:t>
      </w:r>
      <w:bookmarkStart w:id="0" w:name="_GoBack"/>
      <w:bookmarkEnd w:id="0"/>
      <w:r w:rsidR="00F76685">
        <w:rPr>
          <w:lang w:val="en-US"/>
        </w:rPr>
        <w:t xml:space="preserve"> from the Plots toolbar and selecting the Validation element from the Table drop down button. (</w:t>
      </w:r>
      <w:r w:rsidR="00F76685" w:rsidRPr="00F76685">
        <w:rPr>
          <w:b/>
          <w:lang w:val="en-US"/>
        </w:rPr>
        <w:t>CTRL+Shift+J</w:t>
      </w:r>
      <w:r w:rsidR="00F76685">
        <w:rPr>
          <w:lang w:val="en-US"/>
        </w:rPr>
        <w:t>).</w:t>
      </w:r>
    </w:p>
    <w:sectPr w:rsidR="001E63A2" w:rsidRPr="00F76685" w:rsidSect="00F77329">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3" o:spid="_x0000_i1084" type="#_x0000_t75" style="width:28.25pt;height:18.25pt;visibility:visible;mso-wrap-style:square" o:bullet="t">
        <v:imagedata r:id="rId1" o:title=""/>
      </v:shape>
    </w:pict>
  </w:numPicBullet>
  <w:abstractNum w:abstractNumId="0">
    <w:nsid w:val="1CD729CB"/>
    <w:multiLevelType w:val="hybridMultilevel"/>
    <w:tmpl w:val="5A76D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2">
    <w:nsid w:val="644C7AB4"/>
    <w:multiLevelType w:val="hybridMultilevel"/>
    <w:tmpl w:val="62E698FC"/>
    <w:lvl w:ilvl="0" w:tplc="72909778">
      <w:start w:val="1"/>
      <w:numFmt w:val="bullet"/>
      <w:lvlText w:val="•"/>
      <w:lvlJc w:val="left"/>
      <w:pPr>
        <w:tabs>
          <w:tab w:val="num" w:pos="720"/>
        </w:tabs>
        <w:ind w:left="720" w:hanging="360"/>
      </w:pPr>
      <w:rPr>
        <w:rFonts w:ascii="Arial" w:hAnsi="Arial" w:hint="default"/>
      </w:rPr>
    </w:lvl>
    <w:lvl w:ilvl="1" w:tplc="7D0A53BE">
      <w:start w:val="1"/>
      <w:numFmt w:val="bullet"/>
      <w:lvlText w:val="•"/>
      <w:lvlJc w:val="left"/>
      <w:pPr>
        <w:tabs>
          <w:tab w:val="num" w:pos="1440"/>
        </w:tabs>
        <w:ind w:left="1440" w:hanging="360"/>
      </w:pPr>
      <w:rPr>
        <w:rFonts w:ascii="Arial" w:hAnsi="Arial" w:hint="default"/>
      </w:rPr>
    </w:lvl>
    <w:lvl w:ilvl="2" w:tplc="0E566696" w:tentative="1">
      <w:start w:val="1"/>
      <w:numFmt w:val="bullet"/>
      <w:lvlText w:val="•"/>
      <w:lvlJc w:val="left"/>
      <w:pPr>
        <w:tabs>
          <w:tab w:val="num" w:pos="2160"/>
        </w:tabs>
        <w:ind w:left="2160" w:hanging="360"/>
      </w:pPr>
      <w:rPr>
        <w:rFonts w:ascii="Arial" w:hAnsi="Arial" w:hint="default"/>
      </w:rPr>
    </w:lvl>
    <w:lvl w:ilvl="3" w:tplc="F4F64774" w:tentative="1">
      <w:start w:val="1"/>
      <w:numFmt w:val="bullet"/>
      <w:lvlText w:val="•"/>
      <w:lvlJc w:val="left"/>
      <w:pPr>
        <w:tabs>
          <w:tab w:val="num" w:pos="2880"/>
        </w:tabs>
        <w:ind w:left="2880" w:hanging="360"/>
      </w:pPr>
      <w:rPr>
        <w:rFonts w:ascii="Arial" w:hAnsi="Arial" w:hint="default"/>
      </w:rPr>
    </w:lvl>
    <w:lvl w:ilvl="4" w:tplc="A06A7D24" w:tentative="1">
      <w:start w:val="1"/>
      <w:numFmt w:val="bullet"/>
      <w:lvlText w:val="•"/>
      <w:lvlJc w:val="left"/>
      <w:pPr>
        <w:tabs>
          <w:tab w:val="num" w:pos="3600"/>
        </w:tabs>
        <w:ind w:left="3600" w:hanging="360"/>
      </w:pPr>
      <w:rPr>
        <w:rFonts w:ascii="Arial" w:hAnsi="Arial" w:hint="default"/>
      </w:rPr>
    </w:lvl>
    <w:lvl w:ilvl="5" w:tplc="3FDAFB1C" w:tentative="1">
      <w:start w:val="1"/>
      <w:numFmt w:val="bullet"/>
      <w:lvlText w:val="•"/>
      <w:lvlJc w:val="left"/>
      <w:pPr>
        <w:tabs>
          <w:tab w:val="num" w:pos="4320"/>
        </w:tabs>
        <w:ind w:left="4320" w:hanging="360"/>
      </w:pPr>
      <w:rPr>
        <w:rFonts w:ascii="Arial" w:hAnsi="Arial" w:hint="default"/>
      </w:rPr>
    </w:lvl>
    <w:lvl w:ilvl="6" w:tplc="F57075A6" w:tentative="1">
      <w:start w:val="1"/>
      <w:numFmt w:val="bullet"/>
      <w:lvlText w:val="•"/>
      <w:lvlJc w:val="left"/>
      <w:pPr>
        <w:tabs>
          <w:tab w:val="num" w:pos="5040"/>
        </w:tabs>
        <w:ind w:left="5040" w:hanging="360"/>
      </w:pPr>
      <w:rPr>
        <w:rFonts w:ascii="Arial" w:hAnsi="Arial" w:hint="default"/>
      </w:rPr>
    </w:lvl>
    <w:lvl w:ilvl="7" w:tplc="FA62193A" w:tentative="1">
      <w:start w:val="1"/>
      <w:numFmt w:val="bullet"/>
      <w:lvlText w:val="•"/>
      <w:lvlJc w:val="left"/>
      <w:pPr>
        <w:tabs>
          <w:tab w:val="num" w:pos="5760"/>
        </w:tabs>
        <w:ind w:left="5760" w:hanging="360"/>
      </w:pPr>
      <w:rPr>
        <w:rFonts w:ascii="Arial" w:hAnsi="Arial" w:hint="default"/>
      </w:rPr>
    </w:lvl>
    <w:lvl w:ilvl="8" w:tplc="252A161E" w:tentative="1">
      <w:start w:val="1"/>
      <w:numFmt w:val="bullet"/>
      <w:lvlText w:val="•"/>
      <w:lvlJc w:val="left"/>
      <w:pPr>
        <w:tabs>
          <w:tab w:val="num" w:pos="6480"/>
        </w:tabs>
        <w:ind w:left="6480" w:hanging="360"/>
      </w:pPr>
      <w:rPr>
        <w:rFonts w:ascii="Arial" w:hAnsi="Arial" w:hint="default"/>
      </w:rPr>
    </w:lvl>
  </w:abstractNum>
  <w:abstractNum w:abstractNumId="3">
    <w:nsid w:val="6C9E3EFF"/>
    <w:multiLevelType w:val="hybridMultilevel"/>
    <w:tmpl w:val="9024461E"/>
    <w:lvl w:ilvl="0" w:tplc="EFA65F7C">
      <w:start w:val="1"/>
      <w:numFmt w:val="decimal"/>
      <w:lvlText w:val="ad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329"/>
    <w:rsid w:val="00086A4D"/>
    <w:rsid w:val="000B7D35"/>
    <w:rsid w:val="001E63A2"/>
    <w:rsid w:val="0035231D"/>
    <w:rsid w:val="003B15E4"/>
    <w:rsid w:val="003B4B93"/>
    <w:rsid w:val="004D7B87"/>
    <w:rsid w:val="005879F1"/>
    <w:rsid w:val="005D0B38"/>
    <w:rsid w:val="005D24B1"/>
    <w:rsid w:val="005F2007"/>
    <w:rsid w:val="006A1040"/>
    <w:rsid w:val="00786556"/>
    <w:rsid w:val="008365AB"/>
    <w:rsid w:val="008D1D38"/>
    <w:rsid w:val="009B5E0D"/>
    <w:rsid w:val="009D06ED"/>
    <w:rsid w:val="00A20DF6"/>
    <w:rsid w:val="00A876C8"/>
    <w:rsid w:val="00AF09E6"/>
    <w:rsid w:val="00C62BE7"/>
    <w:rsid w:val="00D11B60"/>
    <w:rsid w:val="00D17EC4"/>
    <w:rsid w:val="00D2298C"/>
    <w:rsid w:val="00D52D82"/>
    <w:rsid w:val="00D765B9"/>
    <w:rsid w:val="00DB7947"/>
    <w:rsid w:val="00E925EA"/>
    <w:rsid w:val="00EA53EF"/>
    <w:rsid w:val="00F76685"/>
    <w:rsid w:val="00F7732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F76685"/>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F76685"/>
    <w:pPr>
      <w:numPr>
        <w:ilvl w:val="1"/>
      </w:numPr>
    </w:pPr>
  </w:style>
  <w:style w:type="paragraph" w:styleId="ListBullet3">
    <w:name w:val="List Bullet 3"/>
    <w:basedOn w:val="ListNumber2"/>
    <w:rsid w:val="00F76685"/>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F76685"/>
    <w:pPr>
      <w:numPr>
        <w:numId w:val="4"/>
      </w:numPr>
    </w:pPr>
  </w:style>
  <w:style w:type="paragraph" w:styleId="ListNumber2">
    <w:name w:val="List Number 2"/>
    <w:basedOn w:val="Normal"/>
    <w:uiPriority w:val="99"/>
    <w:semiHidden/>
    <w:unhideWhenUsed/>
    <w:rsid w:val="00F76685"/>
    <w:pPr>
      <w:tabs>
        <w:tab w:val="num" w:pos="360"/>
      </w:tabs>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29"/>
    <w:rPr>
      <w:rFonts w:ascii="Tahoma" w:hAnsi="Tahoma" w:cs="Tahoma"/>
      <w:sz w:val="16"/>
      <w:szCs w:val="16"/>
    </w:rPr>
  </w:style>
  <w:style w:type="paragraph" w:styleId="ListParagraph">
    <w:name w:val="List Paragraph"/>
    <w:basedOn w:val="Normal"/>
    <w:uiPriority w:val="34"/>
    <w:qFormat/>
    <w:rsid w:val="00F77329"/>
    <w:pPr>
      <w:ind w:left="720"/>
      <w:contextualSpacing/>
    </w:pPr>
  </w:style>
  <w:style w:type="paragraph" w:styleId="ListBullet">
    <w:name w:val="List Bullet"/>
    <w:basedOn w:val="Normal"/>
    <w:rsid w:val="00F76685"/>
    <w:pPr>
      <w:numPr>
        <w:numId w:val="4"/>
      </w:numPr>
      <w:spacing w:after="0" w:line="255" w:lineRule="atLeast"/>
      <w:jc w:val="both"/>
    </w:pPr>
    <w:rPr>
      <w:rFonts w:ascii="Arial" w:eastAsia="Times New Roman" w:hAnsi="Arial" w:cs="Arial"/>
      <w:sz w:val="21"/>
      <w:szCs w:val="24"/>
      <w:lang w:eastAsia="en-US"/>
    </w:rPr>
  </w:style>
  <w:style w:type="paragraph" w:styleId="ListBullet2">
    <w:name w:val="List Bullet 2"/>
    <w:basedOn w:val="ListBullet"/>
    <w:rsid w:val="00F76685"/>
    <w:pPr>
      <w:numPr>
        <w:ilvl w:val="1"/>
      </w:numPr>
    </w:pPr>
  </w:style>
  <w:style w:type="paragraph" w:styleId="ListBullet3">
    <w:name w:val="List Bullet 3"/>
    <w:basedOn w:val="ListNumber2"/>
    <w:rsid w:val="00F76685"/>
    <w:pPr>
      <w:numPr>
        <w:ilvl w:val="2"/>
        <w:numId w:val="4"/>
      </w:numPr>
      <w:spacing w:after="0" w:line="255" w:lineRule="atLeast"/>
      <w:contextualSpacing w:val="0"/>
      <w:jc w:val="both"/>
    </w:pPr>
    <w:rPr>
      <w:rFonts w:ascii="Arial" w:eastAsia="Times New Roman" w:hAnsi="Arial" w:cs="Arial"/>
      <w:sz w:val="21"/>
      <w:szCs w:val="24"/>
      <w:lang w:eastAsia="en-US"/>
    </w:rPr>
  </w:style>
  <w:style w:type="numbering" w:customStyle="1" w:styleId="Huisstijl-LijstOpsomming">
    <w:name w:val="Huisstijl-LijstOpsomming"/>
    <w:uiPriority w:val="99"/>
    <w:rsid w:val="00F76685"/>
    <w:pPr>
      <w:numPr>
        <w:numId w:val="4"/>
      </w:numPr>
    </w:pPr>
  </w:style>
  <w:style w:type="paragraph" w:styleId="ListNumber2">
    <w:name w:val="List Number 2"/>
    <w:basedOn w:val="Normal"/>
    <w:uiPriority w:val="99"/>
    <w:semiHidden/>
    <w:unhideWhenUsed/>
    <w:rsid w:val="00F76685"/>
    <w:pPr>
      <w:tabs>
        <w:tab w:val="num" w:pos="360"/>
      </w:tabs>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53288">
      <w:bodyDiv w:val="1"/>
      <w:marLeft w:val="0"/>
      <w:marRight w:val="0"/>
      <w:marTop w:val="0"/>
      <w:marBottom w:val="0"/>
      <w:divBdr>
        <w:top w:val="none" w:sz="0" w:space="0" w:color="auto"/>
        <w:left w:val="none" w:sz="0" w:space="0" w:color="auto"/>
        <w:bottom w:val="none" w:sz="0" w:space="0" w:color="auto"/>
        <w:right w:val="none" w:sz="0" w:space="0" w:color="auto"/>
      </w:divBdr>
      <w:divsChild>
        <w:div w:id="1311128545">
          <w:marLeft w:val="490"/>
          <w:marRight w:val="0"/>
          <w:marTop w:val="86"/>
          <w:marBottom w:val="0"/>
          <w:divBdr>
            <w:top w:val="none" w:sz="0" w:space="0" w:color="auto"/>
            <w:left w:val="none" w:sz="0" w:space="0" w:color="auto"/>
            <w:bottom w:val="none" w:sz="0" w:space="0" w:color="auto"/>
            <w:right w:val="none" w:sz="0" w:space="0" w:color="auto"/>
          </w:divBdr>
        </w:div>
        <w:div w:id="1247155043">
          <w:marLeft w:val="490"/>
          <w:marRight w:val="0"/>
          <w:marTop w:val="86"/>
          <w:marBottom w:val="0"/>
          <w:divBdr>
            <w:top w:val="none" w:sz="0" w:space="0" w:color="auto"/>
            <w:left w:val="none" w:sz="0" w:space="0" w:color="auto"/>
            <w:bottom w:val="none" w:sz="0" w:space="0" w:color="auto"/>
            <w:right w:val="none" w:sz="0" w:space="0" w:color="auto"/>
          </w:divBdr>
        </w:div>
        <w:div w:id="1295331099">
          <w:marLeft w:val="490"/>
          <w:marRight w:val="0"/>
          <w:marTop w:val="86"/>
          <w:marBottom w:val="0"/>
          <w:divBdr>
            <w:top w:val="none" w:sz="0" w:space="0" w:color="auto"/>
            <w:left w:val="none" w:sz="0" w:space="0" w:color="auto"/>
            <w:bottom w:val="none" w:sz="0" w:space="0" w:color="auto"/>
            <w:right w:val="none" w:sz="0" w:space="0" w:color="auto"/>
          </w:divBdr>
        </w:div>
        <w:div w:id="1595632635">
          <w:marLeft w:val="490"/>
          <w:marRight w:val="0"/>
          <w:marTop w:val="86"/>
          <w:marBottom w:val="0"/>
          <w:divBdr>
            <w:top w:val="none" w:sz="0" w:space="0" w:color="auto"/>
            <w:left w:val="none" w:sz="0" w:space="0" w:color="auto"/>
            <w:bottom w:val="none" w:sz="0" w:space="0" w:color="auto"/>
            <w:right w:val="none" w:sz="0" w:space="0" w:color="auto"/>
          </w:divBdr>
        </w:div>
        <w:div w:id="1741825991">
          <w:marLeft w:val="490"/>
          <w:marRight w:val="0"/>
          <w:marTop w:val="86"/>
          <w:marBottom w:val="0"/>
          <w:divBdr>
            <w:top w:val="none" w:sz="0" w:space="0" w:color="auto"/>
            <w:left w:val="none" w:sz="0" w:space="0" w:color="auto"/>
            <w:bottom w:val="none" w:sz="0" w:space="0" w:color="auto"/>
            <w:right w:val="none" w:sz="0" w:space="0" w:color="auto"/>
          </w:divBdr>
        </w:div>
        <w:div w:id="721831923">
          <w:marLeft w:val="490"/>
          <w:marRight w:val="0"/>
          <w:marTop w:val="86"/>
          <w:marBottom w:val="0"/>
          <w:divBdr>
            <w:top w:val="none" w:sz="0" w:space="0" w:color="auto"/>
            <w:left w:val="none" w:sz="0" w:space="0" w:color="auto"/>
            <w:bottom w:val="none" w:sz="0" w:space="0" w:color="auto"/>
            <w:right w:val="none" w:sz="0" w:space="0" w:color="auto"/>
          </w:divBdr>
        </w:div>
        <w:div w:id="1488787148">
          <w:marLeft w:val="49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De Kleermaeker</dc:creator>
  <cp:lastModifiedBy>Simone De Kleermaeker</cp:lastModifiedBy>
  <cp:revision>5</cp:revision>
  <cp:lastPrinted>2015-02-21T03:43:00Z</cp:lastPrinted>
  <dcterms:created xsi:type="dcterms:W3CDTF">2015-02-23T11:02:00Z</dcterms:created>
  <dcterms:modified xsi:type="dcterms:W3CDTF">2015-02-23T22:52:00Z</dcterms:modified>
</cp:coreProperties>
</file>