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5F2D16" w:rsidP="00F346B1">
            <w:bookmarkStart w:id="0" w:name="_GoBack"/>
            <w:r w:rsidRPr="005F2D16">
              <w:drawing>
                <wp:anchor distT="0" distB="0" distL="114300" distR="114300" simplePos="0" relativeHeight="251660288" behindDoc="1" locked="0" layoutInCell="1" allowOverlap="1" wp14:anchorId="0DDCC24A" wp14:editId="69165A9C">
                  <wp:simplePos x="0" y="0"/>
                  <wp:positionH relativeFrom="column">
                    <wp:posOffset>3324080</wp:posOffset>
                  </wp:positionH>
                  <wp:positionV relativeFrom="paragraph">
                    <wp:posOffset>-824865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25AE">
              <w:t>Peak Heights</w:t>
            </w:r>
            <w:r w:rsidR="001124B5">
              <w:t xml:space="preserve"> – </w:t>
            </w:r>
            <w:r w:rsidR="00F346B1">
              <w:t>Scatter Plot Display</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5F2D16" w:rsidP="00F77329">
            <w:r w:rsidRPr="005F2D16">
              <w:drawing>
                <wp:anchor distT="0" distB="0" distL="114300" distR="114300" simplePos="0" relativeHeight="251659264" behindDoc="1" locked="0" layoutInCell="1" allowOverlap="1" wp14:anchorId="6B1CFE66" wp14:editId="52586D63">
                  <wp:simplePos x="0" y="0"/>
                  <wp:positionH relativeFrom="column">
                    <wp:posOffset>4461365</wp:posOffset>
                  </wp:positionH>
                  <wp:positionV relativeFrom="paragraph">
                    <wp:posOffset>135890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086A4D" w:rsidRDefault="00086A4D" w:rsidP="00086A4D">
      <w:r>
        <w:br/>
      </w:r>
      <w:r w:rsidR="00D765B9">
        <w:t>Overview of s</w:t>
      </w:r>
      <w:r w:rsidR="00D52D82">
        <w:t>tep</w:t>
      </w:r>
      <w:r w:rsidR="005D0B38">
        <w:t>s</w:t>
      </w:r>
    </w:p>
    <w:p w:rsidR="00D2298C" w:rsidRDefault="00F346B1" w:rsidP="00D2298C">
      <w:pPr>
        <w:pStyle w:val="ListParagraph"/>
        <w:numPr>
          <w:ilvl w:val="0"/>
          <w:numId w:val="1"/>
        </w:numPr>
      </w:pPr>
      <w:r>
        <w:rPr>
          <w:lang w:val="en-US"/>
        </w:rPr>
        <w:t xml:space="preserve">Activate the Scatter Plot Display with the </w:t>
      </w:r>
      <w:r w:rsidRPr="00F346B1">
        <w:rPr>
          <w:lang w:val="en-US"/>
        </w:rPr>
        <w:t>icon on the top of the control pane</w:t>
      </w:r>
    </w:p>
    <w:p w:rsidR="00ED5BD8" w:rsidRPr="005D0B38" w:rsidRDefault="00F346B1" w:rsidP="00ED5BD8">
      <w:pPr>
        <w:pStyle w:val="ListParagraph"/>
        <w:numPr>
          <w:ilvl w:val="0"/>
          <w:numId w:val="1"/>
        </w:numPr>
      </w:pPr>
      <w:r>
        <w:t>Legend below the scatter plot is linked to the crosshair in the plot</w:t>
      </w:r>
    </w:p>
    <w:p w:rsidR="00D52D82" w:rsidRDefault="00D52D82" w:rsidP="00D52D82">
      <w:pPr>
        <w:pStyle w:val="ListParagraph"/>
      </w:pPr>
    </w:p>
    <w:p w:rsidR="00F346B1" w:rsidRPr="00F346B1" w:rsidRDefault="00F346B1" w:rsidP="00F346B1">
      <w:pPr>
        <w:pStyle w:val="ListParagraph"/>
        <w:keepNext/>
        <w:numPr>
          <w:ilvl w:val="0"/>
          <w:numId w:val="3"/>
        </w:numPr>
        <w:rPr>
          <w:lang w:val="en-US"/>
        </w:rPr>
      </w:pPr>
      <w:bookmarkStart w:id="1" w:name="_Toc365279503"/>
      <w:bookmarkStart w:id="2" w:name="_Toc365279504"/>
      <w:bookmarkStart w:id="3" w:name="_Toc365279505"/>
      <w:bookmarkEnd w:id="1"/>
      <w:bookmarkEnd w:id="2"/>
      <w:bookmarkEnd w:id="3"/>
      <w:r w:rsidRPr="00F346B1">
        <w:rPr>
          <w:lang w:val="en-US"/>
        </w:rPr>
        <w:t>Activate the Scatter Plot Display with the icon on the top of the control pane</w:t>
      </w:r>
      <w:proofErr w:type="gramStart"/>
      <w:r w:rsidRPr="00F346B1">
        <w:rPr>
          <w:lang w:val="en-US"/>
        </w:rPr>
        <w:t xml:space="preserve">: </w:t>
      </w:r>
      <w:proofErr w:type="gramEnd"/>
      <w:r>
        <w:rPr>
          <w:noProof/>
        </w:rPr>
        <w:drawing>
          <wp:inline distT="0" distB="0" distL="0" distR="0" wp14:anchorId="46742504" wp14:editId="70BCD5CA">
            <wp:extent cx="257175" cy="209550"/>
            <wp:effectExtent l="0" t="0" r="9525" b="0"/>
            <wp:docPr id="158"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extLst>
                        <a:ext uri="{28A0092B-C50C-407E-A947-70E740481C1C}">
                          <a14:useLocalDpi xmlns:a14="http://schemas.microsoft.com/office/drawing/2010/main" val="0"/>
                        </a:ext>
                      </a:extLst>
                    </a:blip>
                    <a:srcRect t="8113" r="88515" b="73399"/>
                    <a:stretch>
                      <a:fillRect/>
                    </a:stretch>
                  </pic:blipFill>
                  <pic:spPr bwMode="auto">
                    <a:xfrm>
                      <a:off x="0" y="0"/>
                      <a:ext cx="257175" cy="209550"/>
                    </a:xfrm>
                    <a:prstGeom prst="rect">
                      <a:avLst/>
                    </a:prstGeom>
                    <a:noFill/>
                    <a:ln>
                      <a:noFill/>
                    </a:ln>
                  </pic:spPr>
                </pic:pic>
              </a:graphicData>
            </a:graphic>
          </wp:inline>
        </w:drawing>
      </w:r>
      <w:r w:rsidRPr="00F346B1">
        <w:rPr>
          <w:lang w:val="en-US"/>
        </w:rPr>
        <w:t xml:space="preserve">. Color, style and size of the visualized events in the scatter plot are pre-configured. The plot has a title showing the support and forecast location names and parameters. </w:t>
      </w:r>
      <w:r>
        <w:rPr>
          <w:lang w:val="en-US"/>
        </w:rPr>
        <w:br/>
      </w:r>
      <w:r w:rsidRPr="00F346B1">
        <w:rPr>
          <w:lang w:val="en-US"/>
        </w:rPr>
        <w:t xml:space="preserve">Tool tips with event information are displayed when the cursor is placed on an event point in the plot. </w:t>
      </w:r>
      <w:r>
        <w:rPr>
          <w:noProof/>
        </w:rPr>
        <w:drawing>
          <wp:inline distT="0" distB="0" distL="0" distR="0" wp14:anchorId="3F6C90EE" wp14:editId="4300BEA5">
            <wp:extent cx="5476875" cy="3124200"/>
            <wp:effectExtent l="0" t="0" r="9525" b="0"/>
            <wp:docPr id="159"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124200"/>
                    </a:xfrm>
                    <a:prstGeom prst="rect">
                      <a:avLst/>
                    </a:prstGeom>
                    <a:noFill/>
                    <a:ln>
                      <a:noFill/>
                    </a:ln>
                  </pic:spPr>
                </pic:pic>
              </a:graphicData>
            </a:graphic>
          </wp:inline>
        </w:drawing>
      </w:r>
    </w:p>
    <w:p w:rsidR="001E63A2" w:rsidRPr="00ED5BD8" w:rsidRDefault="00F346B1" w:rsidP="00ED5BD8">
      <w:pPr>
        <w:pStyle w:val="ListParagraph"/>
        <w:numPr>
          <w:ilvl w:val="0"/>
          <w:numId w:val="3"/>
        </w:numPr>
        <w:ind w:left="360"/>
        <w:rPr>
          <w:lang w:val="en-US"/>
        </w:rPr>
      </w:pPr>
      <w:r w:rsidRPr="00ED5BD8">
        <w:rPr>
          <w:lang w:val="en-US"/>
        </w:rPr>
        <w:t>When clicking anywhere in the plot window, a crosshair is created that will stay visible in the window. Below the scatter plot, the discharges or water levels at the support location (X) and at the forecast location are displayed (Y).</w:t>
      </w:r>
      <w:r w:rsidRPr="00ED5BD8">
        <w:rPr>
          <w:lang w:val="en-US"/>
        </w:rPr>
        <w:br/>
        <w:t>The Cursor column indicates the values for the support location and the forecast location at the location of the cursor on the graph. The forecast height computed with the regression relation is displayed in the equation column; this computed value assumes an X-value as indicated by the cursor. The values associated with the crosshair are also depicted below the graph (in blue) in the Selection column.</w:t>
      </w:r>
      <w:r>
        <w:rPr>
          <w:noProof/>
        </w:rPr>
        <w:drawing>
          <wp:inline distT="0" distB="0" distL="0" distR="0" wp14:anchorId="74340A02" wp14:editId="0B70F155">
            <wp:extent cx="5534025" cy="695325"/>
            <wp:effectExtent l="0" t="0" r="9525" b="9525"/>
            <wp:docPr id="160"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695325"/>
                    </a:xfrm>
                    <a:prstGeom prst="rect">
                      <a:avLst/>
                    </a:prstGeom>
                    <a:noFill/>
                    <a:ln>
                      <a:noFill/>
                    </a:ln>
                  </pic:spPr>
                </pic:pic>
              </a:graphicData>
            </a:graphic>
          </wp:inline>
        </w:drawing>
      </w:r>
      <w:r w:rsidRPr="00ED5BD8">
        <w:rPr>
          <w:lang w:val="en-US"/>
        </w:rPr>
        <w:t xml:space="preserve">The regression formula used to compute the forecast value is also given, in addition to the </w:t>
      </w:r>
      <w:r w:rsidRPr="00ED5BD8">
        <w:rPr>
          <w:i/>
          <w:lang w:val="en-US"/>
        </w:rPr>
        <w:t>goodness of fit</w:t>
      </w:r>
      <w:r w:rsidRPr="00ED5BD8">
        <w:rPr>
          <w:lang w:val="en-US"/>
        </w:rPr>
        <w:t>, which is expressed as an R</w:t>
      </w:r>
      <w:r w:rsidRPr="00ED5BD8">
        <w:rPr>
          <w:vertAlign w:val="superscript"/>
          <w:lang w:val="en-US"/>
        </w:rPr>
        <w:t>2</w:t>
      </w:r>
      <w:r w:rsidRPr="00ED5BD8">
        <w:rPr>
          <w:lang w:val="en-US"/>
        </w:rPr>
        <w:t xml:space="preserve"> (R-squared) value. The typical travel time computed from the selected events is presented in the field </w:t>
      </w:r>
      <w:r w:rsidRPr="00ED5BD8">
        <w:rPr>
          <w:i/>
          <w:lang w:val="en-US"/>
        </w:rPr>
        <w:t>Average travel time</w:t>
      </w:r>
      <w:r w:rsidRPr="00ED5BD8">
        <w:rPr>
          <w:lang w:val="en-US"/>
        </w:rPr>
        <w:t>.</w:t>
      </w:r>
    </w:p>
    <w:sectPr w:rsidR="001E63A2" w:rsidRPr="00ED5BD8"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2">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4B12"/>
    <w:rsid w:val="00086A4D"/>
    <w:rsid w:val="000B7D35"/>
    <w:rsid w:val="001124B5"/>
    <w:rsid w:val="001E63A2"/>
    <w:rsid w:val="00305088"/>
    <w:rsid w:val="003B15E4"/>
    <w:rsid w:val="005879F1"/>
    <w:rsid w:val="005D0B38"/>
    <w:rsid w:val="005D24B1"/>
    <w:rsid w:val="005F2D16"/>
    <w:rsid w:val="006A1040"/>
    <w:rsid w:val="008365AB"/>
    <w:rsid w:val="008D1D38"/>
    <w:rsid w:val="00976639"/>
    <w:rsid w:val="009B5E0D"/>
    <w:rsid w:val="00A20DF6"/>
    <w:rsid w:val="00B925AE"/>
    <w:rsid w:val="00D11B60"/>
    <w:rsid w:val="00D2298C"/>
    <w:rsid w:val="00D52D82"/>
    <w:rsid w:val="00D765B9"/>
    <w:rsid w:val="00E2649A"/>
    <w:rsid w:val="00E758BF"/>
    <w:rsid w:val="00ED5BD8"/>
    <w:rsid w:val="00F346B1"/>
    <w:rsid w:val="00F773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925AE"/>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925AE"/>
    <w:rPr>
      <w:rFonts w:ascii="Arial" w:eastAsia="Times New Roman" w:hAnsi="Arial" w:cs="Arial"/>
      <w:bCs/>
      <w:i/>
      <w:sz w:val="17"/>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925AE"/>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925AE"/>
    <w:rPr>
      <w:rFonts w:ascii="Arial" w:eastAsia="Times New Roman" w:hAnsi="Arial" w:cs="Arial"/>
      <w:bCs/>
      <w:i/>
      <w:sz w:val="17"/>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5</cp:revision>
  <cp:lastPrinted>2015-02-21T09:10:00Z</cp:lastPrinted>
  <dcterms:created xsi:type="dcterms:W3CDTF">2015-02-21T09:10:00Z</dcterms:created>
  <dcterms:modified xsi:type="dcterms:W3CDTF">2015-02-23T22:37:00Z</dcterms:modified>
</cp:coreProperties>
</file>