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7291"/>
      </w:tblGrid>
      <w:tr w:rsidR="00F77329" w14:paraId="55D0E2FC" w14:textId="77777777" w:rsidTr="00F77329">
        <w:tc>
          <w:tcPr>
            <w:tcW w:w="1349" w:type="dxa"/>
          </w:tcPr>
          <w:p w14:paraId="55D0E2FA" w14:textId="123238F9" w:rsidR="00F77329" w:rsidRDefault="00F77329">
            <w:r>
              <w:t>How to</w:t>
            </w:r>
          </w:p>
        </w:tc>
        <w:tc>
          <w:tcPr>
            <w:tcW w:w="7291" w:type="dxa"/>
          </w:tcPr>
          <w:p w14:paraId="55D0E2FB" w14:textId="1ABB02A4" w:rsidR="00F77329" w:rsidRDefault="00450A1B">
            <w:bookmarkStart w:id="0" w:name="_Hlk30498340"/>
            <w:bookmarkEnd w:id="0"/>
            <w:r>
              <w:t>Run the RTC-Tools models</w:t>
            </w:r>
          </w:p>
        </w:tc>
      </w:tr>
      <w:tr w:rsidR="00F77329" w14:paraId="55D0E2FF" w14:textId="77777777" w:rsidTr="00F77329">
        <w:tc>
          <w:tcPr>
            <w:tcW w:w="1349" w:type="dxa"/>
          </w:tcPr>
          <w:p w14:paraId="55D0E2FD" w14:textId="77777777" w:rsidR="00F77329" w:rsidRDefault="00F77329">
            <w:r>
              <w:t>Description</w:t>
            </w:r>
          </w:p>
        </w:tc>
        <w:tc>
          <w:tcPr>
            <w:tcW w:w="7291" w:type="dxa"/>
          </w:tcPr>
          <w:p w14:paraId="55D0E2FE" w14:textId="77777777" w:rsidR="00F77329" w:rsidRDefault="00F77329">
            <w:r>
              <w:t>Step by step description of how to perform a specific task in ROWS.</w:t>
            </w:r>
          </w:p>
        </w:tc>
      </w:tr>
      <w:tr w:rsidR="00F77329" w14:paraId="55D0E303" w14:textId="77777777" w:rsidTr="00F77329">
        <w:tc>
          <w:tcPr>
            <w:tcW w:w="1349" w:type="dxa"/>
          </w:tcPr>
          <w:p w14:paraId="55D0E300" w14:textId="77777777" w:rsidR="00F77329" w:rsidRDefault="00F77329">
            <w:r>
              <w:t>Comments</w:t>
            </w:r>
          </w:p>
        </w:tc>
        <w:tc>
          <w:tcPr>
            <w:tcW w:w="7291" w:type="dxa"/>
          </w:tcPr>
          <w:p w14:paraId="55D0E301" w14:textId="77777777" w:rsidR="00D52D82" w:rsidRDefault="00D52D82" w:rsidP="00F77329">
            <w:r>
              <w:t xml:space="preserve">The </w:t>
            </w:r>
            <w:r>
              <w:rPr>
                <w:i/>
              </w:rPr>
              <w:t>italic</w:t>
            </w:r>
            <w:r>
              <w:t xml:space="preserve"> phrases correspond to the red markings in the screenshots.</w:t>
            </w:r>
          </w:p>
          <w:p w14:paraId="55D0E302" w14:textId="77777777" w:rsidR="00F77329" w:rsidRDefault="00F77329" w:rsidP="00F77329">
            <w:r>
              <w:t>Please be aware that the screenshots may deviate slightly from the application</w:t>
            </w:r>
          </w:p>
        </w:tc>
      </w:tr>
      <w:tr w:rsidR="00F77329" w14:paraId="55D0E306" w14:textId="77777777" w:rsidTr="00F77329">
        <w:tc>
          <w:tcPr>
            <w:tcW w:w="1349" w:type="dxa"/>
          </w:tcPr>
          <w:p w14:paraId="55D0E304" w14:textId="77777777" w:rsidR="00F77329" w:rsidRDefault="00F77329">
            <w:r>
              <w:t>version</w:t>
            </w:r>
          </w:p>
        </w:tc>
        <w:tc>
          <w:tcPr>
            <w:tcW w:w="7291" w:type="dxa"/>
          </w:tcPr>
          <w:p w14:paraId="55D0E305" w14:textId="0C44CC1E" w:rsidR="00F77329" w:rsidRDefault="00450A1B">
            <w:r>
              <w:t>2018</w:t>
            </w:r>
            <w:r w:rsidR="00F77329">
              <w:t>-02</w:t>
            </w:r>
          </w:p>
        </w:tc>
      </w:tr>
    </w:tbl>
    <w:p w14:paraId="2FB2821A" w14:textId="620D0BFF" w:rsidR="00F337F4" w:rsidRDefault="008C1311" w:rsidP="00070D38">
      <w:pPr>
        <w:spacing w:after="80"/>
      </w:pPr>
      <w:r w:rsidRPr="008C1311">
        <w:drawing>
          <wp:anchor distT="0" distB="0" distL="114300" distR="114300" simplePos="0" relativeHeight="251726848" behindDoc="1" locked="0" layoutInCell="1" allowOverlap="1" wp14:anchorId="21DC2359" wp14:editId="75CC8C41">
            <wp:simplePos x="0" y="0"/>
            <wp:positionH relativeFrom="column">
              <wp:posOffset>4173855</wp:posOffset>
            </wp:positionH>
            <wp:positionV relativeFrom="paragraph">
              <wp:posOffset>-1703070</wp:posOffset>
            </wp:positionV>
            <wp:extent cx="2285365" cy="1323340"/>
            <wp:effectExtent l="0" t="0" r="0" b="0"/>
            <wp:wrapNone/>
            <wp:docPr id="4" name="Picture 4" descr="D:\projecten\1210326 MDBA ROWS (local, See N)\C. Report - advise\Workshops\2015-02 workshop 3 UAT, end user training\Screenshots\DELTARES_ENABLING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en\1210326 MDBA ROWS (local, See N)\C. Report - advise\Workshops\2015-02 workshop 3 UAT, end user training\Screenshots\DELTARES_ENABLING_RG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365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1311">
        <w:drawing>
          <wp:anchor distT="0" distB="0" distL="114300" distR="114300" simplePos="0" relativeHeight="251656192" behindDoc="1" locked="0" layoutInCell="1" allowOverlap="1" wp14:anchorId="56C2C111" wp14:editId="57F00254">
            <wp:simplePos x="0" y="0"/>
            <wp:positionH relativeFrom="column">
              <wp:posOffset>5667545</wp:posOffset>
            </wp:positionH>
            <wp:positionV relativeFrom="paragraph">
              <wp:posOffset>-607078</wp:posOffset>
            </wp:positionV>
            <wp:extent cx="797560" cy="781050"/>
            <wp:effectExtent l="0" t="0" r="2540" b="0"/>
            <wp:wrapNone/>
            <wp:docPr id="153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781050"/>
                    </a:xfrm>
                    <a:prstGeom prst="rect">
                      <a:avLst/>
                    </a:prstGeom>
                    <a:solidFill>
                      <a:srgbClr val="FFFF99"/>
                    </a:solidFill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2922">
        <w:br/>
      </w:r>
      <w:r w:rsidR="00F337F4">
        <w:t xml:space="preserve">Note: </w:t>
      </w:r>
      <w:r w:rsidR="008C1DFE">
        <w:t>A s</w:t>
      </w:r>
      <w:r w:rsidR="00752922">
        <w:t xml:space="preserve">hort background on the model can be found in a separate </w:t>
      </w:r>
      <w:r w:rsidR="008C1DFE">
        <w:t>HowTo.</w:t>
      </w:r>
    </w:p>
    <w:p w14:paraId="52189B4A" w14:textId="001C5ACF" w:rsidR="008C1DFE" w:rsidRDefault="00984238" w:rsidP="00070D38">
      <w:pPr>
        <w:spacing w:after="80"/>
        <w:rPr>
          <w:lang w:val="en-US"/>
        </w:rPr>
      </w:pPr>
      <w:r>
        <w:rPr>
          <w:lang w:val="en-US"/>
        </w:rPr>
        <w:t xml:space="preserve">The release </w:t>
      </w:r>
      <w:r w:rsidR="00F337F4">
        <w:rPr>
          <w:lang w:val="en-US"/>
        </w:rPr>
        <w:t>and</w:t>
      </w:r>
      <w:r>
        <w:rPr>
          <w:lang w:val="en-US"/>
        </w:rPr>
        <w:t xml:space="preserve"> inflow time series and the optimization goals can be set as a Modifier. By default, the model takes the </w:t>
      </w:r>
      <w:r w:rsidR="00817E59">
        <w:rPr>
          <w:lang w:val="en-US"/>
        </w:rPr>
        <w:t xml:space="preserve">URBS </w:t>
      </w:r>
      <w:r>
        <w:rPr>
          <w:lang w:val="en-US"/>
        </w:rPr>
        <w:t>Upper Murray Forecast unless a</w:t>
      </w:r>
      <w:r w:rsidR="00817E59">
        <w:rPr>
          <w:lang w:val="en-US"/>
        </w:rPr>
        <w:t xml:space="preserve">n inflow forecast modifier </w:t>
      </w:r>
      <w:r w:rsidR="00F337F4">
        <w:rPr>
          <w:lang w:val="en-US"/>
        </w:rPr>
        <w:t>is</w:t>
      </w:r>
      <w:r w:rsidR="00817E59">
        <w:rPr>
          <w:lang w:val="en-US"/>
        </w:rPr>
        <w:t xml:space="preserve"> </w:t>
      </w:r>
      <w:r w:rsidR="00F337F4">
        <w:rPr>
          <w:lang w:val="en-US"/>
        </w:rPr>
        <w:t>active</w:t>
      </w:r>
      <w:r w:rsidR="00817E59">
        <w:rPr>
          <w:lang w:val="en-US"/>
        </w:rPr>
        <w:t xml:space="preserve">. </w:t>
      </w:r>
    </w:p>
    <w:p w14:paraId="6FD276F6" w14:textId="09A67664" w:rsidR="00563C94" w:rsidRDefault="005277FE" w:rsidP="00070D38">
      <w:pPr>
        <w:spacing w:after="80"/>
        <w:rPr>
          <w:lang w:val="en-US"/>
        </w:rPr>
      </w:pPr>
      <w:r>
        <w:rPr>
          <w:lang w:val="en-US"/>
        </w:rPr>
        <w:t xml:space="preserve">Both the simulation </w:t>
      </w:r>
      <w:r w:rsidR="00070D38">
        <w:rPr>
          <w:lang w:val="en-US"/>
        </w:rPr>
        <w:t>and</w:t>
      </w:r>
      <w:r w:rsidR="00322936">
        <w:rPr>
          <w:lang w:val="en-US"/>
        </w:rPr>
        <w:t xml:space="preserve"> optimization model </w:t>
      </w:r>
      <w:r w:rsidR="00B33631">
        <w:rPr>
          <w:lang w:val="en-US"/>
        </w:rPr>
        <w:t xml:space="preserve">of </w:t>
      </w:r>
      <w:r>
        <w:rPr>
          <w:lang w:val="en-US"/>
        </w:rPr>
        <w:t>RTC-Tools</w:t>
      </w:r>
      <w:r w:rsidR="00B33631">
        <w:rPr>
          <w:lang w:val="en-US"/>
        </w:rPr>
        <w:t xml:space="preserve">, have been organized in three runs: </w:t>
      </w:r>
    </w:p>
    <w:p w14:paraId="07E41F71" w14:textId="21E4CE2F" w:rsidR="005277FE" w:rsidRDefault="00B33631" w:rsidP="00D101DC">
      <w:pPr>
        <w:numPr>
          <w:ilvl w:val="0"/>
          <w:numId w:val="4"/>
        </w:numPr>
        <w:spacing w:after="0"/>
        <w:ind w:left="714" w:hanging="357"/>
        <w:rPr>
          <w:lang w:val="en-US"/>
        </w:rPr>
      </w:pPr>
      <w:r>
        <w:rPr>
          <w:lang w:val="en-US"/>
        </w:rPr>
        <w:t>R</w:t>
      </w:r>
      <w:r w:rsidR="00563C94">
        <w:rPr>
          <w:lang w:val="en-US"/>
        </w:rPr>
        <w:t>un Hume Dam …: a local run to experiment with the release and other settings</w:t>
      </w:r>
    </w:p>
    <w:p w14:paraId="31B7A1DA" w14:textId="7026A473" w:rsidR="00563C94" w:rsidRDefault="00083F8F" w:rsidP="00D101DC">
      <w:pPr>
        <w:numPr>
          <w:ilvl w:val="0"/>
          <w:numId w:val="4"/>
        </w:numPr>
        <w:spacing w:after="0"/>
        <w:ind w:left="714" w:hanging="357"/>
        <w:rPr>
          <w:lang w:val="en-US"/>
        </w:rPr>
      </w:pPr>
      <w:r>
        <w:rPr>
          <w:lang w:val="en-US"/>
        </w:rPr>
        <w:t xml:space="preserve">Save Hume Dam …: to save the run </w:t>
      </w:r>
      <w:r w:rsidR="00CA4F3C">
        <w:rPr>
          <w:lang w:val="en-US"/>
        </w:rPr>
        <w:t>persistently</w:t>
      </w:r>
      <w:r>
        <w:rPr>
          <w:lang w:val="en-US"/>
        </w:rPr>
        <w:t xml:space="preserve"> on the server for sharing with others</w:t>
      </w:r>
    </w:p>
    <w:p w14:paraId="4F83C5F7" w14:textId="716517B3" w:rsidR="00A00B2B" w:rsidRDefault="00A00B2B" w:rsidP="00D101DC">
      <w:pPr>
        <w:numPr>
          <w:ilvl w:val="0"/>
          <w:numId w:val="4"/>
        </w:numPr>
        <w:spacing w:after="0"/>
        <w:ind w:left="714" w:hanging="357"/>
        <w:rPr>
          <w:lang w:val="en-US"/>
        </w:rPr>
      </w:pPr>
      <w:r>
        <w:rPr>
          <w:lang w:val="en-US"/>
        </w:rPr>
        <w:t>Run Ensemble Hume Dam …: to run the models with the URBS ensemble forecast.</w:t>
      </w:r>
    </w:p>
    <w:p w14:paraId="565F761B" w14:textId="05674A74" w:rsidR="00276977" w:rsidRDefault="00B256B0" w:rsidP="009C0826">
      <w:pPr>
        <w:rPr>
          <w:lang w:val="en-US"/>
        </w:rPr>
      </w:pPr>
      <w:r>
        <w:rPr>
          <w:noProof/>
          <w:lang w:val="en-US"/>
        </w:rPr>
        <w:object w:dxaOrig="9600" w:dyaOrig="5390" w14:anchorId="673F13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9.65pt;height:268.75pt" o:ole="">
            <v:imagedata r:id="rId9" o:title=""/>
          </v:shape>
          <o:OLEObject Type="Embed" ProgID="PowerPoint.Slide.12" ShapeID="_x0000_i1025" DrawAspect="Content" ObjectID="_1641201567" r:id="rId10"/>
        </w:object>
      </w:r>
    </w:p>
    <w:p w14:paraId="6257C49A" w14:textId="071A6FB1" w:rsidR="00114B6D" w:rsidRDefault="007E558A" w:rsidP="00CB20A7">
      <w:pPr>
        <w:spacing w:after="80" w:line="240" w:lineRule="auto"/>
        <w:rPr>
          <w:lang w:val="en-US"/>
        </w:rPr>
      </w:pPr>
      <w:r>
        <w:rPr>
          <w:lang w:val="en-US"/>
        </w:rPr>
        <w:t xml:space="preserve">Follow the </w:t>
      </w:r>
      <w:r w:rsidR="00DF041E">
        <w:rPr>
          <w:lang w:val="en-US"/>
        </w:rPr>
        <w:t xml:space="preserve">steps </w:t>
      </w:r>
      <w:r>
        <w:rPr>
          <w:lang w:val="en-US"/>
        </w:rPr>
        <w:t>below</w:t>
      </w:r>
      <w:r w:rsidR="00DF041E">
        <w:rPr>
          <w:lang w:val="en-US"/>
        </w:rPr>
        <w:t xml:space="preserve"> to conduct a run and inspect the results.</w:t>
      </w:r>
    </w:p>
    <w:p w14:paraId="61AE5546" w14:textId="7C457F6C" w:rsidR="00CA4F3C" w:rsidRDefault="00E039FD" w:rsidP="00CB20A7">
      <w:pPr>
        <w:numPr>
          <w:ilvl w:val="0"/>
          <w:numId w:val="6"/>
        </w:numPr>
        <w:spacing w:after="0"/>
        <w:ind w:left="714" w:hanging="357"/>
        <w:rPr>
          <w:lang w:val="en-US"/>
        </w:rPr>
      </w:pPr>
      <w:r>
        <w:rPr>
          <w:lang w:val="en-US"/>
        </w:rPr>
        <w:t>S</w:t>
      </w:r>
      <w:r w:rsidR="00114B6D">
        <w:rPr>
          <w:lang w:val="en-US"/>
        </w:rPr>
        <w:t xml:space="preserve">elect the node to run </w:t>
      </w:r>
      <w:r w:rsidR="007C273E">
        <w:rPr>
          <w:lang w:val="en-US"/>
        </w:rPr>
        <w:t>in the Workflows tree</w:t>
      </w:r>
      <w:r>
        <w:rPr>
          <w:lang w:val="en-US"/>
        </w:rPr>
        <w:t xml:space="preserve"> </w:t>
      </w:r>
      <w:r w:rsidR="0016461A">
        <w:rPr>
          <w:lang w:val="en-US"/>
        </w:rPr>
        <w:t xml:space="preserve">(1a) </w:t>
      </w:r>
      <w:r>
        <w:rPr>
          <w:lang w:val="en-US"/>
        </w:rPr>
        <w:t xml:space="preserve">and select the Modifiers tab </w:t>
      </w:r>
      <w:r w:rsidR="0016461A">
        <w:rPr>
          <w:lang w:val="en-US"/>
        </w:rPr>
        <w:t>(1b)</w:t>
      </w:r>
    </w:p>
    <w:p w14:paraId="50903C63" w14:textId="51118E00" w:rsidR="007C273E" w:rsidRDefault="002B7D69" w:rsidP="00CB20A7">
      <w:pPr>
        <w:numPr>
          <w:ilvl w:val="0"/>
          <w:numId w:val="6"/>
        </w:numPr>
        <w:spacing w:after="0"/>
        <w:ind w:left="714" w:hanging="357"/>
        <w:rPr>
          <w:lang w:val="en-US"/>
        </w:rPr>
      </w:pPr>
      <w:r>
        <w:rPr>
          <w:lang w:val="en-US"/>
        </w:rPr>
        <w:t>C</w:t>
      </w:r>
      <w:r w:rsidR="007C273E">
        <w:rPr>
          <w:lang w:val="en-US"/>
        </w:rPr>
        <w:t>lick the Hume Release Forecast</w:t>
      </w:r>
      <w:r w:rsidR="009E4F88">
        <w:rPr>
          <w:lang w:val="en-US"/>
        </w:rPr>
        <w:t>, the</w:t>
      </w:r>
      <w:r w:rsidR="007C273E">
        <w:rPr>
          <w:lang w:val="en-US"/>
        </w:rPr>
        <w:t xml:space="preserve"> Hume Inflow Forecast </w:t>
      </w:r>
      <w:r w:rsidR="009E4F88">
        <w:rPr>
          <w:lang w:val="en-US"/>
        </w:rPr>
        <w:t xml:space="preserve">or the </w:t>
      </w:r>
      <w:r>
        <w:rPr>
          <w:lang w:val="en-US"/>
        </w:rPr>
        <w:t>K</w:t>
      </w:r>
      <w:r w:rsidR="009E4F88">
        <w:rPr>
          <w:lang w:val="en-US"/>
        </w:rPr>
        <w:t>iewa Fo</w:t>
      </w:r>
      <w:r>
        <w:rPr>
          <w:lang w:val="en-US"/>
        </w:rPr>
        <w:t>rec</w:t>
      </w:r>
      <w:r w:rsidR="009E4F88">
        <w:rPr>
          <w:lang w:val="en-US"/>
        </w:rPr>
        <w:t>ast butto</w:t>
      </w:r>
      <w:r>
        <w:rPr>
          <w:lang w:val="en-US"/>
        </w:rPr>
        <w:t>n</w:t>
      </w:r>
      <w:r w:rsidR="0016461A">
        <w:rPr>
          <w:lang w:val="en-US"/>
        </w:rPr>
        <w:t xml:space="preserve"> (2a)</w:t>
      </w:r>
      <w:r w:rsidR="009E4F88">
        <w:rPr>
          <w:lang w:val="en-US"/>
        </w:rPr>
        <w:t>, specify the timeseries</w:t>
      </w:r>
      <w:r w:rsidR="0016461A">
        <w:rPr>
          <w:lang w:val="en-US"/>
        </w:rPr>
        <w:t xml:space="preserve"> (2b)</w:t>
      </w:r>
      <w:r w:rsidR="009E4F88">
        <w:rPr>
          <w:lang w:val="en-US"/>
        </w:rPr>
        <w:t xml:space="preserve">, </w:t>
      </w:r>
      <w:r>
        <w:rPr>
          <w:lang w:val="en-US"/>
        </w:rPr>
        <w:t xml:space="preserve">update the name </w:t>
      </w:r>
      <w:r w:rsidR="00E039FD">
        <w:rPr>
          <w:lang w:val="en-US"/>
        </w:rPr>
        <w:t xml:space="preserve">if needed </w:t>
      </w:r>
      <w:r>
        <w:rPr>
          <w:lang w:val="en-US"/>
        </w:rPr>
        <w:t>and click Apply</w:t>
      </w:r>
      <w:r w:rsidR="0016461A">
        <w:rPr>
          <w:lang w:val="en-US"/>
        </w:rPr>
        <w:t xml:space="preserve"> (2c)</w:t>
      </w:r>
    </w:p>
    <w:p w14:paraId="2B96BF3B" w14:textId="7C181532" w:rsidR="007C273E" w:rsidRDefault="00B20656" w:rsidP="00CB20A7">
      <w:pPr>
        <w:numPr>
          <w:ilvl w:val="0"/>
          <w:numId w:val="6"/>
        </w:numPr>
        <w:spacing w:after="0"/>
        <w:ind w:left="714" w:hanging="357"/>
        <w:rPr>
          <w:lang w:val="en-US"/>
        </w:rPr>
      </w:pPr>
      <w:r>
        <w:rPr>
          <w:lang w:val="en-US"/>
        </w:rPr>
        <w:t xml:space="preserve">For the </w:t>
      </w:r>
      <w:r w:rsidR="005F5957">
        <w:rPr>
          <w:lang w:val="en-US"/>
        </w:rPr>
        <w:t>optimization model, click the RTC</w:t>
      </w:r>
      <w:r w:rsidR="00F26394">
        <w:rPr>
          <w:lang w:val="en-US"/>
        </w:rPr>
        <w:t>-</w:t>
      </w:r>
      <w:r w:rsidR="005F5957">
        <w:rPr>
          <w:lang w:val="en-US"/>
        </w:rPr>
        <w:t>Tools Goals parameter button</w:t>
      </w:r>
      <w:r w:rsidR="00E81031">
        <w:rPr>
          <w:lang w:val="en-US"/>
        </w:rPr>
        <w:t xml:space="preserve"> </w:t>
      </w:r>
      <w:r w:rsidR="0016461A">
        <w:rPr>
          <w:lang w:val="en-US"/>
        </w:rPr>
        <w:t xml:space="preserve">(3a) </w:t>
      </w:r>
      <w:r w:rsidR="00E81031">
        <w:rPr>
          <w:lang w:val="en-US"/>
        </w:rPr>
        <w:t xml:space="preserve">and select which goals to include and with what priority (highest priority is most important). </w:t>
      </w:r>
      <w:r w:rsidR="00E039FD">
        <w:rPr>
          <w:lang w:val="en-US"/>
        </w:rPr>
        <w:t xml:space="preserve">Update the modifier name if needed and </w:t>
      </w:r>
      <w:r w:rsidR="00D21B0A">
        <w:rPr>
          <w:lang w:val="en-US"/>
        </w:rPr>
        <w:t xml:space="preserve">Click Apply to </w:t>
      </w:r>
      <w:r w:rsidR="00E039FD">
        <w:rPr>
          <w:lang w:val="en-US"/>
        </w:rPr>
        <w:t>save</w:t>
      </w:r>
      <w:r w:rsidR="00D21B0A">
        <w:rPr>
          <w:lang w:val="en-US"/>
        </w:rPr>
        <w:t xml:space="preserve"> your settings</w:t>
      </w:r>
      <w:r w:rsidR="0016461A">
        <w:rPr>
          <w:lang w:val="en-US"/>
        </w:rPr>
        <w:t xml:space="preserve"> (3b)</w:t>
      </w:r>
      <w:r w:rsidR="00D21B0A">
        <w:rPr>
          <w:lang w:val="en-US"/>
        </w:rPr>
        <w:t xml:space="preserve">. </w:t>
      </w:r>
    </w:p>
    <w:p w14:paraId="5FDFF4DB" w14:textId="6270ABCA" w:rsidR="007C273E" w:rsidRDefault="00484542" w:rsidP="00CB20A7">
      <w:pPr>
        <w:numPr>
          <w:ilvl w:val="0"/>
          <w:numId w:val="6"/>
        </w:numPr>
        <w:spacing w:after="0"/>
        <w:ind w:left="714" w:hanging="357"/>
        <w:rPr>
          <w:lang w:val="en-US"/>
        </w:rPr>
      </w:pPr>
      <w:r>
        <w:rPr>
          <w:lang w:val="en-US"/>
        </w:rPr>
        <w:t>R</w:t>
      </w:r>
      <w:r w:rsidR="00D21B0A">
        <w:rPr>
          <w:lang w:val="en-US"/>
        </w:rPr>
        <w:t>un the model, either via the rerun button o</w:t>
      </w:r>
      <w:r w:rsidR="00612E9C">
        <w:rPr>
          <w:lang w:val="en-US"/>
        </w:rPr>
        <w:t xml:space="preserve">n the form </w:t>
      </w:r>
      <w:r w:rsidR="0016461A">
        <w:rPr>
          <w:lang w:val="en-US"/>
        </w:rPr>
        <w:t xml:space="preserve">(4a) </w:t>
      </w:r>
      <w:r w:rsidR="00612E9C">
        <w:rPr>
          <w:lang w:val="en-US"/>
        </w:rPr>
        <w:t>or</w:t>
      </w:r>
      <w:r w:rsidR="00D21B0A">
        <w:rPr>
          <w:lang w:val="en-US"/>
        </w:rPr>
        <w:t xml:space="preserve"> </w:t>
      </w:r>
      <w:r w:rsidR="00612E9C">
        <w:rPr>
          <w:lang w:val="en-US"/>
        </w:rPr>
        <w:t>by the play-button in the workflow-tree</w:t>
      </w:r>
      <w:r w:rsidR="0016461A">
        <w:rPr>
          <w:lang w:val="en-US"/>
        </w:rPr>
        <w:t xml:space="preserve"> </w:t>
      </w:r>
      <w:r w:rsidR="00B04721">
        <w:rPr>
          <w:lang w:val="en-US"/>
        </w:rPr>
        <w:t>(4b)</w:t>
      </w:r>
    </w:p>
    <w:p w14:paraId="31C7F756" w14:textId="23A137E7" w:rsidR="00705A66" w:rsidRDefault="00705A66" w:rsidP="00CB20A7">
      <w:pPr>
        <w:numPr>
          <w:ilvl w:val="0"/>
          <w:numId w:val="6"/>
        </w:numPr>
        <w:spacing w:after="0"/>
        <w:ind w:left="714" w:hanging="357"/>
        <w:rPr>
          <w:lang w:val="en-US"/>
        </w:rPr>
      </w:pPr>
      <w:r>
        <w:rPr>
          <w:lang w:val="en-US"/>
        </w:rPr>
        <w:t>Inspect the results by selecting the Plots tab at the bottom</w:t>
      </w:r>
      <w:r w:rsidR="007E558A">
        <w:rPr>
          <w:lang w:val="en-US"/>
        </w:rPr>
        <w:t xml:space="preserve"> of the application</w:t>
      </w:r>
      <w:r w:rsidR="00B04721">
        <w:rPr>
          <w:lang w:val="en-US"/>
        </w:rPr>
        <w:t xml:space="preserve"> (5a)</w:t>
      </w:r>
    </w:p>
    <w:p w14:paraId="55D0E30A" w14:textId="155BFCCE" w:rsidR="005C383C" w:rsidRDefault="002C25E8" w:rsidP="007E558A">
      <w:r>
        <w:t xml:space="preserve">Be aware: if you have specified a manual inflow forecast as modifier, then the URBS inflow forecast is </w:t>
      </w:r>
      <w:r w:rsidR="00EE2432">
        <w:t xml:space="preserve">overruled, also for the ensemble. You can deactivate </w:t>
      </w:r>
      <w:r w:rsidR="005D7D4C">
        <w:t>the mo</w:t>
      </w:r>
      <w:r w:rsidR="00F81F81">
        <w:t>d</w:t>
      </w:r>
      <w:r w:rsidR="005D7D4C">
        <w:t xml:space="preserve">ifier </w:t>
      </w:r>
      <w:r w:rsidR="00E400DC">
        <w:t xml:space="preserve">via the checkboxes </w:t>
      </w:r>
      <w:r w:rsidR="005D7D4C">
        <w:t>in the overview table (6)</w:t>
      </w:r>
      <w:bookmarkStart w:id="1" w:name="_GoBack"/>
      <w:bookmarkEnd w:id="1"/>
    </w:p>
    <w:sectPr w:rsidR="005C383C" w:rsidSect="00F77329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B600A" w14:textId="77777777" w:rsidR="00782BA3" w:rsidRDefault="00782BA3" w:rsidP="00B256B0">
      <w:pPr>
        <w:spacing w:after="0" w:line="240" w:lineRule="auto"/>
      </w:pPr>
      <w:r>
        <w:separator/>
      </w:r>
    </w:p>
  </w:endnote>
  <w:endnote w:type="continuationSeparator" w:id="0">
    <w:p w14:paraId="26330F57" w14:textId="77777777" w:rsidR="00782BA3" w:rsidRDefault="00782BA3" w:rsidP="00B25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A9EA3D" w14:textId="77777777" w:rsidR="00782BA3" w:rsidRDefault="00782BA3" w:rsidP="00B256B0">
      <w:pPr>
        <w:spacing w:after="0" w:line="240" w:lineRule="auto"/>
      </w:pPr>
      <w:r>
        <w:separator/>
      </w:r>
    </w:p>
  </w:footnote>
  <w:footnote w:type="continuationSeparator" w:id="0">
    <w:p w14:paraId="4B44F90B" w14:textId="77777777" w:rsidR="00782BA3" w:rsidRDefault="00782BA3" w:rsidP="00B256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45EC6"/>
    <w:multiLevelType w:val="hybridMultilevel"/>
    <w:tmpl w:val="4E8A76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03D58"/>
    <w:multiLevelType w:val="hybridMultilevel"/>
    <w:tmpl w:val="3326A4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729CB"/>
    <w:multiLevelType w:val="hybridMultilevel"/>
    <w:tmpl w:val="5A76D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07D7D"/>
    <w:multiLevelType w:val="hybridMultilevel"/>
    <w:tmpl w:val="E05E3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97F96"/>
    <w:multiLevelType w:val="hybridMultilevel"/>
    <w:tmpl w:val="2F0AD930"/>
    <w:lvl w:ilvl="0" w:tplc="E9C612D0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E1355"/>
    <w:multiLevelType w:val="hybridMultilevel"/>
    <w:tmpl w:val="91806D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A4E73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F2D69CD"/>
    <w:multiLevelType w:val="hybridMultilevel"/>
    <w:tmpl w:val="4A702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A074BF"/>
    <w:multiLevelType w:val="hybridMultilevel"/>
    <w:tmpl w:val="18D04B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4C7AB4"/>
    <w:multiLevelType w:val="hybridMultilevel"/>
    <w:tmpl w:val="62E698FC"/>
    <w:lvl w:ilvl="0" w:tplc="72909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0A53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66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F64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6A7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DAF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7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21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2A1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A7E2DC8"/>
    <w:multiLevelType w:val="hybridMultilevel"/>
    <w:tmpl w:val="381603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9E3EFF"/>
    <w:multiLevelType w:val="hybridMultilevel"/>
    <w:tmpl w:val="9024461E"/>
    <w:lvl w:ilvl="0" w:tplc="EFA65F7C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2919FA"/>
    <w:multiLevelType w:val="hybridMultilevel"/>
    <w:tmpl w:val="76200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3D7BE7"/>
    <w:multiLevelType w:val="hybridMultilevel"/>
    <w:tmpl w:val="5B64A4A2"/>
    <w:lvl w:ilvl="0" w:tplc="E9C612D0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12"/>
  </w:num>
  <w:num w:numId="5">
    <w:abstractNumId w:val="7"/>
  </w:num>
  <w:num w:numId="6">
    <w:abstractNumId w:val="3"/>
  </w:num>
  <w:num w:numId="7">
    <w:abstractNumId w:val="0"/>
  </w:num>
  <w:num w:numId="8">
    <w:abstractNumId w:val="8"/>
  </w:num>
  <w:num w:numId="9">
    <w:abstractNumId w:val="1"/>
  </w:num>
  <w:num w:numId="10">
    <w:abstractNumId w:val="10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329"/>
    <w:rsid w:val="000049FC"/>
    <w:rsid w:val="00013877"/>
    <w:rsid w:val="0001528E"/>
    <w:rsid w:val="0003268C"/>
    <w:rsid w:val="000374A3"/>
    <w:rsid w:val="00070D38"/>
    <w:rsid w:val="00083F8F"/>
    <w:rsid w:val="00086A4D"/>
    <w:rsid w:val="000B7D35"/>
    <w:rsid w:val="000D5609"/>
    <w:rsid w:val="00114B6D"/>
    <w:rsid w:val="001615E8"/>
    <w:rsid w:val="00163E91"/>
    <w:rsid w:val="0016461A"/>
    <w:rsid w:val="00165F08"/>
    <w:rsid w:val="001E63A2"/>
    <w:rsid w:val="0021381B"/>
    <w:rsid w:val="00262BF7"/>
    <w:rsid w:val="00265E0E"/>
    <w:rsid w:val="00276977"/>
    <w:rsid w:val="002B67E5"/>
    <w:rsid w:val="002B7D69"/>
    <w:rsid w:val="002C25E8"/>
    <w:rsid w:val="002C7670"/>
    <w:rsid w:val="002E0B51"/>
    <w:rsid w:val="00322936"/>
    <w:rsid w:val="003522C5"/>
    <w:rsid w:val="003B15E4"/>
    <w:rsid w:val="003E2497"/>
    <w:rsid w:val="00450A1B"/>
    <w:rsid w:val="00484542"/>
    <w:rsid w:val="00484DB8"/>
    <w:rsid w:val="005277FE"/>
    <w:rsid w:val="00563C94"/>
    <w:rsid w:val="005879F1"/>
    <w:rsid w:val="00592CB7"/>
    <w:rsid w:val="005C383C"/>
    <w:rsid w:val="005D0B38"/>
    <w:rsid w:val="005D24B1"/>
    <w:rsid w:val="005D408C"/>
    <w:rsid w:val="005D7D4C"/>
    <w:rsid w:val="005F5957"/>
    <w:rsid w:val="00612E9C"/>
    <w:rsid w:val="006A1040"/>
    <w:rsid w:val="006C034C"/>
    <w:rsid w:val="006F2CFA"/>
    <w:rsid w:val="006F699C"/>
    <w:rsid w:val="00705A66"/>
    <w:rsid w:val="0073011D"/>
    <w:rsid w:val="007344A5"/>
    <w:rsid w:val="00736F09"/>
    <w:rsid w:val="00752922"/>
    <w:rsid w:val="0075314A"/>
    <w:rsid w:val="00782BA3"/>
    <w:rsid w:val="007C273E"/>
    <w:rsid w:val="007E558A"/>
    <w:rsid w:val="00817E59"/>
    <w:rsid w:val="008365AB"/>
    <w:rsid w:val="00840F0F"/>
    <w:rsid w:val="0088349A"/>
    <w:rsid w:val="008A137B"/>
    <w:rsid w:val="008C1311"/>
    <w:rsid w:val="008C1DFE"/>
    <w:rsid w:val="008D1D38"/>
    <w:rsid w:val="0091705B"/>
    <w:rsid w:val="00960A64"/>
    <w:rsid w:val="00984238"/>
    <w:rsid w:val="009A7517"/>
    <w:rsid w:val="009B5E0D"/>
    <w:rsid w:val="009C0826"/>
    <w:rsid w:val="009E4F88"/>
    <w:rsid w:val="009E60B1"/>
    <w:rsid w:val="00A00B2B"/>
    <w:rsid w:val="00A13C68"/>
    <w:rsid w:val="00A20DF6"/>
    <w:rsid w:val="00A22C9E"/>
    <w:rsid w:val="00A625C4"/>
    <w:rsid w:val="00A66B39"/>
    <w:rsid w:val="00A95D8A"/>
    <w:rsid w:val="00AB3819"/>
    <w:rsid w:val="00AE6077"/>
    <w:rsid w:val="00B04721"/>
    <w:rsid w:val="00B20656"/>
    <w:rsid w:val="00B256B0"/>
    <w:rsid w:val="00B33631"/>
    <w:rsid w:val="00B46289"/>
    <w:rsid w:val="00C05D68"/>
    <w:rsid w:val="00CA2786"/>
    <w:rsid w:val="00CA4F3C"/>
    <w:rsid w:val="00CB20A7"/>
    <w:rsid w:val="00D041F1"/>
    <w:rsid w:val="00D101DC"/>
    <w:rsid w:val="00D11B60"/>
    <w:rsid w:val="00D21B0A"/>
    <w:rsid w:val="00D2298C"/>
    <w:rsid w:val="00D52D82"/>
    <w:rsid w:val="00D765B9"/>
    <w:rsid w:val="00D904DE"/>
    <w:rsid w:val="00DA51F0"/>
    <w:rsid w:val="00DF041E"/>
    <w:rsid w:val="00E039FD"/>
    <w:rsid w:val="00E400DC"/>
    <w:rsid w:val="00E44E35"/>
    <w:rsid w:val="00E744F2"/>
    <w:rsid w:val="00E81031"/>
    <w:rsid w:val="00E813E7"/>
    <w:rsid w:val="00EE2432"/>
    <w:rsid w:val="00EE7D08"/>
    <w:rsid w:val="00EF5781"/>
    <w:rsid w:val="00EF57A0"/>
    <w:rsid w:val="00F26394"/>
    <w:rsid w:val="00F337F4"/>
    <w:rsid w:val="00F77329"/>
    <w:rsid w:val="00F81F81"/>
    <w:rsid w:val="00FA1C64"/>
    <w:rsid w:val="00FD2E67"/>
    <w:rsid w:val="00FD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0E2FA"/>
  <w15:docId w15:val="{5439CFCF-064D-415F-80D1-07FD97A0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F08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28E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786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786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786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786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786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786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786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qFormat/>
    <w:rsid w:val="000049FC"/>
    <w:pPr>
      <w:tabs>
        <w:tab w:val="left" w:pos="907"/>
      </w:tabs>
      <w:spacing w:after="0" w:line="255" w:lineRule="atLeast"/>
      <w:ind w:left="567" w:hanging="567"/>
    </w:pPr>
    <w:rPr>
      <w:rFonts w:ascii="Arial" w:eastAsia="Times New Roman" w:hAnsi="Arial" w:cs="Arial"/>
      <w:bCs/>
      <w:i/>
      <w:sz w:val="17"/>
      <w:szCs w:val="20"/>
      <w:lang w:eastAsia="en-US"/>
    </w:rPr>
  </w:style>
  <w:style w:type="character" w:customStyle="1" w:styleId="CaptionChar">
    <w:name w:val="Caption Char"/>
    <w:basedOn w:val="DefaultParagraphFont"/>
    <w:link w:val="Caption"/>
    <w:locked/>
    <w:rsid w:val="000049FC"/>
    <w:rPr>
      <w:rFonts w:ascii="Arial" w:eastAsia="Times New Roman" w:hAnsi="Arial" w:cs="Arial"/>
      <w:bCs/>
      <w:i/>
      <w:sz w:val="17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73011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65F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01528E"/>
    <w:pPr>
      <w:spacing w:after="0" w:line="240" w:lineRule="auto"/>
    </w:pPr>
    <w:rPr>
      <w:rFonts w:eastAsiaTheme="minorHAnsi"/>
      <w:lang w:val="nl-NL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1528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78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78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78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78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78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78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7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Figure">
    <w:name w:val="Figure"/>
    <w:basedOn w:val="Normal"/>
    <w:qFormat/>
    <w:rsid w:val="00013877"/>
    <w:pPr>
      <w:spacing w:before="120" w:after="120"/>
      <w:jc w:val="center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854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504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99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63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5991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192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148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PowerPoint_Slide.sl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De Kleermaeker</dc:creator>
  <cp:lastModifiedBy>Simone De Kleermaeker</cp:lastModifiedBy>
  <cp:revision>84</cp:revision>
  <cp:lastPrinted>2015-02-23T07:18:00Z</cp:lastPrinted>
  <dcterms:created xsi:type="dcterms:W3CDTF">2015-02-23T07:18:00Z</dcterms:created>
  <dcterms:modified xsi:type="dcterms:W3CDTF">2020-01-22T02:33:00Z</dcterms:modified>
</cp:coreProperties>
</file>