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1687"/>
      </w:tblGrid>
      <w:tr w:rsidR="00F77329" w:rsidTr="00FE6307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11687" w:type="dxa"/>
          </w:tcPr>
          <w:p w:rsidR="00F77329" w:rsidRDefault="006548F1" w:rsidP="00A54A68">
            <w:r>
              <w:t>Test document</w:t>
            </w:r>
          </w:p>
        </w:tc>
      </w:tr>
      <w:tr w:rsidR="00F77329" w:rsidTr="00FE6307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11687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E6307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11687" w:type="dxa"/>
          </w:tcPr>
          <w:p w:rsidR="00F77329" w:rsidRDefault="00D52D82" w:rsidP="00FE6307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  <w:r w:rsidR="00FE6307">
              <w:t xml:space="preserve"> </w:t>
            </w:r>
            <w:r w:rsidR="00F77329">
              <w:t>Please be aware that the screenshots may deviate slightly from the application</w:t>
            </w:r>
          </w:p>
        </w:tc>
      </w:tr>
      <w:tr w:rsidR="00F77329" w:rsidTr="00FE6307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11687" w:type="dxa"/>
          </w:tcPr>
          <w:p w:rsidR="00F77329" w:rsidRDefault="00F77329">
            <w:r>
              <w:t>2015-02</w:t>
            </w:r>
          </w:p>
        </w:tc>
      </w:tr>
    </w:tbl>
    <w:p w:rsidR="00846088" w:rsidRDefault="00FE6307" w:rsidP="00846088">
      <w:pPr>
        <w:jc w:val="center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3C12E9"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5DDA9411" wp14:editId="256F36E8">
            <wp:simplePos x="0" y="0"/>
            <wp:positionH relativeFrom="column">
              <wp:posOffset>7157085</wp:posOffset>
            </wp:positionH>
            <wp:positionV relativeFrom="paragraph">
              <wp:posOffset>-1758730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2E9"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6FA10DB1" wp14:editId="10974533">
            <wp:simplePos x="0" y="0"/>
            <wp:positionH relativeFrom="column">
              <wp:posOffset>8111490</wp:posOffset>
            </wp:positionH>
            <wp:positionV relativeFrom="paragraph">
              <wp:posOffset>-389255</wp:posOffset>
            </wp:positionV>
            <wp:extent cx="1152525" cy="781050"/>
            <wp:effectExtent l="0" t="0" r="9525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" t="12384" r="12613" b="13548"/>
                    <a:stretch/>
                  </pic:blipFill>
                  <pic:spPr bwMode="auto"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A4D">
        <w:br/>
      </w:r>
    </w:p>
    <w:p w:rsidR="00846088" w:rsidRPr="008D620D" w:rsidRDefault="00846088" w:rsidP="00846088">
      <w:pPr>
        <w:jc w:val="center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8D620D">
        <w:rPr>
          <w:rFonts w:ascii="Calibri" w:eastAsia="Calibri" w:hAnsi="Calibri" w:cs="Times New Roman"/>
          <w:b/>
          <w:sz w:val="24"/>
          <w:szCs w:val="24"/>
          <w:u w:val="single"/>
        </w:rPr>
        <w:t>Model Initialization</w:t>
      </w:r>
    </w:p>
    <w:p w:rsidR="00846088" w:rsidRDefault="00846088" w:rsidP="0084608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025DCB">
        <w:rPr>
          <w:rFonts w:ascii="Calibri" w:eastAsia="Calibri" w:hAnsi="Calibri" w:cs="Times New Roman"/>
          <w:sz w:val="24"/>
          <w:szCs w:val="24"/>
        </w:rPr>
        <w:t>URBS is a semi-distributed</w:t>
      </w:r>
      <w:r>
        <w:rPr>
          <w:rFonts w:ascii="Calibri" w:eastAsia="Calibri" w:hAnsi="Calibri" w:cs="Times New Roman"/>
          <w:sz w:val="24"/>
          <w:szCs w:val="24"/>
        </w:rPr>
        <w:t xml:space="preserve">, event based, </w:t>
      </w:r>
      <w:r w:rsidRPr="00025DCB">
        <w:rPr>
          <w:rFonts w:ascii="Calibri" w:eastAsia="Calibri" w:hAnsi="Calibri" w:cs="Times New Roman"/>
          <w:sz w:val="24"/>
          <w:szCs w:val="24"/>
        </w:rPr>
        <w:t>non-linear network model which has been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025DCB">
        <w:rPr>
          <w:rFonts w:ascii="Calibri" w:eastAsia="Calibri" w:hAnsi="Calibri" w:cs="Times New Roman"/>
          <w:sz w:val="24"/>
          <w:szCs w:val="24"/>
        </w:rPr>
        <w:t xml:space="preserve">incorporated into the FEWS flood modelling platform for </w:t>
      </w:r>
      <w:r>
        <w:rPr>
          <w:rFonts w:ascii="Calibri" w:eastAsia="Calibri" w:hAnsi="Calibri" w:cs="Times New Roman"/>
          <w:sz w:val="24"/>
          <w:szCs w:val="24"/>
        </w:rPr>
        <w:t xml:space="preserve">the </w:t>
      </w:r>
      <w:r w:rsidRPr="00025DCB">
        <w:rPr>
          <w:rFonts w:ascii="Calibri" w:eastAsia="Calibri" w:hAnsi="Calibri" w:cs="Times New Roman"/>
          <w:sz w:val="24"/>
          <w:szCs w:val="24"/>
        </w:rPr>
        <w:t>real time</w:t>
      </w:r>
      <w:r>
        <w:rPr>
          <w:rFonts w:ascii="Calibri" w:eastAsia="Calibri" w:hAnsi="Calibri" w:cs="Times New Roman"/>
          <w:sz w:val="24"/>
          <w:szCs w:val="24"/>
        </w:rPr>
        <w:t xml:space="preserve"> operation</w:t>
      </w:r>
      <w:r w:rsidRPr="00025DCB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following are the steps for the model initialization.</w:t>
      </w:r>
    </w:p>
    <w:p w:rsidR="00846088" w:rsidRPr="0037390C" w:rsidRDefault="00846088" w:rsidP="00846088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Steps:</w:t>
      </w:r>
    </w:p>
    <w:p w:rsidR="00846088" w:rsidRPr="00B370E1" w:rsidRDefault="00846088" w:rsidP="008460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B370E1">
        <w:rPr>
          <w:rFonts w:ascii="Calibri" w:eastAsia="Calibri" w:hAnsi="Calibri" w:cs="Times New Roman"/>
          <w:sz w:val="24"/>
          <w:szCs w:val="24"/>
        </w:rPr>
        <w:t>Select an event start date 2 days before the onset of any rainfall.</w:t>
      </w:r>
    </w:p>
    <w:p w:rsidR="00846088" w:rsidRPr="00B370E1" w:rsidRDefault="00846088" w:rsidP="008460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B370E1">
        <w:rPr>
          <w:rFonts w:ascii="Calibri" w:eastAsia="Calibri" w:hAnsi="Calibri" w:cs="Times New Roman"/>
          <w:sz w:val="24"/>
          <w:szCs w:val="24"/>
        </w:rPr>
        <w:t>Select an initial baseflow value for Dartmouth and Hume Dam such that you get a fit to the observed water level in either dam using the baseflow values</w:t>
      </w:r>
      <w:r>
        <w:rPr>
          <w:rFonts w:ascii="Calibri" w:eastAsia="Calibri" w:hAnsi="Calibri" w:cs="Times New Roman"/>
          <w:sz w:val="24"/>
          <w:szCs w:val="24"/>
        </w:rPr>
        <w:t xml:space="preserve"> (See Figure 1.1 and 1.2)</w:t>
      </w:r>
      <w:r w:rsidRPr="00B370E1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B370E1">
        <w:rPr>
          <w:rFonts w:ascii="Calibri" w:eastAsia="Calibri" w:hAnsi="Calibri" w:cs="Times New Roman"/>
          <w:sz w:val="24"/>
          <w:szCs w:val="24"/>
        </w:rPr>
        <w:t>Adjust if necessary.</w:t>
      </w:r>
    </w:p>
    <w:p w:rsidR="00846088" w:rsidRPr="00B370E1" w:rsidRDefault="00846088" w:rsidP="008460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B370E1">
        <w:rPr>
          <w:rFonts w:ascii="Calibri" w:eastAsia="Calibri" w:hAnsi="Calibri" w:cs="Times New Roman"/>
          <w:sz w:val="24"/>
          <w:szCs w:val="24"/>
        </w:rPr>
        <w:t xml:space="preserve">Select an </w:t>
      </w:r>
      <w:r>
        <w:rPr>
          <w:rFonts w:ascii="Calibri" w:eastAsia="Calibri" w:hAnsi="Calibri" w:cs="Times New Roman"/>
          <w:sz w:val="24"/>
          <w:szCs w:val="24"/>
        </w:rPr>
        <w:t>Initial Loss (</w:t>
      </w:r>
      <w:r w:rsidRPr="00B370E1">
        <w:rPr>
          <w:rFonts w:ascii="Calibri" w:eastAsia="Calibri" w:hAnsi="Calibri" w:cs="Times New Roman"/>
          <w:sz w:val="24"/>
          <w:szCs w:val="24"/>
        </w:rPr>
        <w:t>IL</w:t>
      </w:r>
      <w:r>
        <w:rPr>
          <w:rFonts w:ascii="Calibri" w:eastAsia="Calibri" w:hAnsi="Calibri" w:cs="Times New Roman"/>
          <w:sz w:val="24"/>
          <w:szCs w:val="24"/>
        </w:rPr>
        <w:t>)</w:t>
      </w:r>
      <w:r w:rsidRPr="00B370E1">
        <w:rPr>
          <w:rFonts w:ascii="Calibri" w:eastAsia="Calibri" w:hAnsi="Calibri" w:cs="Times New Roman"/>
          <w:sz w:val="24"/>
          <w:szCs w:val="24"/>
        </w:rPr>
        <w:t xml:space="preserve"> value based on the AWRA root zone moisture content </w:t>
      </w:r>
      <w:r>
        <w:rPr>
          <w:rFonts w:ascii="Calibri" w:eastAsia="Calibri" w:hAnsi="Calibri" w:cs="Times New Roman"/>
          <w:sz w:val="24"/>
          <w:szCs w:val="24"/>
        </w:rPr>
        <w:t>on</w:t>
      </w:r>
      <w:r w:rsidRPr="00B370E1">
        <w:rPr>
          <w:rFonts w:ascii="Calibri" w:eastAsia="Calibri" w:hAnsi="Calibri" w:cs="Times New Roman"/>
          <w:sz w:val="24"/>
          <w:szCs w:val="24"/>
        </w:rPr>
        <w:t xml:space="preserve"> the event start</w:t>
      </w:r>
      <w:r>
        <w:rPr>
          <w:rFonts w:ascii="Calibri" w:eastAsia="Calibri" w:hAnsi="Calibri" w:cs="Times New Roman"/>
          <w:sz w:val="24"/>
          <w:szCs w:val="24"/>
        </w:rPr>
        <w:t xml:space="preserve"> day</w:t>
      </w:r>
      <w:r w:rsidRPr="00B370E1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(See Figure 2.1, 2.2, 2.3</w:t>
      </w:r>
      <w:r w:rsidR="000C1D45">
        <w:rPr>
          <w:rFonts w:ascii="Calibri" w:eastAsia="Calibri" w:hAnsi="Calibri" w:cs="Times New Roman"/>
          <w:sz w:val="24"/>
          <w:szCs w:val="24"/>
        </w:rPr>
        <w:t>, 2.4</w:t>
      </w:r>
      <w:r>
        <w:rPr>
          <w:rFonts w:ascii="Calibri" w:eastAsia="Calibri" w:hAnsi="Calibri" w:cs="Times New Roman"/>
          <w:sz w:val="24"/>
          <w:szCs w:val="24"/>
        </w:rPr>
        <w:t xml:space="preserve"> for IL estimation over Mitta Mitta</w:t>
      </w:r>
      <w:r w:rsidR="005E11D3">
        <w:rPr>
          <w:rFonts w:ascii="Calibri" w:eastAsia="Calibri" w:hAnsi="Calibri" w:cs="Times New Roman"/>
          <w:sz w:val="24"/>
          <w:szCs w:val="24"/>
        </w:rPr>
        <w:t xml:space="preserve"> to Colemans</w:t>
      </w:r>
      <w:r>
        <w:rPr>
          <w:rFonts w:ascii="Calibri" w:eastAsia="Calibri" w:hAnsi="Calibri" w:cs="Times New Roman"/>
          <w:sz w:val="24"/>
          <w:szCs w:val="24"/>
        </w:rPr>
        <w:t>,</w:t>
      </w:r>
      <w:r w:rsidR="005E11D3">
        <w:rPr>
          <w:rFonts w:ascii="Calibri" w:eastAsia="Calibri" w:hAnsi="Calibri" w:cs="Times New Roman"/>
          <w:sz w:val="24"/>
          <w:szCs w:val="24"/>
        </w:rPr>
        <w:t xml:space="preserve"> Mitta Mitta to Tallandoon, To R_jingellic </w:t>
      </w:r>
      <w:r>
        <w:rPr>
          <w:rFonts w:ascii="Calibri" w:eastAsia="Calibri" w:hAnsi="Calibri" w:cs="Times New Roman"/>
          <w:sz w:val="24"/>
          <w:szCs w:val="24"/>
        </w:rPr>
        <w:t>and Below Hume sub-catchment respectively)</w:t>
      </w:r>
    </w:p>
    <w:p w:rsidR="00846088" w:rsidRPr="00B370E1" w:rsidRDefault="00846088" w:rsidP="008460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B370E1">
        <w:rPr>
          <w:rFonts w:ascii="Calibri" w:eastAsia="Calibri" w:hAnsi="Calibri" w:cs="Times New Roman"/>
          <w:sz w:val="24"/>
          <w:szCs w:val="24"/>
        </w:rPr>
        <w:t>As rain starts to fall and water levels start to rise, adjust the adopted initial loss value if necessary from (c) to get a better fit to the observations.</w:t>
      </w:r>
    </w:p>
    <w:p w:rsidR="00846088" w:rsidRPr="00FC65ED" w:rsidRDefault="00846088" w:rsidP="00846088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C47530">
        <w:rPr>
          <w:rFonts w:ascii="Calibri" w:eastAsia="Calibri" w:hAnsi="Calibri" w:cs="Times New Roman"/>
          <w:sz w:val="24"/>
          <w:szCs w:val="24"/>
        </w:rPr>
        <w:t>Item (d) may need to be repeated as more rain occurs.</w:t>
      </w:r>
    </w:p>
    <w:p w:rsidR="00FC65ED" w:rsidRPr="00FC65ED" w:rsidRDefault="00FC65ED" w:rsidP="00FC65ED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FC65ED">
        <w:rPr>
          <w:rFonts w:ascii="Calibri" w:eastAsia="Calibri" w:hAnsi="Calibri" w:cs="Times New Roman"/>
          <w:sz w:val="24"/>
          <w:szCs w:val="24"/>
        </w:rPr>
        <w:t>* Recommended routing parameter values are provided in Table 1.0.</w:t>
      </w:r>
    </w:p>
    <w:p w:rsidR="00846088" w:rsidRDefault="00846088" w:rsidP="00846088">
      <w:pPr>
        <w:pStyle w:val="ListParagraph"/>
        <w:jc w:val="both"/>
      </w:pPr>
    </w:p>
    <w:p w:rsidR="00846088" w:rsidRPr="00C47530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424CD0F1" wp14:editId="17F883DF">
            <wp:extent cx="8017768" cy="5234200"/>
            <wp:effectExtent l="19050" t="19050" r="2159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9974" cy="525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088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>Figure 1</w:t>
      </w:r>
      <w:r>
        <w:rPr>
          <w:rFonts w:ascii="Calibri" w:eastAsia="Calibri" w:hAnsi="Calibri" w:cs="Times New Roman"/>
          <w:sz w:val="24"/>
          <w:szCs w:val="24"/>
        </w:rPr>
        <w:t>.1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Dartmouth </w:t>
      </w:r>
      <w:r>
        <w:rPr>
          <w:rFonts w:ascii="Calibri" w:eastAsia="Calibri" w:hAnsi="Calibri" w:cs="Times New Roman"/>
          <w:sz w:val="24"/>
          <w:szCs w:val="24"/>
        </w:rPr>
        <w:t xml:space="preserve">Dam </w:t>
      </w:r>
      <w:r w:rsidRPr="00C47530">
        <w:rPr>
          <w:rFonts w:ascii="Calibri" w:eastAsia="Calibri" w:hAnsi="Calibri" w:cs="Times New Roman"/>
          <w:sz w:val="24"/>
          <w:szCs w:val="24"/>
        </w:rPr>
        <w:t>Baseflow</w:t>
      </w:r>
    </w:p>
    <w:p w:rsidR="00846088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33E7BF14" wp14:editId="5C9A3D87">
            <wp:extent cx="8097606" cy="5286320"/>
            <wp:effectExtent l="19050" t="19050" r="177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929" cy="53100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088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 xml:space="preserve">Figure </w:t>
      </w:r>
      <w:r>
        <w:rPr>
          <w:rFonts w:ascii="Calibri" w:eastAsia="Calibri" w:hAnsi="Calibri" w:cs="Times New Roman"/>
          <w:sz w:val="24"/>
          <w:szCs w:val="24"/>
        </w:rPr>
        <w:t>1.2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</w:t>
      </w:r>
      <w:r>
        <w:rPr>
          <w:rFonts w:ascii="Calibri" w:eastAsia="Calibri" w:hAnsi="Calibri" w:cs="Times New Roman"/>
          <w:sz w:val="24"/>
          <w:szCs w:val="24"/>
        </w:rPr>
        <w:t xml:space="preserve">Hume Dam </w:t>
      </w:r>
      <w:r w:rsidRPr="00C47530">
        <w:rPr>
          <w:rFonts w:ascii="Calibri" w:eastAsia="Calibri" w:hAnsi="Calibri" w:cs="Times New Roman"/>
          <w:sz w:val="24"/>
          <w:szCs w:val="24"/>
        </w:rPr>
        <w:t>Baseflow</w:t>
      </w:r>
    </w:p>
    <w:p w:rsidR="00846088" w:rsidRDefault="00EE4930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EE49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65473EE8" wp14:editId="6DE35B48">
            <wp:extent cx="7669222" cy="5155626"/>
            <wp:effectExtent l="19050" t="19050" r="27305" b="260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4356" cy="519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088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 xml:space="preserve">Figure </w:t>
      </w:r>
      <w:r>
        <w:rPr>
          <w:rFonts w:ascii="Calibri" w:eastAsia="Calibri" w:hAnsi="Calibri" w:cs="Times New Roman"/>
          <w:sz w:val="24"/>
          <w:szCs w:val="24"/>
        </w:rPr>
        <w:t>2.1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</w:t>
      </w:r>
      <w:r>
        <w:rPr>
          <w:rFonts w:ascii="Calibri" w:eastAsia="Calibri" w:hAnsi="Calibri" w:cs="Times New Roman"/>
          <w:sz w:val="24"/>
          <w:szCs w:val="24"/>
        </w:rPr>
        <w:t xml:space="preserve">Loss estimation from AWRA RZSM over </w:t>
      </w:r>
      <w:r w:rsidR="00EE4930">
        <w:rPr>
          <w:rFonts w:ascii="Calibri" w:eastAsia="Calibri" w:hAnsi="Calibri" w:cs="Times New Roman"/>
          <w:sz w:val="24"/>
          <w:szCs w:val="24"/>
        </w:rPr>
        <w:t>“</w:t>
      </w:r>
      <w:r>
        <w:rPr>
          <w:rFonts w:ascii="Calibri" w:eastAsia="Calibri" w:hAnsi="Calibri" w:cs="Times New Roman"/>
          <w:sz w:val="24"/>
          <w:szCs w:val="24"/>
        </w:rPr>
        <w:t>Mitta Mitta</w:t>
      </w:r>
      <w:r w:rsidR="00EE4930">
        <w:rPr>
          <w:rFonts w:ascii="Calibri" w:eastAsia="Calibri" w:hAnsi="Calibri" w:cs="Times New Roman"/>
          <w:sz w:val="24"/>
          <w:szCs w:val="24"/>
        </w:rPr>
        <w:t xml:space="preserve"> to Colemans”</w:t>
      </w:r>
      <w:r>
        <w:rPr>
          <w:rFonts w:ascii="Calibri" w:eastAsia="Calibri" w:hAnsi="Calibri" w:cs="Times New Roman"/>
          <w:sz w:val="24"/>
          <w:szCs w:val="24"/>
        </w:rPr>
        <w:t xml:space="preserve"> sub-catchment.</w:t>
      </w:r>
    </w:p>
    <w:p w:rsidR="00EE4930" w:rsidRDefault="00EE4930" w:rsidP="00EE4930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EE49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492BDDD8" wp14:editId="6869F123">
            <wp:extent cx="7594810" cy="5322050"/>
            <wp:effectExtent l="19050" t="19050" r="2540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4227" cy="537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930" w:rsidRDefault="00EE4930" w:rsidP="00EE4930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 xml:space="preserve">Figure </w:t>
      </w:r>
      <w:r>
        <w:rPr>
          <w:rFonts w:ascii="Calibri" w:eastAsia="Calibri" w:hAnsi="Calibri" w:cs="Times New Roman"/>
          <w:sz w:val="24"/>
          <w:szCs w:val="24"/>
        </w:rPr>
        <w:t>2.2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</w:t>
      </w:r>
      <w:r>
        <w:rPr>
          <w:rFonts w:ascii="Calibri" w:eastAsia="Calibri" w:hAnsi="Calibri" w:cs="Times New Roman"/>
          <w:sz w:val="24"/>
          <w:szCs w:val="24"/>
        </w:rPr>
        <w:t>Loss estimation from AWRA RZSM over “Mitta Mitta to Tallandoon” sub-catchment.</w:t>
      </w:r>
    </w:p>
    <w:p w:rsidR="00846088" w:rsidRDefault="00EE4930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EE49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35F5DE3C" wp14:editId="35CCFDEE">
            <wp:extent cx="7722150" cy="5181970"/>
            <wp:effectExtent l="19050" t="19050" r="12700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40491" cy="5194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4930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 xml:space="preserve">Figure </w:t>
      </w:r>
      <w:r>
        <w:rPr>
          <w:rFonts w:ascii="Calibri" w:eastAsia="Calibri" w:hAnsi="Calibri" w:cs="Times New Roman"/>
          <w:sz w:val="24"/>
          <w:szCs w:val="24"/>
        </w:rPr>
        <w:t>2.</w:t>
      </w:r>
      <w:r w:rsidR="00EE4930">
        <w:rPr>
          <w:rFonts w:ascii="Calibri" w:eastAsia="Calibri" w:hAnsi="Calibri" w:cs="Times New Roman"/>
          <w:sz w:val="24"/>
          <w:szCs w:val="24"/>
        </w:rPr>
        <w:t>3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</w:t>
      </w:r>
      <w:r>
        <w:rPr>
          <w:rFonts w:ascii="Calibri" w:eastAsia="Calibri" w:hAnsi="Calibri" w:cs="Times New Roman"/>
          <w:sz w:val="24"/>
          <w:szCs w:val="24"/>
        </w:rPr>
        <w:t xml:space="preserve">Loss estimation from AWRA RZSM over </w:t>
      </w:r>
      <w:r w:rsidR="00EE4930">
        <w:rPr>
          <w:rFonts w:ascii="Calibri" w:eastAsia="Calibri" w:hAnsi="Calibri" w:cs="Times New Roman"/>
          <w:sz w:val="24"/>
          <w:szCs w:val="24"/>
        </w:rPr>
        <w:t xml:space="preserve">“To R_Jingellic” </w:t>
      </w:r>
      <w:r>
        <w:rPr>
          <w:rFonts w:ascii="Calibri" w:eastAsia="Calibri" w:hAnsi="Calibri" w:cs="Times New Roman"/>
          <w:sz w:val="24"/>
          <w:szCs w:val="24"/>
        </w:rPr>
        <w:t>sub-catchment.</w:t>
      </w:r>
    </w:p>
    <w:p w:rsidR="00846088" w:rsidRDefault="00EE4930" w:rsidP="00EE4930">
      <w:pPr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br w:type="page"/>
      </w:r>
      <w:r w:rsidRPr="00EE4930">
        <w:rPr>
          <w:rFonts w:ascii="Calibri" w:eastAsia="Calibri" w:hAnsi="Calibri" w:cs="Times New Roman"/>
          <w:noProof/>
          <w:sz w:val="24"/>
          <w:szCs w:val="24"/>
          <w:lang w:val="en-AU" w:eastAsia="en-AU"/>
        </w:rPr>
        <w:lastRenderedPageBreak/>
        <w:drawing>
          <wp:inline distT="0" distB="0" distL="0" distR="0" wp14:anchorId="4816A327" wp14:editId="26A56947">
            <wp:extent cx="7627084" cy="5118176"/>
            <wp:effectExtent l="19050" t="19050" r="12065" b="2540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77926" cy="515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65ED" w:rsidRDefault="00846088" w:rsidP="00846088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C47530">
        <w:rPr>
          <w:rFonts w:ascii="Calibri" w:eastAsia="Calibri" w:hAnsi="Calibri" w:cs="Times New Roman"/>
          <w:sz w:val="24"/>
          <w:szCs w:val="24"/>
        </w:rPr>
        <w:t xml:space="preserve">Figure </w:t>
      </w:r>
      <w:r>
        <w:rPr>
          <w:rFonts w:ascii="Calibri" w:eastAsia="Calibri" w:hAnsi="Calibri" w:cs="Times New Roman"/>
          <w:sz w:val="24"/>
          <w:szCs w:val="24"/>
        </w:rPr>
        <w:t>2.</w:t>
      </w:r>
      <w:r w:rsidR="00EE4930">
        <w:rPr>
          <w:rFonts w:ascii="Calibri" w:eastAsia="Calibri" w:hAnsi="Calibri" w:cs="Times New Roman"/>
          <w:sz w:val="24"/>
          <w:szCs w:val="24"/>
        </w:rPr>
        <w:t>4</w:t>
      </w:r>
      <w:r w:rsidRPr="00C47530">
        <w:rPr>
          <w:rFonts w:ascii="Calibri" w:eastAsia="Calibri" w:hAnsi="Calibri" w:cs="Times New Roman"/>
          <w:sz w:val="24"/>
          <w:szCs w:val="24"/>
        </w:rPr>
        <w:t xml:space="preserve">: Initial </w:t>
      </w:r>
      <w:r>
        <w:rPr>
          <w:rFonts w:ascii="Calibri" w:eastAsia="Calibri" w:hAnsi="Calibri" w:cs="Times New Roman"/>
          <w:sz w:val="24"/>
          <w:szCs w:val="24"/>
        </w:rPr>
        <w:t>Loss estimation from AWRA RZSM over Below Hume Dam sub-catchment.</w:t>
      </w:r>
    </w:p>
    <w:p w:rsidR="00FC65ED" w:rsidRDefault="00FC65ED" w:rsidP="00FC65ED">
      <w:pPr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br w:type="page"/>
      </w:r>
      <w:r>
        <w:rPr>
          <w:rFonts w:ascii="Calibri" w:eastAsia="Calibri" w:hAnsi="Calibri" w:cs="Times New Roman"/>
          <w:sz w:val="24"/>
          <w:szCs w:val="24"/>
        </w:rPr>
        <w:lastRenderedPageBreak/>
        <w:t>Table 1.0: Recommended routing parameters for the model shown in the table below.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977"/>
        <w:gridCol w:w="2410"/>
        <w:gridCol w:w="2551"/>
        <w:gridCol w:w="3261"/>
      </w:tblGrid>
      <w:tr w:rsidR="00FC65ED" w:rsidTr="00FC65ED">
        <w:tc>
          <w:tcPr>
            <w:tcW w:w="2977" w:type="dxa"/>
            <w:shd w:val="clear" w:color="auto" w:fill="D9D9D9" w:themeFill="background1" w:themeFillShade="D9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Model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Channel Routing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α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Sub-area routing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β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Sub-area routing exponent (m)</w:t>
            </w:r>
          </w:p>
        </w:tc>
      </w:tr>
      <w:tr w:rsidR="00FC65ED" w:rsidTr="00FC65ED">
        <w:tc>
          <w:tcPr>
            <w:tcW w:w="2977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Mitta Mitta to Colemans</w:t>
            </w:r>
          </w:p>
        </w:tc>
        <w:tc>
          <w:tcPr>
            <w:tcW w:w="2410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0.27</w:t>
            </w:r>
          </w:p>
        </w:tc>
        <w:tc>
          <w:tcPr>
            <w:tcW w:w="255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4.0</w:t>
            </w:r>
          </w:p>
        </w:tc>
        <w:tc>
          <w:tcPr>
            <w:tcW w:w="326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0.8</w:t>
            </w:r>
          </w:p>
        </w:tc>
      </w:tr>
      <w:tr w:rsidR="00FC65ED" w:rsidTr="00FC65ED">
        <w:tc>
          <w:tcPr>
            <w:tcW w:w="2977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Mitta Mitta to Tallandoon</w:t>
            </w:r>
          </w:p>
        </w:tc>
        <w:tc>
          <w:tcPr>
            <w:tcW w:w="2410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0.27</w:t>
            </w:r>
          </w:p>
        </w:tc>
        <w:tc>
          <w:tcPr>
            <w:tcW w:w="255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4.0</w:t>
            </w:r>
          </w:p>
        </w:tc>
        <w:tc>
          <w:tcPr>
            <w:tcW w:w="326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0.8</w:t>
            </w:r>
          </w:p>
        </w:tc>
      </w:tr>
      <w:tr w:rsidR="00FC65ED" w:rsidTr="00FC65ED">
        <w:tc>
          <w:tcPr>
            <w:tcW w:w="2977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To R_Jingellic</w:t>
            </w:r>
          </w:p>
        </w:tc>
        <w:tc>
          <w:tcPr>
            <w:tcW w:w="2410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0.30</w:t>
            </w:r>
          </w:p>
        </w:tc>
        <w:tc>
          <w:tcPr>
            <w:tcW w:w="255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4.0</w:t>
            </w:r>
          </w:p>
        </w:tc>
        <w:tc>
          <w:tcPr>
            <w:tcW w:w="326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0.8</w:t>
            </w:r>
          </w:p>
        </w:tc>
      </w:tr>
      <w:tr w:rsidR="00FC65ED" w:rsidTr="00FC65ED">
        <w:tc>
          <w:tcPr>
            <w:tcW w:w="2977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To Hume</w:t>
            </w:r>
          </w:p>
        </w:tc>
        <w:tc>
          <w:tcPr>
            <w:tcW w:w="2410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0.25</w:t>
            </w:r>
          </w:p>
        </w:tc>
        <w:tc>
          <w:tcPr>
            <w:tcW w:w="255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4.0</w:t>
            </w:r>
          </w:p>
        </w:tc>
        <w:tc>
          <w:tcPr>
            <w:tcW w:w="326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0.8</w:t>
            </w:r>
          </w:p>
        </w:tc>
      </w:tr>
      <w:tr w:rsidR="00FC65ED" w:rsidTr="00FC65ED">
        <w:tc>
          <w:tcPr>
            <w:tcW w:w="2977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Below Hume</w:t>
            </w:r>
          </w:p>
        </w:tc>
        <w:tc>
          <w:tcPr>
            <w:tcW w:w="2410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0.36</w:t>
            </w:r>
          </w:p>
        </w:tc>
        <w:tc>
          <w:tcPr>
            <w:tcW w:w="255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4.3</w:t>
            </w:r>
          </w:p>
        </w:tc>
        <w:tc>
          <w:tcPr>
            <w:tcW w:w="3261" w:type="dxa"/>
          </w:tcPr>
          <w:p w:rsidR="00FC65ED" w:rsidRDefault="00FC65ED" w:rsidP="00FC65ED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0.8</w:t>
            </w:r>
          </w:p>
        </w:tc>
      </w:tr>
    </w:tbl>
    <w:p w:rsidR="00FC65ED" w:rsidRDefault="00FC65ED">
      <w:pPr>
        <w:rPr>
          <w:rFonts w:ascii="Calibri" w:eastAsia="Calibri" w:hAnsi="Calibri" w:cs="Times New Roman"/>
          <w:sz w:val="24"/>
          <w:szCs w:val="24"/>
        </w:rPr>
      </w:pPr>
    </w:p>
    <w:p w:rsidR="00FC65ED" w:rsidRDefault="00FC65ED">
      <w:pPr>
        <w:rPr>
          <w:rFonts w:ascii="Calibri" w:eastAsia="Calibri" w:hAnsi="Calibri" w:cs="Times New Roman"/>
          <w:sz w:val="24"/>
          <w:szCs w:val="24"/>
        </w:rPr>
      </w:pPr>
      <w:bookmarkStart w:id="0" w:name="_GoBack"/>
      <w:bookmarkEnd w:id="0"/>
    </w:p>
    <w:p w:rsidR="00DB6A7D" w:rsidRPr="00DB6A7D" w:rsidRDefault="00DB6A7D" w:rsidP="00846088">
      <w:pPr>
        <w:jc w:val="center"/>
        <w:rPr>
          <w:lang w:val="en-US"/>
        </w:rPr>
      </w:pPr>
    </w:p>
    <w:sectPr w:rsidR="00DB6A7D" w:rsidRPr="00DB6A7D" w:rsidSect="00846088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930" w:rsidRDefault="00EE4930" w:rsidP="00EE4930">
      <w:pPr>
        <w:spacing w:after="0" w:line="240" w:lineRule="auto"/>
      </w:pPr>
      <w:r>
        <w:separator/>
      </w:r>
    </w:p>
  </w:endnote>
  <w:endnote w:type="continuationSeparator" w:id="0">
    <w:p w:rsidR="00EE4930" w:rsidRDefault="00EE4930" w:rsidP="00E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930" w:rsidRDefault="00EE4930" w:rsidP="00EE4930">
      <w:pPr>
        <w:spacing w:after="0" w:line="240" w:lineRule="auto"/>
      </w:pPr>
      <w:r>
        <w:separator/>
      </w:r>
    </w:p>
  </w:footnote>
  <w:footnote w:type="continuationSeparator" w:id="0">
    <w:p w:rsidR="00EE4930" w:rsidRDefault="00EE4930" w:rsidP="00EE4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73C1"/>
    <w:multiLevelType w:val="hybridMultilevel"/>
    <w:tmpl w:val="0C64B39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3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29"/>
    <w:rsid w:val="00084B12"/>
    <w:rsid w:val="00086A4D"/>
    <w:rsid w:val="000B7D35"/>
    <w:rsid w:val="000C1D45"/>
    <w:rsid w:val="001124B5"/>
    <w:rsid w:val="001E63A2"/>
    <w:rsid w:val="00305088"/>
    <w:rsid w:val="003B15E4"/>
    <w:rsid w:val="003C12E9"/>
    <w:rsid w:val="00412C26"/>
    <w:rsid w:val="005879F1"/>
    <w:rsid w:val="005D0B38"/>
    <w:rsid w:val="005D24B1"/>
    <w:rsid w:val="005E11D3"/>
    <w:rsid w:val="005F2FF3"/>
    <w:rsid w:val="006548F1"/>
    <w:rsid w:val="006A1040"/>
    <w:rsid w:val="008365AB"/>
    <w:rsid w:val="00846088"/>
    <w:rsid w:val="008D1D38"/>
    <w:rsid w:val="00976639"/>
    <w:rsid w:val="00994B73"/>
    <w:rsid w:val="009B5E0D"/>
    <w:rsid w:val="00A20DF6"/>
    <w:rsid w:val="00A54A68"/>
    <w:rsid w:val="00B925AE"/>
    <w:rsid w:val="00CF4B8C"/>
    <w:rsid w:val="00D11B60"/>
    <w:rsid w:val="00D2298C"/>
    <w:rsid w:val="00D52D82"/>
    <w:rsid w:val="00D765B9"/>
    <w:rsid w:val="00DB6A7D"/>
    <w:rsid w:val="00E2649A"/>
    <w:rsid w:val="00E758BF"/>
    <w:rsid w:val="00ED5BD8"/>
    <w:rsid w:val="00EE4930"/>
    <w:rsid w:val="00F346B1"/>
    <w:rsid w:val="00F77329"/>
    <w:rsid w:val="00FC65ED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F6B077-6DA4-435D-B72E-EA8FCAD2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930"/>
  </w:style>
  <w:style w:type="paragraph" w:styleId="Footer">
    <w:name w:val="footer"/>
    <w:basedOn w:val="Normal"/>
    <w:link w:val="FooterChar"/>
    <w:uiPriority w:val="99"/>
    <w:unhideWhenUsed/>
    <w:rsid w:val="00EE4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Zaved Khan</cp:lastModifiedBy>
  <cp:revision>6</cp:revision>
  <cp:lastPrinted>2015-02-21T09:18:00Z</cp:lastPrinted>
  <dcterms:created xsi:type="dcterms:W3CDTF">2018-05-21T06:23:00Z</dcterms:created>
  <dcterms:modified xsi:type="dcterms:W3CDTF">2018-05-22T01:13:00Z</dcterms:modified>
</cp:coreProperties>
</file>