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95D7FC" w14:textId="32FC7E3F" w:rsidR="00335A39" w:rsidRPr="00DD7187" w:rsidRDefault="00CD0292" w:rsidP="002C60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autoSpaceDE w:val="0"/>
        <w:autoSpaceDN w:val="0"/>
        <w:adjustRightInd w:val="0"/>
        <w:jc w:val="center"/>
        <w:rPr>
          <w:rFonts w:ascii="Times New Roman" w:hAnsi="Times New Roman" w:cs="Times New Roman"/>
          <w:b/>
          <w:lang w:val="en-US"/>
        </w:rPr>
      </w:pPr>
      <w:r w:rsidRPr="00DD7187">
        <w:rPr>
          <w:rFonts w:ascii="Times New Roman" w:hAnsi="Times New Roman" w:cs="Times New Roman"/>
          <w:b/>
          <w:lang w:val="en-US"/>
        </w:rPr>
        <w:t>Reading Gender and Genre</w:t>
      </w:r>
      <w:r w:rsidR="002C60CC" w:rsidRPr="00DD7187">
        <w:rPr>
          <w:rFonts w:ascii="Times New Roman" w:hAnsi="Times New Roman" w:cs="Times New Roman"/>
          <w:b/>
          <w:lang w:val="en-US"/>
        </w:rPr>
        <w:t xml:space="preserve"> from a Distance</w:t>
      </w:r>
      <w:r w:rsidRPr="00DD7187">
        <w:rPr>
          <w:rFonts w:ascii="Times New Roman" w:hAnsi="Times New Roman" w:cs="Times New Roman"/>
          <w:b/>
          <w:lang w:val="en-US"/>
        </w:rPr>
        <w:t>:</w:t>
      </w:r>
    </w:p>
    <w:p w14:paraId="3B8BA44E" w14:textId="7C7F6DB0" w:rsidR="00335A39" w:rsidRPr="00DD7187" w:rsidRDefault="00CD0292" w:rsidP="002C60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autoSpaceDE w:val="0"/>
        <w:autoSpaceDN w:val="0"/>
        <w:adjustRightInd w:val="0"/>
        <w:jc w:val="center"/>
        <w:rPr>
          <w:rFonts w:ascii="Times New Roman" w:hAnsi="Times New Roman" w:cs="Times New Roman"/>
          <w:b/>
          <w:lang w:val="en-US"/>
        </w:rPr>
      </w:pPr>
      <w:r w:rsidRPr="00DD7187">
        <w:rPr>
          <w:rFonts w:ascii="Times New Roman" w:hAnsi="Times New Roman" w:cs="Times New Roman"/>
          <w:b/>
          <w:lang w:val="en-US"/>
        </w:rPr>
        <w:t>Detangling Binaries in the Eighteenth-Century Gothic</w:t>
      </w:r>
    </w:p>
    <w:p w14:paraId="3F9FF924" w14:textId="77777777" w:rsidR="00CD0292" w:rsidRPr="00DD7187" w:rsidRDefault="00CD0292" w:rsidP="002C60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autoSpaceDE w:val="0"/>
        <w:autoSpaceDN w:val="0"/>
        <w:adjustRightInd w:val="0"/>
        <w:spacing w:line="288" w:lineRule="auto"/>
        <w:jc w:val="both"/>
        <w:rPr>
          <w:rFonts w:ascii="Times New Roman" w:hAnsi="Times New Roman" w:cs="Times New Roman"/>
          <w:lang w:val="en-US"/>
        </w:rPr>
      </w:pPr>
    </w:p>
    <w:p w14:paraId="06B24487" w14:textId="711E3670" w:rsidR="004970DC" w:rsidRPr="00DD7187" w:rsidRDefault="004970DC" w:rsidP="002C60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autoSpaceDE w:val="0"/>
        <w:autoSpaceDN w:val="0"/>
        <w:adjustRightInd w:val="0"/>
        <w:spacing w:line="288" w:lineRule="auto"/>
        <w:jc w:val="center"/>
        <w:rPr>
          <w:rFonts w:ascii="Times New Roman" w:hAnsi="Times New Roman" w:cs="Times New Roman"/>
          <w:i/>
          <w:lang w:val="en-US"/>
        </w:rPr>
      </w:pPr>
      <w:r w:rsidRPr="00DD7187">
        <w:rPr>
          <w:rFonts w:ascii="Times New Roman" w:hAnsi="Times New Roman" w:cs="Times New Roman"/>
          <w:i/>
          <w:lang w:val="en-US"/>
        </w:rPr>
        <w:t>Introduction</w:t>
      </w:r>
    </w:p>
    <w:p w14:paraId="7FFB9208" w14:textId="77777777" w:rsidR="004970DC" w:rsidRPr="00DD7187" w:rsidRDefault="004970DC" w:rsidP="002C60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autoSpaceDE w:val="0"/>
        <w:autoSpaceDN w:val="0"/>
        <w:adjustRightInd w:val="0"/>
        <w:spacing w:line="288" w:lineRule="auto"/>
        <w:jc w:val="center"/>
        <w:rPr>
          <w:rFonts w:ascii="Times New Roman" w:hAnsi="Times New Roman" w:cs="Times New Roman"/>
          <w:lang w:val="en-US"/>
        </w:rPr>
      </w:pPr>
    </w:p>
    <w:p w14:paraId="4CCF8EE8" w14:textId="62D7578A" w:rsidR="00346416" w:rsidRPr="00DD7187" w:rsidRDefault="00346416" w:rsidP="002C60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autoSpaceDE w:val="0"/>
        <w:autoSpaceDN w:val="0"/>
        <w:adjustRightInd w:val="0"/>
        <w:spacing w:line="480" w:lineRule="auto"/>
        <w:ind w:firstLine="700"/>
        <w:jc w:val="both"/>
        <w:rPr>
          <w:rFonts w:ascii="Times New Roman" w:hAnsi="Times New Roman" w:cs="Times New Roman"/>
          <w:lang w:val="en-US"/>
        </w:rPr>
      </w:pPr>
      <w:r w:rsidRPr="00DD7187">
        <w:rPr>
          <w:rFonts w:ascii="Times New Roman" w:hAnsi="Times New Roman" w:cs="Times New Roman"/>
          <w:lang w:val="en-US"/>
        </w:rPr>
        <w:t>Literary discussions of gender at the birth of the Gothic novel in the late eighteenth century have grown ever more nuanced and attentive to detail over t</w:t>
      </w:r>
      <w:r w:rsidR="008E4AC6" w:rsidRPr="00DD7187">
        <w:rPr>
          <w:rFonts w:ascii="Times New Roman" w:hAnsi="Times New Roman" w:cs="Times New Roman"/>
          <w:lang w:val="en-US"/>
        </w:rPr>
        <w:t>he years. At its inception and for a long time after</w:t>
      </w:r>
      <w:r w:rsidRPr="00DD7187">
        <w:rPr>
          <w:rFonts w:ascii="Times New Roman" w:hAnsi="Times New Roman" w:cs="Times New Roman"/>
          <w:lang w:val="en-US"/>
        </w:rPr>
        <w:t>, the genre as a whole was often</w:t>
      </w:r>
      <w:r w:rsidR="000C4C8E" w:rsidRPr="00DD7187">
        <w:rPr>
          <w:rFonts w:ascii="Times New Roman" w:hAnsi="Times New Roman" w:cs="Times New Roman"/>
          <w:lang w:val="en-US"/>
        </w:rPr>
        <w:t xml:space="preserve"> dismissed as unserious due to its</w:t>
      </w:r>
      <w:r w:rsidR="008E4AC6" w:rsidRPr="00DD7187">
        <w:rPr>
          <w:rFonts w:ascii="Times New Roman" w:hAnsi="Times New Roman" w:cs="Times New Roman"/>
          <w:lang w:val="en-US"/>
        </w:rPr>
        <w:t xml:space="preserve"> </w:t>
      </w:r>
      <w:r w:rsidR="00C17FD8" w:rsidRPr="00DD7187">
        <w:rPr>
          <w:rFonts w:ascii="Times New Roman" w:hAnsi="Times New Roman" w:cs="Times New Roman"/>
          <w:lang w:val="en-US"/>
        </w:rPr>
        <w:t>perceived</w:t>
      </w:r>
      <w:r w:rsidR="008E4AC6" w:rsidRPr="00DD7187">
        <w:rPr>
          <w:rFonts w:ascii="Times New Roman" w:hAnsi="Times New Roman" w:cs="Times New Roman"/>
          <w:lang w:val="en-US"/>
        </w:rPr>
        <w:t xml:space="preserve"> alignment with women</w:t>
      </w:r>
      <w:r w:rsidRPr="00DD7187">
        <w:rPr>
          <w:rFonts w:ascii="Times New Roman" w:hAnsi="Times New Roman" w:cs="Times New Roman"/>
          <w:lang w:val="en-US"/>
        </w:rPr>
        <w:t xml:space="preserve">. In the 1980s, feminist critics </w:t>
      </w:r>
      <w:r w:rsidR="003F75F9" w:rsidRPr="00DD7187">
        <w:rPr>
          <w:rFonts w:ascii="Times New Roman" w:hAnsi="Times New Roman" w:cs="Times New Roman"/>
          <w:lang w:val="en-US"/>
        </w:rPr>
        <w:t>such as</w:t>
      </w:r>
      <w:r w:rsidRPr="00DD7187">
        <w:rPr>
          <w:rFonts w:ascii="Times New Roman" w:hAnsi="Times New Roman" w:cs="Times New Roman"/>
          <w:lang w:val="en-US"/>
        </w:rPr>
        <w:t xml:space="preserve"> Juliann Fleenor enabled the Female Gothic, </w:t>
      </w:r>
      <w:r w:rsidR="003F75F9" w:rsidRPr="00DD7187">
        <w:rPr>
          <w:rFonts w:ascii="Times New Roman" w:hAnsi="Times New Roman" w:cs="Times New Roman"/>
          <w:lang w:val="en-US"/>
        </w:rPr>
        <w:t xml:space="preserve">defined as </w:t>
      </w:r>
      <w:r w:rsidRPr="00DD7187">
        <w:rPr>
          <w:rFonts w:ascii="Times New Roman" w:hAnsi="Times New Roman" w:cs="Times New Roman"/>
          <w:lang w:val="en-US"/>
        </w:rPr>
        <w:t>Gothic writing “written and consistently read by women” (</w:t>
      </w:r>
      <w:r w:rsidRPr="00DD7187">
        <w:rPr>
          <w:rFonts w:ascii="Times New Roman" w:hAnsi="Times New Roman" w:cs="Times New Roman"/>
          <w:i/>
          <w:iCs/>
          <w:lang w:val="en-US"/>
        </w:rPr>
        <w:t>The Female Gothic</w:t>
      </w:r>
      <w:r w:rsidRPr="00DD7187">
        <w:rPr>
          <w:rFonts w:ascii="Times New Roman" w:hAnsi="Times New Roman" w:cs="Times New Roman"/>
          <w:lang w:val="en-US"/>
        </w:rPr>
        <w:t xml:space="preserve"> 7), to stand as a worthy subject of inquiry regardless of literary status due to its direct relation to a patriarchal paradigm and its ability to “to express the conflict for which patriarchy has no name” (28). Contemporary critics, such as those collected in Diana Wallace and Andrew Smith’s </w:t>
      </w:r>
      <w:r w:rsidRPr="00DD7187">
        <w:rPr>
          <w:rFonts w:ascii="Times New Roman" w:hAnsi="Times New Roman" w:cs="Times New Roman"/>
          <w:i/>
          <w:iCs/>
          <w:lang w:val="en-US"/>
        </w:rPr>
        <w:t>Female Gothic: New Directions</w:t>
      </w:r>
      <w:r w:rsidR="008E4AC6" w:rsidRPr="00DD7187">
        <w:rPr>
          <w:rFonts w:ascii="Times New Roman" w:hAnsi="Times New Roman" w:cs="Times New Roman"/>
          <w:lang w:val="en-US"/>
        </w:rPr>
        <w:t xml:space="preserve">, have moved </w:t>
      </w:r>
      <w:r w:rsidRPr="00DD7187">
        <w:rPr>
          <w:rFonts w:ascii="Times New Roman" w:hAnsi="Times New Roman" w:cs="Times New Roman"/>
          <w:lang w:val="en-US"/>
        </w:rPr>
        <w:t xml:space="preserve">from </w:t>
      </w:r>
      <w:r w:rsidR="003F75F9" w:rsidRPr="00DD7187">
        <w:rPr>
          <w:rFonts w:ascii="Times New Roman" w:hAnsi="Times New Roman" w:cs="Times New Roman"/>
          <w:lang w:val="en-US"/>
        </w:rPr>
        <w:t>social</w:t>
      </w:r>
      <w:r w:rsidRPr="00DD7187">
        <w:rPr>
          <w:rFonts w:ascii="Times New Roman" w:hAnsi="Times New Roman" w:cs="Times New Roman"/>
          <w:lang w:val="en-US"/>
        </w:rPr>
        <w:t xml:space="preserve"> relationships to interte</w:t>
      </w:r>
      <w:r w:rsidR="008E4AC6" w:rsidRPr="00DD7187">
        <w:rPr>
          <w:rFonts w:ascii="Times New Roman" w:hAnsi="Times New Roman" w:cs="Times New Roman"/>
          <w:lang w:val="en-US"/>
        </w:rPr>
        <w:t xml:space="preserve">xtual ones, as exemplified in </w:t>
      </w:r>
      <w:r w:rsidRPr="00DD7187">
        <w:rPr>
          <w:rFonts w:ascii="Times New Roman" w:hAnsi="Times New Roman" w:cs="Times New Roman"/>
          <w:lang w:val="en-US"/>
        </w:rPr>
        <w:t xml:space="preserve">Robert Miles’s complex reading of </w:t>
      </w:r>
      <w:r w:rsidR="00CF6585" w:rsidRPr="00DD7187">
        <w:rPr>
          <w:rFonts w:ascii="Times New Roman" w:hAnsi="Times New Roman" w:cs="Times New Roman"/>
          <w:lang w:val="en-US"/>
        </w:rPr>
        <w:t xml:space="preserve">Ann Radcliffe and Matthew Lewis’s works </w:t>
      </w:r>
      <w:r w:rsidRPr="00DD7187">
        <w:rPr>
          <w:rFonts w:ascii="Times New Roman" w:hAnsi="Times New Roman" w:cs="Times New Roman"/>
          <w:lang w:val="en-US"/>
        </w:rPr>
        <w:t>as making use of both Female and Male Got</w:t>
      </w:r>
      <w:r w:rsidR="008E4AC6" w:rsidRPr="00DD7187">
        <w:rPr>
          <w:rFonts w:ascii="Times New Roman" w:hAnsi="Times New Roman" w:cs="Times New Roman"/>
          <w:lang w:val="en-US"/>
        </w:rPr>
        <w:t xml:space="preserve">hic “narrative grammar” (56). </w:t>
      </w:r>
      <w:r w:rsidRPr="00DD7187">
        <w:rPr>
          <w:rFonts w:ascii="Times New Roman" w:hAnsi="Times New Roman" w:cs="Times New Roman"/>
          <w:lang w:val="en-US"/>
        </w:rPr>
        <w:t>However, to accomplish this more sophisticated approach, scholars have of necessity focused in greater deta</w:t>
      </w:r>
      <w:r w:rsidR="008E4AC6" w:rsidRPr="00DD7187">
        <w:rPr>
          <w:rFonts w:ascii="Times New Roman" w:hAnsi="Times New Roman" w:cs="Times New Roman"/>
          <w:lang w:val="en-US"/>
        </w:rPr>
        <w:t xml:space="preserve">il on smaller numbers of texts. </w:t>
      </w:r>
      <w:r w:rsidRPr="00DD7187">
        <w:rPr>
          <w:rFonts w:ascii="Times New Roman" w:hAnsi="Times New Roman" w:cs="Times New Roman"/>
          <w:lang w:val="en-US"/>
        </w:rPr>
        <w:t>My goal, in applying a large-sca</w:t>
      </w:r>
      <w:r w:rsidR="008E4AC6" w:rsidRPr="00DD7187">
        <w:rPr>
          <w:rFonts w:ascii="Times New Roman" w:hAnsi="Times New Roman" w:cs="Times New Roman"/>
          <w:lang w:val="en-US"/>
        </w:rPr>
        <w:t>le digital methodology to the field of the early Gothic</w:t>
      </w:r>
      <w:r w:rsidRPr="00DD7187">
        <w:rPr>
          <w:rFonts w:ascii="Times New Roman" w:hAnsi="Times New Roman" w:cs="Times New Roman"/>
          <w:lang w:val="en-US"/>
        </w:rPr>
        <w:t>, is not to duplicate the research on individual novels carried out by other scholars, but to open up new ways of understanding the relationships wi</w:t>
      </w:r>
      <w:r w:rsidR="008E4AC6" w:rsidRPr="00DD7187">
        <w:rPr>
          <w:rFonts w:ascii="Times New Roman" w:hAnsi="Times New Roman" w:cs="Times New Roman"/>
          <w:lang w:val="en-US"/>
        </w:rPr>
        <w:t xml:space="preserve">thin the broader body of texts. </w:t>
      </w:r>
      <w:r w:rsidRPr="00DD7187">
        <w:rPr>
          <w:rFonts w:ascii="Times New Roman" w:hAnsi="Times New Roman" w:cs="Times New Roman"/>
          <w:lang w:val="en-US"/>
        </w:rPr>
        <w:t>Throughout my essay, I touch upon the implications my findings might have for the way we understand Ann Radcliffe’s works, but my primary interest in is the ‘school of Radcliffe’ itself.</w:t>
      </w:r>
      <w:r w:rsidR="008E4AC6" w:rsidRPr="00DD7187">
        <w:rPr>
          <w:rFonts w:ascii="Times New Roman" w:hAnsi="Times New Roman" w:cs="Times New Roman"/>
          <w:lang w:val="en-US"/>
        </w:rPr>
        <w:t xml:space="preserve"> </w:t>
      </w:r>
      <w:r w:rsidRPr="00DD7187">
        <w:rPr>
          <w:rFonts w:ascii="Times New Roman" w:hAnsi="Times New Roman" w:cs="Times New Roman"/>
          <w:lang w:val="en-US"/>
        </w:rPr>
        <w:t>This ‘school’ was, evidently, readily identifiable to R</w:t>
      </w:r>
      <w:r w:rsidR="008E4AC6" w:rsidRPr="00DD7187">
        <w:rPr>
          <w:rFonts w:ascii="Times New Roman" w:hAnsi="Times New Roman" w:cs="Times New Roman"/>
          <w:lang w:val="en-US"/>
        </w:rPr>
        <w:t xml:space="preserve">adcliffe’s contemporaries, but </w:t>
      </w:r>
      <w:r w:rsidRPr="00DD7187">
        <w:rPr>
          <w:rFonts w:ascii="Times New Roman" w:hAnsi="Times New Roman" w:cs="Times New Roman"/>
          <w:lang w:val="en-US"/>
        </w:rPr>
        <w:t xml:space="preserve">I argue that its identifying features are not entirely those which seem </w:t>
      </w:r>
      <w:r w:rsidR="008E4AC6" w:rsidRPr="00DD7187">
        <w:rPr>
          <w:rFonts w:ascii="Times New Roman" w:hAnsi="Times New Roman" w:cs="Times New Roman"/>
          <w:lang w:val="en-US"/>
        </w:rPr>
        <w:t xml:space="preserve">most notable to modern critics. </w:t>
      </w:r>
      <w:r w:rsidRPr="00DD7187">
        <w:rPr>
          <w:rFonts w:ascii="Times New Roman" w:hAnsi="Times New Roman" w:cs="Times New Roman"/>
          <w:lang w:val="en-US"/>
        </w:rPr>
        <w:t xml:space="preserve">Over the course of two large-scale literary ‘experiments,’ in which I model the early Gothic novel by means of bibliographic data, I have asked what schools, if any, make themselves </w:t>
      </w:r>
      <w:r w:rsidR="00C17FD8" w:rsidRPr="00DD7187">
        <w:rPr>
          <w:rFonts w:ascii="Times New Roman" w:hAnsi="Times New Roman" w:cs="Times New Roman"/>
          <w:lang w:val="en-US"/>
        </w:rPr>
        <w:t>apparent</w:t>
      </w:r>
      <w:r w:rsidRPr="00DD7187">
        <w:rPr>
          <w:rFonts w:ascii="Times New Roman" w:hAnsi="Times New Roman" w:cs="Times New Roman"/>
          <w:lang w:val="en-US"/>
        </w:rPr>
        <w:t xml:space="preserve">, and </w:t>
      </w:r>
      <w:r w:rsidRPr="00DD7187">
        <w:rPr>
          <w:rFonts w:ascii="Times New Roman" w:hAnsi="Times New Roman" w:cs="Times New Roman"/>
          <w:lang w:val="en-US"/>
        </w:rPr>
        <w:lastRenderedPageBreak/>
        <w:t xml:space="preserve">whether there is cause to believe that the hundreds of women writing Gothic novels wrote observably different books than the </w:t>
      </w:r>
      <w:r w:rsidR="008E4AC6" w:rsidRPr="00DD7187">
        <w:rPr>
          <w:rFonts w:ascii="Times New Roman" w:hAnsi="Times New Roman" w:cs="Times New Roman"/>
          <w:lang w:val="en-US"/>
        </w:rPr>
        <w:t xml:space="preserve">hundreds of men doing the same. </w:t>
      </w:r>
      <w:r w:rsidRPr="00DD7187">
        <w:rPr>
          <w:rFonts w:ascii="Times New Roman" w:hAnsi="Times New Roman" w:cs="Times New Roman"/>
          <w:lang w:val="en-US"/>
        </w:rPr>
        <w:t xml:space="preserve">My preliminary results suggest that male and female schools do indeed exist, but that they do not map neatly to a female/male terror/horror Radcliffe/Lewis binary, and that both gendered schools are dwarfed by a </w:t>
      </w:r>
      <w:r w:rsidR="008E4AC6" w:rsidRPr="00DD7187">
        <w:rPr>
          <w:rFonts w:ascii="Times New Roman" w:hAnsi="Times New Roman" w:cs="Times New Roman"/>
          <w:lang w:val="en-US"/>
        </w:rPr>
        <w:t>non-gendered Gothic mainstream.</w:t>
      </w:r>
    </w:p>
    <w:p w14:paraId="51AA3744" w14:textId="194EF7C5" w:rsidR="00346416" w:rsidRPr="00DD7187" w:rsidRDefault="00346416" w:rsidP="002C60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autoSpaceDE w:val="0"/>
        <w:autoSpaceDN w:val="0"/>
        <w:adjustRightInd w:val="0"/>
        <w:spacing w:line="480" w:lineRule="auto"/>
        <w:ind w:firstLine="700"/>
        <w:jc w:val="both"/>
        <w:rPr>
          <w:rFonts w:ascii="Times New Roman" w:hAnsi="Times New Roman" w:cs="Times New Roman"/>
          <w:lang w:val="en-US"/>
        </w:rPr>
      </w:pPr>
      <w:r w:rsidRPr="00DD7187">
        <w:rPr>
          <w:rFonts w:ascii="Times New Roman" w:hAnsi="Times New Roman" w:cs="Times New Roman"/>
          <w:lang w:val="en-US"/>
        </w:rPr>
        <w:t>My interest in placing Radcliffe back into the broadest possible context is in keeping with the voracious habits of her readers. Although Radcliffe was, by the time she published</w:t>
      </w:r>
      <w:r w:rsidRPr="00DD7187">
        <w:rPr>
          <w:rFonts w:ascii="Times New Roman" w:hAnsi="Times New Roman" w:cs="Times New Roman"/>
          <w:i/>
          <w:iCs/>
          <w:lang w:val="en-US"/>
        </w:rPr>
        <w:t xml:space="preserve"> The Mysteries of Udolpho</w:t>
      </w:r>
      <w:r w:rsidRPr="00DD7187">
        <w:rPr>
          <w:rFonts w:ascii="Times New Roman" w:hAnsi="Times New Roman" w:cs="Times New Roman"/>
          <w:lang w:val="en-US"/>
        </w:rPr>
        <w:t>, widely recognized as a master of her craft, she was not canonized separately from other Gothic writers either on the shelves of the circulating libraries or in the minds of book reviewers the way that ‘literary fiction’ is separated from ‘romance novels’ today.</w:t>
      </w:r>
      <w:r w:rsidR="00335A39" w:rsidRPr="00DD7187">
        <w:rPr>
          <w:rFonts w:ascii="Times New Roman" w:hAnsi="Times New Roman" w:cs="Times New Roman"/>
          <w:lang w:val="en-US"/>
        </w:rPr>
        <w:t xml:space="preserve"> </w:t>
      </w:r>
      <w:r w:rsidRPr="00DD7187">
        <w:rPr>
          <w:rFonts w:ascii="Times New Roman" w:hAnsi="Times New Roman" w:cs="Times New Roman"/>
          <w:lang w:val="en-US"/>
        </w:rPr>
        <w:t>This readerly</w:t>
      </w:r>
      <w:r w:rsidR="008E4AC6" w:rsidRPr="00DD7187">
        <w:rPr>
          <w:rFonts w:ascii="Times New Roman" w:hAnsi="Times New Roman" w:cs="Times New Roman"/>
          <w:lang w:val="en-US"/>
        </w:rPr>
        <w:t xml:space="preserve"> voraciousness is particularly important</w:t>
      </w:r>
      <w:r w:rsidRPr="00DD7187">
        <w:rPr>
          <w:rFonts w:ascii="Times New Roman" w:hAnsi="Times New Roman" w:cs="Times New Roman"/>
          <w:lang w:val="en-US"/>
        </w:rPr>
        <w:t xml:space="preserve"> in light of John Frow’s articulation of genre as, not a stable set of categories, but an ongoing conversation. Individual texts, Frow argues, “do not ‘belong’ to genres but are, rather, uses of them” (2), framing genre not as a singular stable identifier for a novel but as a set of expectations that an author may </w:t>
      </w:r>
      <w:r w:rsidR="00C17FD8" w:rsidRPr="00DD7187">
        <w:rPr>
          <w:rFonts w:ascii="Times New Roman" w:hAnsi="Times New Roman" w:cs="Times New Roman"/>
          <w:lang w:val="en-US"/>
        </w:rPr>
        <w:t>strategically</w:t>
      </w:r>
      <w:r w:rsidRPr="00DD7187">
        <w:rPr>
          <w:rFonts w:ascii="Times New Roman" w:hAnsi="Times New Roman" w:cs="Times New Roman"/>
          <w:lang w:val="en-US"/>
        </w:rPr>
        <w:t xml:space="preserve"> fulfill or foil. Genres thus function by being a bridge between the “social situation” of a reader embedded in real and literary contexts, and a text that “realises certain features of this situation, or which responds strategically to its demands” (14). Rather than reading genre simply to categorize “where a text ‘belongs,’” Frow argues, “we read… for those layers of background </w:t>
      </w:r>
      <w:r w:rsidR="002C60CC" w:rsidRPr="00DD7187">
        <w:rPr>
          <w:rFonts w:ascii="Times New Roman" w:hAnsi="Times New Roman" w:cs="Times New Roman"/>
          <w:lang w:val="en-US"/>
        </w:rPr>
        <w:t>knowledges</w:t>
      </w:r>
      <w:r w:rsidRPr="00DD7187">
        <w:rPr>
          <w:rFonts w:ascii="Times New Roman" w:hAnsi="Times New Roman" w:cs="Times New Roman"/>
          <w:lang w:val="en-US"/>
        </w:rPr>
        <w:t xml:space="preserve"> that texts evoke” through their genre relationships, which allow an assessment of “which types of meaning are appropriate and relevant,” and therefore how the text can be made to make sense (101). Accordingly, any investigation of Radcliffe’s use of genre must begin with an understanding of what she’s using.</w:t>
      </w:r>
    </w:p>
    <w:p w14:paraId="0A171581" w14:textId="28756DA9" w:rsidR="00346416" w:rsidRPr="00DD7187" w:rsidRDefault="00346416" w:rsidP="002C60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autoSpaceDE w:val="0"/>
        <w:autoSpaceDN w:val="0"/>
        <w:adjustRightInd w:val="0"/>
        <w:spacing w:line="480" w:lineRule="auto"/>
        <w:ind w:firstLine="700"/>
        <w:jc w:val="both"/>
        <w:rPr>
          <w:rFonts w:ascii="Times New Roman" w:hAnsi="Times New Roman" w:cs="Times New Roman"/>
          <w:lang w:val="en-US"/>
        </w:rPr>
      </w:pPr>
      <w:r w:rsidRPr="00DD7187">
        <w:rPr>
          <w:rFonts w:ascii="Times New Roman" w:hAnsi="Times New Roman" w:cs="Times New Roman"/>
          <w:lang w:val="en-US"/>
        </w:rPr>
        <w:lastRenderedPageBreak/>
        <w:t xml:space="preserve">To take the first steps toward that understanding, I have created and carefully examined visualizations of metadata regarding 208 early Gothic texts. My data derives from Ann Tracy’s bibliography </w:t>
      </w:r>
      <w:r w:rsidRPr="00DD7187">
        <w:rPr>
          <w:rFonts w:ascii="Times New Roman" w:hAnsi="Times New Roman" w:cs="Times New Roman"/>
          <w:i/>
          <w:iCs/>
          <w:lang w:val="en-US"/>
        </w:rPr>
        <w:t>The Gothic Novel 1790-1830: Plot Summaries and Index to Motifs</w:t>
      </w:r>
      <w:r w:rsidRPr="00DD7187">
        <w:rPr>
          <w:rFonts w:ascii="Times New Roman" w:hAnsi="Times New Roman" w:cs="Times New Roman"/>
          <w:lang w:val="en-US"/>
        </w:rPr>
        <w:t xml:space="preserve"> and Frederick Frank’s </w:t>
      </w:r>
      <w:r w:rsidRPr="00DD7187">
        <w:rPr>
          <w:rFonts w:ascii="Times New Roman" w:hAnsi="Times New Roman" w:cs="Times New Roman"/>
          <w:i/>
          <w:iCs/>
          <w:lang w:val="en-US"/>
        </w:rPr>
        <w:t>The First Gothics: A Critical Guide to the English Gothic Novel</w:t>
      </w:r>
      <w:r w:rsidRPr="00DD7187">
        <w:rPr>
          <w:rFonts w:ascii="Times New Roman" w:hAnsi="Times New Roman" w:cs="Times New Roman"/>
          <w:lang w:val="en-US"/>
        </w:rPr>
        <w:t>; my experimental method is informed by Willard McCarty’s “Knowing: Modeling in Literary Studies” and by Lisa Samuels and Jerome McGann’s “Deformance and Interpretation.” After carrying out a wide range of experiments, I have selected two of the most fruitful to discuss in depth: I have charted the gendered use of 70 Gothic ‘motifs’ identified by Tracy, and explored Frank’s classifications of the same novels’ various ‘Gothic types’.</w:t>
      </w:r>
      <w:r w:rsidR="00CF6585" w:rsidRPr="00DD7187">
        <w:rPr>
          <w:rStyle w:val="FootnoteReference"/>
          <w:rFonts w:ascii="Times New Roman" w:hAnsi="Times New Roman" w:cs="Times New Roman"/>
          <w:lang w:val="en-US"/>
        </w:rPr>
        <w:footnoteReference w:id="1"/>
      </w:r>
      <w:r w:rsidRPr="00DD7187">
        <w:rPr>
          <w:rFonts w:ascii="Times New Roman" w:hAnsi="Times New Roman" w:cs="Times New Roman"/>
          <w:lang w:val="en-US"/>
        </w:rPr>
        <w:t xml:space="preserve"> </w:t>
      </w:r>
      <w:r w:rsidR="00247F47" w:rsidRPr="00DD7187">
        <w:rPr>
          <w:rFonts w:ascii="Times New Roman" w:hAnsi="Times New Roman" w:cs="Times New Roman"/>
          <w:lang w:val="en-US"/>
        </w:rPr>
        <w:t>A</w:t>
      </w:r>
      <w:r w:rsidR="004970DC" w:rsidRPr="00DD7187">
        <w:rPr>
          <w:rFonts w:ascii="Times New Roman" w:hAnsi="Times New Roman" w:cs="Times New Roman"/>
          <w:lang w:val="en-US"/>
        </w:rPr>
        <w:t>lthough I will be able to see in less detail, I will see more broadly: m</w:t>
      </w:r>
      <w:r w:rsidRPr="00DD7187">
        <w:rPr>
          <w:rFonts w:ascii="Times New Roman" w:hAnsi="Times New Roman" w:cs="Times New Roman"/>
          <w:lang w:val="en-US"/>
        </w:rPr>
        <w:t>y goal is not to examine Radcliffe herself</w:t>
      </w:r>
      <w:r w:rsidR="004970DC" w:rsidRPr="00DD7187">
        <w:rPr>
          <w:rFonts w:ascii="Times New Roman" w:hAnsi="Times New Roman" w:cs="Times New Roman"/>
          <w:lang w:val="en-US"/>
        </w:rPr>
        <w:t xml:space="preserve">, but </w:t>
      </w:r>
      <w:r w:rsidR="00247F47" w:rsidRPr="00DD7187">
        <w:rPr>
          <w:rFonts w:ascii="Times New Roman" w:hAnsi="Times New Roman" w:cs="Times New Roman"/>
          <w:lang w:val="en-US"/>
        </w:rPr>
        <w:t xml:space="preserve">to seek out </w:t>
      </w:r>
      <w:r w:rsidR="004970DC" w:rsidRPr="00DD7187">
        <w:rPr>
          <w:rFonts w:ascii="Times New Roman" w:hAnsi="Times New Roman" w:cs="Times New Roman"/>
          <w:lang w:val="en-US"/>
        </w:rPr>
        <w:t>the ‘school of Radcliffe.’</w:t>
      </w:r>
    </w:p>
    <w:p w14:paraId="109E1EC2" w14:textId="77777777" w:rsidR="004970DC" w:rsidRPr="00DD7187" w:rsidRDefault="004970DC" w:rsidP="002C60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autoSpaceDE w:val="0"/>
        <w:autoSpaceDN w:val="0"/>
        <w:adjustRightInd w:val="0"/>
        <w:spacing w:line="480" w:lineRule="auto"/>
        <w:ind w:firstLine="700"/>
        <w:jc w:val="both"/>
        <w:rPr>
          <w:rFonts w:ascii="Times New Roman" w:hAnsi="Times New Roman" w:cs="Times New Roman"/>
          <w:lang w:val="en-US"/>
        </w:rPr>
      </w:pPr>
    </w:p>
    <w:p w14:paraId="2F1B5881" w14:textId="471F2368" w:rsidR="004970DC" w:rsidRPr="00DD7187" w:rsidRDefault="004970DC" w:rsidP="002C60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autoSpaceDE w:val="0"/>
        <w:autoSpaceDN w:val="0"/>
        <w:adjustRightInd w:val="0"/>
        <w:spacing w:line="480" w:lineRule="auto"/>
        <w:ind w:firstLine="700"/>
        <w:jc w:val="center"/>
        <w:rPr>
          <w:rFonts w:ascii="Times New Roman" w:hAnsi="Times New Roman" w:cs="Times New Roman"/>
          <w:i/>
          <w:lang w:val="en-US"/>
        </w:rPr>
      </w:pPr>
      <w:r w:rsidRPr="00DD7187">
        <w:rPr>
          <w:rFonts w:ascii="Times New Roman" w:hAnsi="Times New Roman" w:cs="Times New Roman"/>
          <w:i/>
          <w:lang w:val="en-US"/>
        </w:rPr>
        <w:t>Critical Frameworks</w:t>
      </w:r>
    </w:p>
    <w:p w14:paraId="32A0BB9F" w14:textId="399E5D5D" w:rsidR="00346416" w:rsidRPr="00DD7187" w:rsidRDefault="00346416" w:rsidP="002C60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autoSpaceDE w:val="0"/>
        <w:autoSpaceDN w:val="0"/>
        <w:adjustRightInd w:val="0"/>
        <w:spacing w:line="480" w:lineRule="auto"/>
        <w:ind w:firstLine="700"/>
        <w:jc w:val="both"/>
        <w:rPr>
          <w:rFonts w:ascii="Times New Roman" w:hAnsi="Times New Roman" w:cs="Times New Roman"/>
          <w:lang w:val="en-US"/>
        </w:rPr>
      </w:pPr>
      <w:r w:rsidRPr="00DD7187">
        <w:rPr>
          <w:rFonts w:ascii="Times New Roman" w:hAnsi="Times New Roman" w:cs="Times New Roman"/>
          <w:lang w:val="en-US"/>
        </w:rPr>
        <w:t xml:space="preserve">In determining my approach, I draw upon McCarty’s framework of the strengths and limits of “modeling,” with influence from Samuels and McGann’s discussion of “deformance,” to allow for models which are sensitive to certain distinctions but not to others. McCarty, in proposing language to discuss literary models and their epistemological implications, </w:t>
      </w:r>
      <w:r w:rsidR="003F75F9" w:rsidRPr="00DD7187">
        <w:rPr>
          <w:rFonts w:ascii="Times New Roman" w:hAnsi="Times New Roman" w:cs="Times New Roman"/>
          <w:lang w:val="en-US"/>
        </w:rPr>
        <w:t>elaborates upon</w:t>
      </w:r>
      <w:r w:rsidRPr="00DD7187">
        <w:rPr>
          <w:rFonts w:ascii="Times New Roman" w:hAnsi="Times New Roman" w:cs="Times New Roman"/>
          <w:lang w:val="en-US"/>
        </w:rPr>
        <w:t xml:space="preserve"> a distinction</w:t>
      </w:r>
      <w:r w:rsidR="003F75F9" w:rsidRPr="00DD7187">
        <w:rPr>
          <w:rFonts w:ascii="Times New Roman" w:hAnsi="Times New Roman" w:cs="Times New Roman"/>
          <w:lang w:val="en-US"/>
        </w:rPr>
        <w:t xml:space="preserve"> made by Clifford Geertz</w:t>
      </w:r>
      <w:r w:rsidRPr="00DD7187">
        <w:rPr>
          <w:rFonts w:ascii="Times New Roman" w:hAnsi="Times New Roman" w:cs="Times New Roman"/>
          <w:lang w:val="en-US"/>
        </w:rPr>
        <w:t xml:space="preserve"> between models “of” something and models “for” something (n. pag.). Blueprints </w:t>
      </w:r>
      <w:r w:rsidRPr="00DD7187">
        <w:rPr>
          <w:rFonts w:ascii="Times New Roman" w:hAnsi="Times New Roman" w:cs="Times New Roman"/>
          <w:i/>
          <w:iCs/>
          <w:lang w:val="en-US"/>
        </w:rPr>
        <w:t>of</w:t>
      </w:r>
      <w:r w:rsidRPr="00DD7187">
        <w:rPr>
          <w:rFonts w:ascii="Times New Roman" w:hAnsi="Times New Roman" w:cs="Times New Roman"/>
          <w:lang w:val="en-US"/>
        </w:rPr>
        <w:t xml:space="preserve"> historical buildings, for example, allow inquiry into the details </w:t>
      </w:r>
      <w:r w:rsidRPr="00DD7187">
        <w:rPr>
          <w:rFonts w:ascii="Times New Roman" w:hAnsi="Times New Roman" w:cs="Times New Roman"/>
          <w:lang w:val="en-US"/>
        </w:rPr>
        <w:lastRenderedPageBreak/>
        <w:t xml:space="preserve">of something that already exists, whereas blueprints </w:t>
      </w:r>
      <w:r w:rsidRPr="00DD7187">
        <w:rPr>
          <w:rFonts w:ascii="Times New Roman" w:hAnsi="Times New Roman" w:cs="Times New Roman"/>
          <w:i/>
          <w:iCs/>
          <w:lang w:val="en-US"/>
        </w:rPr>
        <w:t>for</w:t>
      </w:r>
      <w:r w:rsidRPr="00DD7187">
        <w:rPr>
          <w:rFonts w:ascii="Times New Roman" w:hAnsi="Times New Roman" w:cs="Times New Roman"/>
          <w:lang w:val="en-US"/>
        </w:rPr>
        <w:t xml:space="preserve"> new buildings allow architectural ideas to be explored before they are brought into reality; both ways of modeling “comprise a practical means of playing out the consequences of an idea in the real world” (McCarty), from two different directions. My several attempts to model the Gothic novel, as a genre experienced by its popular readership in the late eighteenth century, are certainly models </w:t>
      </w:r>
      <w:r w:rsidRPr="00DD7187">
        <w:rPr>
          <w:rFonts w:ascii="Times New Roman" w:hAnsi="Times New Roman" w:cs="Times New Roman"/>
          <w:i/>
          <w:iCs/>
          <w:lang w:val="en-US"/>
        </w:rPr>
        <w:t>of</w:t>
      </w:r>
      <w:r w:rsidRPr="00DD7187">
        <w:rPr>
          <w:rFonts w:ascii="Times New Roman" w:hAnsi="Times New Roman" w:cs="Times New Roman"/>
          <w:lang w:val="en-US"/>
        </w:rPr>
        <w:t xml:space="preserve"> that genre. As such, their merit at first seems most appropriately evaluated in terms of their compliance with the “fundamental principle” of modeling-of, namely, the “exact correspondence between model and object with respect to the webs of relationships among the selected elements in each” (McCarty). By this principle, my essay ought to focus on those preliminary models which retained the most detail about the texts in question: Tracy’s plot summaries, for example, or even a much-smaller corpus </w:t>
      </w:r>
      <w:r w:rsidR="00714294">
        <w:rPr>
          <w:rFonts w:ascii="Times New Roman" w:hAnsi="Times New Roman" w:cs="Times New Roman"/>
          <w:lang w:val="en-US"/>
        </w:rPr>
        <w:t>containing</w:t>
      </w:r>
      <w:r w:rsidRPr="00DD7187">
        <w:rPr>
          <w:rFonts w:ascii="Times New Roman" w:hAnsi="Times New Roman" w:cs="Times New Roman"/>
          <w:lang w:val="en-US"/>
        </w:rPr>
        <w:t xml:space="preserve"> full texts </w:t>
      </w:r>
      <w:r w:rsidR="00714294">
        <w:rPr>
          <w:rFonts w:ascii="Times New Roman" w:hAnsi="Times New Roman" w:cs="Times New Roman"/>
          <w:lang w:val="en-US"/>
        </w:rPr>
        <w:t>of</w:t>
      </w:r>
      <w:r w:rsidRPr="00DD7187">
        <w:rPr>
          <w:rFonts w:ascii="Times New Roman" w:hAnsi="Times New Roman" w:cs="Times New Roman"/>
          <w:lang w:val="en-US"/>
        </w:rPr>
        <w:t xml:space="preserve"> famous Gothics. However, as McCarty ultimately concludes, “modeling is pragmatic” (McCarty); immediately after defining the “fundamental principle” of “exact correspondence,” McCarty describes two reasons it may be violated: when exact correspondence is impossible for practical reasons, and when it has been intentionally distorted in order to study the effects of those distortions.</w:t>
      </w:r>
    </w:p>
    <w:p w14:paraId="0EF178D9" w14:textId="1E0DCD1C" w:rsidR="00C0527E" w:rsidRDefault="00C0527E" w:rsidP="00C052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00"/>
        <w:jc w:val="both"/>
        <w:rPr>
          <w:rFonts w:ascii="Times New Roman" w:hAnsi="Times New Roman" w:cs="Times New Roman"/>
          <w:lang w:val="en-US"/>
        </w:rPr>
      </w:pPr>
      <w:r>
        <w:rPr>
          <w:rFonts w:ascii="Times New Roman" w:hAnsi="Times New Roman" w:cs="Times New Roman"/>
          <w:lang w:val="en-US"/>
        </w:rPr>
        <w:t xml:space="preserve">Exact correspondence is, of course, never a practical option; if there have been no adjustments of scale or materials, the object of study is no longer a model at all, but the thing itself. Tautologically, models are only needed when the thing itself is in some way unsuitable for study— too big, too complicated, or no longer in complete existence— and so models are always ultimately “fictional” (McCarty). Because these fictions have been created with particular goals in mind—because, McCarty says, “modeling is pragmatic”—he argues that “the worth of a model must be judged by its fruitfulness” (McCarty). Stephen Ramsay’s “Algorithmic Criticism” provides a metric for evaluating that fruitfulness: “the robustness of the discussion that a </w:t>
      </w:r>
      <w:r>
        <w:rPr>
          <w:rFonts w:ascii="Times New Roman" w:hAnsi="Times New Roman" w:cs="Times New Roman"/>
          <w:lang w:val="en-US"/>
        </w:rPr>
        <w:lastRenderedPageBreak/>
        <w:t>particular procedure annunciates” (Ramsay). This seems to be what McCarty implicitly means when he terms something “fruitful”: whether or not the model has revealed what we expected, it has revealed something with which we must now engage. Exact correspondence is thus less of a “fundamental principle” (McCarty), and more of an imagined destination that spurs valuable journeys. As a model is constructed, it becomes sensitive to some areas of difference while eliding others. Models need not be perfectly accurate, only sensitive to the desired area of difference.</w:t>
      </w:r>
    </w:p>
    <w:p w14:paraId="5904AA81" w14:textId="3CAEF6C7" w:rsidR="00346416" w:rsidRPr="00DD7187" w:rsidRDefault="00D6289A" w:rsidP="00D628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autoSpaceDE w:val="0"/>
        <w:autoSpaceDN w:val="0"/>
        <w:adjustRightInd w:val="0"/>
        <w:spacing w:line="480" w:lineRule="auto"/>
        <w:ind w:firstLine="700"/>
        <w:jc w:val="both"/>
        <w:rPr>
          <w:rFonts w:ascii="Times New Roman" w:hAnsi="Times New Roman" w:cs="Times New Roman"/>
          <w:lang w:val="en-US"/>
        </w:rPr>
      </w:pPr>
      <w:r>
        <w:rPr>
          <w:rFonts w:ascii="Times New Roman" w:hAnsi="Times New Roman" w:cs="Times New Roman"/>
          <w:lang w:val="en-US"/>
        </w:rPr>
        <w:t>McCarty also describes models which are not merely partial in some particular set of details, but which “deliberately” diverge from their source “</w:t>
      </w:r>
      <w:r w:rsidRPr="00D6289A">
        <w:rPr>
          <w:rFonts w:ascii="Times New Roman" w:hAnsi="Times New Roman" w:cs="Times New Roman"/>
          <w:lang w:val="en-US"/>
        </w:rPr>
        <w:t>in order to study the consequences”</w:t>
      </w:r>
      <w:r>
        <w:rPr>
          <w:rFonts w:ascii="Times New Roman" w:hAnsi="Times New Roman" w:cs="Times New Roman"/>
          <w:lang w:val="en-US"/>
        </w:rPr>
        <w:t xml:space="preserve"> of the changes. </w:t>
      </w:r>
      <w:r w:rsidR="00346416" w:rsidRPr="00DD7187">
        <w:rPr>
          <w:rFonts w:ascii="Times New Roman" w:hAnsi="Times New Roman" w:cs="Times New Roman"/>
          <w:lang w:val="en-US"/>
        </w:rPr>
        <w:t>McCarty terms</w:t>
      </w:r>
      <w:r w:rsidR="00744132">
        <w:rPr>
          <w:rFonts w:ascii="Times New Roman" w:hAnsi="Times New Roman" w:cs="Times New Roman"/>
          <w:lang w:val="en-US"/>
        </w:rPr>
        <w:t xml:space="preserve"> these intentional manipulations “</w:t>
      </w:r>
      <w:r w:rsidR="00346416" w:rsidRPr="00DD7187">
        <w:rPr>
          <w:rFonts w:ascii="Times New Roman" w:hAnsi="Times New Roman" w:cs="Times New Roman"/>
          <w:lang w:val="en-US"/>
        </w:rPr>
        <w:t>distortion</w:t>
      </w:r>
      <w:r w:rsidR="00744132">
        <w:rPr>
          <w:rFonts w:ascii="Times New Roman" w:hAnsi="Times New Roman" w:cs="Times New Roman"/>
          <w:lang w:val="en-US"/>
        </w:rPr>
        <w:t>,”</w:t>
      </w:r>
      <w:r w:rsidR="00346416" w:rsidRPr="00DD7187">
        <w:rPr>
          <w:rFonts w:ascii="Times New Roman" w:hAnsi="Times New Roman" w:cs="Times New Roman"/>
          <w:lang w:val="en-US"/>
        </w:rPr>
        <w:t xml:space="preserve"> but Lisa Samuels and Jerome McGann might call </w:t>
      </w:r>
      <w:r w:rsidR="00744132">
        <w:rPr>
          <w:rFonts w:ascii="Times New Roman" w:hAnsi="Times New Roman" w:cs="Times New Roman"/>
          <w:lang w:val="en-US"/>
        </w:rPr>
        <w:t xml:space="preserve">them </w:t>
      </w:r>
      <w:r w:rsidR="00346416" w:rsidRPr="00DD7187">
        <w:rPr>
          <w:rFonts w:ascii="Times New Roman" w:hAnsi="Times New Roman" w:cs="Times New Roman"/>
          <w:lang w:val="en-US"/>
        </w:rPr>
        <w:t>“deformance.” I take this term from their essay “Deformance and Interpretation,” which seeks to untangle the mechanics of interpretation as a critical act, and the ways in which interpretation distorts artistic works in service of its own performative operations.</w:t>
      </w:r>
      <w:r w:rsidR="00C952FA">
        <w:rPr>
          <w:rStyle w:val="FootnoteReference"/>
          <w:rFonts w:ascii="Times New Roman" w:hAnsi="Times New Roman" w:cs="Times New Roman"/>
          <w:lang w:val="en-US"/>
        </w:rPr>
        <w:footnoteReference w:id="2"/>
      </w:r>
      <w:r w:rsidR="00346416" w:rsidRPr="00DD7187">
        <w:rPr>
          <w:rFonts w:ascii="Times New Roman" w:hAnsi="Times New Roman" w:cs="Times New Roman"/>
          <w:lang w:val="en-US"/>
        </w:rPr>
        <w:t xml:space="preserve"> Whether the final interpreted meaning is “resident ‘in’ the work, or evoked through ‘reader-response,’ or deconstructable” — whichever framework is used for the method of “reading along thematic lines” — the</w:t>
      </w:r>
      <w:r w:rsidR="008E7ED4" w:rsidRPr="00DD7187">
        <w:rPr>
          <w:rFonts w:ascii="Times New Roman" w:hAnsi="Times New Roman" w:cs="Times New Roman"/>
          <w:lang w:val="en-US"/>
        </w:rPr>
        <w:t xml:space="preserve"> method itself, they argue, is </w:t>
      </w:r>
      <w:r w:rsidR="00346416" w:rsidRPr="00DD7187">
        <w:rPr>
          <w:rFonts w:ascii="Times New Roman" w:hAnsi="Times New Roman" w:cs="Times New Roman"/>
          <w:lang w:val="en-US"/>
        </w:rPr>
        <w:t xml:space="preserve">neither </w:t>
      </w:r>
      <w:r w:rsidR="008E7ED4" w:rsidRPr="00DD7187">
        <w:rPr>
          <w:rFonts w:ascii="Times New Roman" w:hAnsi="Times New Roman" w:cs="Times New Roman"/>
          <w:lang w:val="en-US"/>
        </w:rPr>
        <w:t>transparent nor the only option</w:t>
      </w:r>
      <w:r w:rsidR="00346416" w:rsidRPr="00DD7187">
        <w:rPr>
          <w:rFonts w:ascii="Times New Roman" w:hAnsi="Times New Roman" w:cs="Times New Roman"/>
          <w:lang w:val="en-US"/>
        </w:rPr>
        <w:t xml:space="preserve"> (26). Although “criticism… tends to imagine itself as an informative rather than a deformative activity,” both scholarly edit</w:t>
      </w:r>
      <w:r w:rsidR="008E7ED4" w:rsidRPr="00DD7187">
        <w:rPr>
          <w:rFonts w:ascii="Times New Roman" w:hAnsi="Times New Roman" w:cs="Times New Roman"/>
          <w:lang w:val="en-US"/>
        </w:rPr>
        <w:t xml:space="preserve">ions and translations of texts </w:t>
      </w:r>
      <w:r w:rsidR="00346416" w:rsidRPr="00DD7187">
        <w:rPr>
          <w:rFonts w:ascii="Times New Roman" w:hAnsi="Times New Roman" w:cs="Times New Roman"/>
          <w:lang w:val="en-US"/>
        </w:rPr>
        <w:t xml:space="preserve">take critical </w:t>
      </w:r>
      <w:r w:rsidR="00346416" w:rsidRPr="00DD7187">
        <w:rPr>
          <w:rFonts w:ascii="Times New Roman" w:hAnsi="Times New Roman" w:cs="Times New Roman"/>
          <w:lang w:val="en-US"/>
        </w:rPr>
        <w:lastRenderedPageBreak/>
        <w:t>interpretations and write</w:t>
      </w:r>
      <w:r w:rsidR="008E7ED4" w:rsidRPr="00DD7187">
        <w:rPr>
          <w:rFonts w:ascii="Times New Roman" w:hAnsi="Times New Roman" w:cs="Times New Roman"/>
          <w:lang w:val="en-US"/>
        </w:rPr>
        <w:t xml:space="preserve"> them onto the texts themselves</w:t>
      </w:r>
      <w:r w:rsidR="00346416" w:rsidRPr="00DD7187">
        <w:rPr>
          <w:rFonts w:ascii="Times New Roman" w:hAnsi="Times New Roman" w:cs="Times New Roman"/>
          <w:lang w:val="en-US"/>
        </w:rPr>
        <w:t xml:space="preserve"> (33). Similarly, “heretical and… nonnormative readings of established cultural artifacts” (35), typical</w:t>
      </w:r>
      <w:r w:rsidR="008E7ED4" w:rsidRPr="00DD7187">
        <w:rPr>
          <w:rFonts w:ascii="Times New Roman" w:hAnsi="Times New Roman" w:cs="Times New Roman"/>
          <w:lang w:val="en-US"/>
        </w:rPr>
        <w:t>ly undertaken in service of a particular point</w:t>
      </w:r>
      <w:r w:rsidR="00346416" w:rsidRPr="00DD7187">
        <w:rPr>
          <w:rFonts w:ascii="Times New Roman" w:hAnsi="Times New Roman" w:cs="Times New Roman"/>
          <w:lang w:val="en-US"/>
        </w:rPr>
        <w:t>, constitute deformation. Placing themselves in this tradition, Samuels and McGann apply several deformative interpretive approaches to the poetry of Wallace Stevens. Each deformation is a procedure for rewriting a poem — reordering its lines from last to first, or deleting all the words but the nouns or the verbs — which spurs a new interpretation of the new version of the text. The key advantage of these deformations is a fruitful defamiliarization of the object of study: the procedure “reinstalls the text — any text, prose or verse — as a performative event, a made thing” (30) by</w:t>
      </w:r>
      <w:r w:rsidR="009D3C11" w:rsidRPr="00DD7187">
        <w:rPr>
          <w:rFonts w:ascii="Times New Roman" w:hAnsi="Times New Roman" w:cs="Times New Roman"/>
          <w:lang w:val="en-US"/>
        </w:rPr>
        <w:t xml:space="preserve"> rendering the mechanics of its creation salient</w:t>
      </w:r>
      <w:r w:rsidR="00346416" w:rsidRPr="00DD7187">
        <w:rPr>
          <w:rFonts w:ascii="Times New Roman" w:hAnsi="Times New Roman" w:cs="Times New Roman"/>
          <w:lang w:val="en-US"/>
        </w:rPr>
        <w:t xml:space="preserve">. </w:t>
      </w:r>
      <w:r w:rsidR="009D3C11" w:rsidRPr="00DD7187">
        <w:rPr>
          <w:rFonts w:ascii="Times New Roman" w:hAnsi="Times New Roman" w:cs="Times New Roman"/>
          <w:lang w:val="en-US"/>
        </w:rPr>
        <w:t xml:space="preserve">When readers cannot ignore the critic’s act of re-writing, we are implicitly asked to engage again with the author’s earlier act of writing. </w:t>
      </w:r>
      <w:r w:rsidR="00346416" w:rsidRPr="00DD7187">
        <w:rPr>
          <w:rFonts w:ascii="Times New Roman" w:hAnsi="Times New Roman" w:cs="Times New Roman"/>
          <w:lang w:val="en-US"/>
        </w:rPr>
        <w:t>This defamiliarization allows us to “imagine things about the text that we did not and perhaps could not otherwise know” (36), because we have been re-sensitized to new details of the work.</w:t>
      </w:r>
    </w:p>
    <w:p w14:paraId="5FE555A9" w14:textId="106BA0C4" w:rsidR="00B737AE" w:rsidRPr="00DD7187" w:rsidRDefault="00346416" w:rsidP="002C60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autoSpaceDE w:val="0"/>
        <w:autoSpaceDN w:val="0"/>
        <w:adjustRightInd w:val="0"/>
        <w:spacing w:line="480" w:lineRule="auto"/>
        <w:ind w:firstLine="700"/>
        <w:jc w:val="both"/>
        <w:rPr>
          <w:rFonts w:ascii="Times New Roman" w:hAnsi="Times New Roman" w:cs="Times New Roman"/>
          <w:lang w:val="en-US"/>
        </w:rPr>
      </w:pPr>
      <w:r w:rsidRPr="00DD7187">
        <w:rPr>
          <w:rFonts w:ascii="Times New Roman" w:hAnsi="Times New Roman" w:cs="Times New Roman"/>
          <w:lang w:val="en-US"/>
        </w:rPr>
        <w:t>It is through this new sensitivity that Samuels and M</w:t>
      </w:r>
      <w:r w:rsidR="008E7ED4" w:rsidRPr="00DD7187">
        <w:rPr>
          <w:rFonts w:ascii="Times New Roman" w:hAnsi="Times New Roman" w:cs="Times New Roman"/>
          <w:lang w:val="en-US"/>
        </w:rPr>
        <w:t xml:space="preserve">cGann begin to echo McCarty. </w:t>
      </w:r>
      <w:r w:rsidRPr="00DD7187">
        <w:rPr>
          <w:rFonts w:ascii="Times New Roman" w:hAnsi="Times New Roman" w:cs="Times New Roman"/>
          <w:lang w:val="en-US"/>
        </w:rPr>
        <w:t>The two essays at first seem to be concerned with very different approaches, but they</w:t>
      </w:r>
      <w:r w:rsidR="008E7ED4" w:rsidRPr="00DD7187">
        <w:rPr>
          <w:rFonts w:ascii="Times New Roman" w:hAnsi="Times New Roman" w:cs="Times New Roman"/>
          <w:lang w:val="en-US"/>
        </w:rPr>
        <w:t xml:space="preserve"> converge by way of Leah Price.</w:t>
      </w:r>
      <w:r w:rsidRPr="00DD7187">
        <w:rPr>
          <w:rFonts w:ascii="Times New Roman" w:hAnsi="Times New Roman" w:cs="Times New Roman"/>
          <w:lang w:val="en-US"/>
        </w:rPr>
        <w:t xml:space="preserve"> In </w:t>
      </w:r>
      <w:r w:rsidRPr="00DD7187">
        <w:rPr>
          <w:rFonts w:ascii="Times New Roman" w:hAnsi="Times New Roman" w:cs="Times New Roman"/>
          <w:i/>
          <w:iCs/>
          <w:lang w:val="en-US"/>
        </w:rPr>
        <w:t>The Anthology and the Rise of the Novel</w:t>
      </w:r>
      <w:r w:rsidRPr="00DD7187">
        <w:rPr>
          <w:rFonts w:ascii="Times New Roman" w:hAnsi="Times New Roman" w:cs="Times New Roman"/>
          <w:lang w:val="en-US"/>
        </w:rPr>
        <w:t>, Price draws attention to the ways in which all reading, and particularly all scholarly writing, must involve a constant re-editing of texts, influenced by memory and argument. In keeping with Samuels and McGann’s classification of “[e]laborate scholarly editions” (33) as deformative criticism, Price argues that any edited text — ‘elaborate’ or not — produces, not a flawed or distorted copy of the original, but a new text. The process of editing a text must always reveal the editor’s “unspoken assumptions about the most efficient way to convey information, and indeed what counts as info</w:t>
      </w:r>
      <w:r w:rsidR="008E7ED4" w:rsidRPr="00DD7187">
        <w:rPr>
          <w:rFonts w:ascii="Times New Roman" w:hAnsi="Times New Roman" w:cs="Times New Roman"/>
          <w:lang w:val="en-US"/>
        </w:rPr>
        <w:t xml:space="preserve">rmation at all” (13), and thus gives us a new thing to examine. </w:t>
      </w:r>
      <w:r w:rsidR="006C58CC" w:rsidRPr="00DD7187">
        <w:rPr>
          <w:rFonts w:ascii="Times New Roman" w:hAnsi="Times New Roman" w:cs="Times New Roman"/>
          <w:lang w:val="en-US"/>
        </w:rPr>
        <w:t xml:space="preserve">As Price observes, when </w:t>
      </w:r>
      <w:r w:rsidR="006C58CC" w:rsidRPr="00DD7187">
        <w:rPr>
          <w:rFonts w:ascii="Times New Roman" w:hAnsi="Times New Roman" w:cs="Times New Roman"/>
          <w:lang w:val="en-US"/>
        </w:rPr>
        <w:lastRenderedPageBreak/>
        <w:t>scholars examine texts— when we take notes on them, extract quotes for close reading, summarize or categorize scenes, chapters, or books— our act of reading is also one of editing. McCarty allows us to recognize that this mental editing is not a sign of scholarly weakness, but a model, made necessary by the limits of human memory. Price’s project is more interested in the literal anthologizing undertaken by publishers than in the mental anthologizing implicit in the scholarly act of thinking about several books at once; her ultimate argument is about the works of George Eliot, not about the methodology of literary criticism. Nonetheless, her observations, once anthologized in abridg</w:t>
      </w:r>
      <w:r w:rsidR="00FF0ABC" w:rsidRPr="00DD7187">
        <w:rPr>
          <w:rFonts w:ascii="Times New Roman" w:hAnsi="Times New Roman" w:cs="Times New Roman"/>
          <w:lang w:val="en-US"/>
        </w:rPr>
        <w:t xml:space="preserve">ed form alongside </w:t>
      </w:r>
      <w:r w:rsidR="006C58CC" w:rsidRPr="00DD7187">
        <w:rPr>
          <w:rFonts w:ascii="Times New Roman" w:hAnsi="Times New Roman" w:cs="Times New Roman"/>
          <w:lang w:val="en-US"/>
        </w:rPr>
        <w:t xml:space="preserve">digital humanities thinkers, </w:t>
      </w:r>
      <w:r w:rsidR="00904B37" w:rsidRPr="00DD7187">
        <w:rPr>
          <w:rFonts w:ascii="Times New Roman" w:hAnsi="Times New Roman" w:cs="Times New Roman"/>
          <w:lang w:val="en-US"/>
        </w:rPr>
        <w:t>allows us to ‘bare the devices’ of literary criticism itself.</w:t>
      </w:r>
    </w:p>
    <w:p w14:paraId="05010650" w14:textId="018735C5" w:rsidR="005B44C1" w:rsidRPr="00DD7187" w:rsidRDefault="005B44C1" w:rsidP="002C60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autoSpaceDE w:val="0"/>
        <w:autoSpaceDN w:val="0"/>
        <w:adjustRightInd w:val="0"/>
        <w:spacing w:line="480" w:lineRule="auto"/>
        <w:ind w:firstLine="700"/>
        <w:jc w:val="both"/>
        <w:rPr>
          <w:rFonts w:ascii="Times New Roman" w:hAnsi="Times New Roman" w:cs="Times New Roman"/>
          <w:lang w:val="en-US"/>
        </w:rPr>
      </w:pPr>
      <w:r w:rsidRPr="00DD7187">
        <w:rPr>
          <w:rFonts w:ascii="Times New Roman" w:hAnsi="Times New Roman" w:cs="Times New Roman"/>
          <w:lang w:val="en-US"/>
        </w:rPr>
        <w:t xml:space="preserve">My own modeling framework is informed by all of these. My key ideas are sensitivity in data selection, and procedurality in visual representation. My two ‘texts’ – Tracy’s and Frank’s bibliographies – are themselves two very different deformative models of ‘The Gothic Novel,’ and each render different distinctions more or less salient. When forming my research questions, I begin by asking what a given source of information allows me to be sensitive to. Tracy’s motifs emphasize events and singular images, with each detail systematically tallied. In contrast, Frank’s Gothic types emphasize a work’s overall tone, and his evaluations are at times maddeningly qualitative and subtle. The two are thus able to usefully complement each other. As I work with these texts, I dwell upon procedure as a way to meditate upon the implications of earlier critics’ frameworks. Because I must iterate all of my decisions at least 178 times when I decide to include a new axis of distinction in my spreadsheet, much of my ‘research’ has been developing procedures that work </w:t>
      </w:r>
      <w:r w:rsidRPr="00DD7187">
        <w:rPr>
          <w:rFonts w:ascii="Times New Roman" w:hAnsi="Times New Roman" w:cs="Times New Roman"/>
          <w:i/>
          <w:iCs/>
          <w:lang w:val="en-US"/>
        </w:rPr>
        <w:t>with</w:t>
      </w:r>
      <w:r w:rsidRPr="00DD7187">
        <w:rPr>
          <w:rFonts w:ascii="Times New Roman" w:hAnsi="Times New Roman" w:cs="Times New Roman"/>
          <w:lang w:val="en-US"/>
        </w:rPr>
        <w:t xml:space="preserve"> each model, deforming books into spreadsheets and then into images in ways that will render their implicit models explicit and obvious. Rather than visualizing data, then, my goal has been to </w:t>
      </w:r>
      <w:r w:rsidR="00ED66B7">
        <w:rPr>
          <w:rFonts w:ascii="Times New Roman" w:hAnsi="Times New Roman" w:cs="Times New Roman"/>
          <w:lang w:val="en-US"/>
        </w:rPr>
        <w:t>grasp</w:t>
      </w:r>
      <w:r w:rsidRPr="00DD7187">
        <w:rPr>
          <w:rFonts w:ascii="Times New Roman" w:hAnsi="Times New Roman" w:cs="Times New Roman"/>
          <w:lang w:val="en-US"/>
        </w:rPr>
        <w:t xml:space="preserve"> models. </w:t>
      </w:r>
      <w:r w:rsidR="00EF7920">
        <w:rPr>
          <w:rFonts w:ascii="Times New Roman" w:hAnsi="Times New Roman" w:cs="Times New Roman"/>
          <w:lang w:val="en-US"/>
        </w:rPr>
        <w:t>The procedure</w:t>
      </w:r>
      <w:r w:rsidR="00ED66B7">
        <w:rPr>
          <w:rFonts w:ascii="Times New Roman" w:hAnsi="Times New Roman" w:cs="Times New Roman"/>
          <w:lang w:val="en-US"/>
        </w:rPr>
        <w:t xml:space="preserve"> of graphing each </w:t>
      </w:r>
      <w:r w:rsidR="00ED66B7">
        <w:rPr>
          <w:rFonts w:ascii="Times New Roman" w:hAnsi="Times New Roman" w:cs="Times New Roman"/>
          <w:lang w:val="en-US"/>
        </w:rPr>
        <w:lastRenderedPageBreak/>
        <w:t xml:space="preserve">bibliography </w:t>
      </w:r>
      <w:r w:rsidRPr="00DD7187">
        <w:rPr>
          <w:rFonts w:ascii="Times New Roman" w:hAnsi="Times New Roman" w:cs="Times New Roman"/>
          <w:lang w:val="en-US"/>
        </w:rPr>
        <w:t>am</w:t>
      </w:r>
      <w:r w:rsidR="00ED66B7">
        <w:rPr>
          <w:rFonts w:ascii="Times New Roman" w:hAnsi="Times New Roman" w:cs="Times New Roman"/>
          <w:lang w:val="en-US"/>
        </w:rPr>
        <w:t>plifies</w:t>
      </w:r>
      <w:r w:rsidRPr="00DD7187">
        <w:rPr>
          <w:rFonts w:ascii="Times New Roman" w:hAnsi="Times New Roman" w:cs="Times New Roman"/>
          <w:lang w:val="en-US"/>
        </w:rPr>
        <w:t xml:space="preserve"> Tracy’s and Frank’s choices, allowing me to see whether their distinctions are fruitful, and whether their results accord with our expectations.</w:t>
      </w:r>
    </w:p>
    <w:p w14:paraId="46082F6E" w14:textId="77777777" w:rsidR="00904B37" w:rsidRPr="00DD7187" w:rsidRDefault="00904B37" w:rsidP="002C60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autoSpaceDE w:val="0"/>
        <w:autoSpaceDN w:val="0"/>
        <w:adjustRightInd w:val="0"/>
        <w:spacing w:line="480" w:lineRule="auto"/>
        <w:ind w:firstLine="700"/>
        <w:jc w:val="both"/>
        <w:rPr>
          <w:rFonts w:ascii="Times New Roman" w:hAnsi="Times New Roman" w:cs="Times New Roman"/>
          <w:lang w:val="en-US"/>
        </w:rPr>
      </w:pPr>
    </w:p>
    <w:p w14:paraId="431078E9" w14:textId="44193965" w:rsidR="00904B37" w:rsidRPr="00DD7187" w:rsidRDefault="00904B37" w:rsidP="002C60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autoSpaceDE w:val="0"/>
        <w:autoSpaceDN w:val="0"/>
        <w:adjustRightInd w:val="0"/>
        <w:spacing w:line="480" w:lineRule="auto"/>
        <w:ind w:firstLine="700"/>
        <w:jc w:val="center"/>
        <w:rPr>
          <w:rFonts w:ascii="Times New Roman" w:hAnsi="Times New Roman" w:cs="Times New Roman"/>
          <w:i/>
          <w:lang w:val="en-US"/>
        </w:rPr>
      </w:pPr>
      <w:r w:rsidRPr="00DD7187">
        <w:rPr>
          <w:rFonts w:ascii="Times New Roman" w:hAnsi="Times New Roman" w:cs="Times New Roman"/>
          <w:i/>
          <w:lang w:val="en-US"/>
        </w:rPr>
        <w:t>Ann Tracy’s Motifs</w:t>
      </w:r>
    </w:p>
    <w:p w14:paraId="6A0E63B8" w14:textId="135BD5ED" w:rsidR="00346416" w:rsidRPr="00DD7187" w:rsidRDefault="00346416" w:rsidP="002C60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autoSpaceDE w:val="0"/>
        <w:autoSpaceDN w:val="0"/>
        <w:adjustRightInd w:val="0"/>
        <w:spacing w:line="480" w:lineRule="auto"/>
        <w:ind w:firstLine="700"/>
        <w:jc w:val="both"/>
        <w:rPr>
          <w:rFonts w:ascii="Times New Roman" w:hAnsi="Times New Roman" w:cs="Times New Roman"/>
          <w:lang w:val="en-US"/>
        </w:rPr>
      </w:pPr>
      <w:r w:rsidRPr="00DD7187">
        <w:rPr>
          <w:rFonts w:ascii="Times New Roman" w:hAnsi="Times New Roman" w:cs="Times New Roman"/>
          <w:lang w:val="en-US"/>
        </w:rPr>
        <w:t>I began with the ten-page ‘Index to Motifs’ included at the end of Ann Tracy’s bibliography. Tracy uses the term “motif” broadly to encompass a wide range of plot elements, images, and character types. This index is clearly built for a different kind of scholarly use than that which I have made of it; its intended audience is “scholars with particular interests” (195), who wish to locate new books to close-read that contain difficult-to-find individual story elements, such as “doppelganger” (198) or “garden as a scene of temptation” (200). Accordingly, Tracy has prioritized presenting a wide range of distinctive individual motifs rather than those that constitute the norm. Indeed, her preface to the index indicates that highly popular motifs were intentionally excluded: “the abundance of murders,” she says, “argued for the retention… of specialized murders only” (195), and castle</w:t>
      </w:r>
      <w:r w:rsidR="008E7ED4" w:rsidRPr="00DD7187">
        <w:rPr>
          <w:rFonts w:ascii="Times New Roman" w:hAnsi="Times New Roman" w:cs="Times New Roman"/>
          <w:lang w:val="en-US"/>
        </w:rPr>
        <w:t xml:space="preserve">s have similarly been ignored. </w:t>
      </w:r>
      <w:r w:rsidRPr="00DD7187">
        <w:rPr>
          <w:rFonts w:ascii="Times New Roman" w:hAnsi="Times New Roman" w:cs="Times New Roman"/>
          <w:lang w:val="en-US"/>
        </w:rPr>
        <w:t>Tracy’s model of the Got</w:t>
      </w:r>
      <w:r w:rsidR="008E7ED4" w:rsidRPr="00DD7187">
        <w:rPr>
          <w:rFonts w:ascii="Times New Roman" w:hAnsi="Times New Roman" w:cs="Times New Roman"/>
          <w:lang w:val="en-US"/>
        </w:rPr>
        <w:t xml:space="preserve">hic is sensitive to uniqueness. </w:t>
      </w:r>
      <w:r w:rsidR="00132325" w:rsidRPr="00DD7187">
        <w:rPr>
          <w:rFonts w:ascii="Times New Roman" w:hAnsi="Times New Roman" w:cs="Times New Roman"/>
          <w:lang w:val="en-US"/>
        </w:rPr>
        <w:t>It treats each individual novel</w:t>
      </w:r>
      <w:r w:rsidRPr="00DD7187">
        <w:rPr>
          <w:rFonts w:ascii="Times New Roman" w:hAnsi="Times New Roman" w:cs="Times New Roman"/>
          <w:lang w:val="en-US"/>
        </w:rPr>
        <w:t xml:space="preserve"> as a </w:t>
      </w:r>
      <w:r w:rsidR="008E7ED4" w:rsidRPr="00DD7187">
        <w:rPr>
          <w:rFonts w:ascii="Times New Roman" w:hAnsi="Times New Roman" w:cs="Times New Roman"/>
          <w:lang w:val="en-US"/>
        </w:rPr>
        <w:t>collection</w:t>
      </w:r>
      <w:r w:rsidRPr="00DD7187">
        <w:rPr>
          <w:rFonts w:ascii="Times New Roman" w:hAnsi="Times New Roman" w:cs="Times New Roman"/>
          <w:lang w:val="en-US"/>
        </w:rPr>
        <w:t xml:space="preserve"> of discrete elements, only one of which is likely to be of inte</w:t>
      </w:r>
      <w:r w:rsidR="008E7ED4" w:rsidRPr="00DD7187">
        <w:rPr>
          <w:rFonts w:ascii="Times New Roman" w:hAnsi="Times New Roman" w:cs="Times New Roman"/>
          <w:lang w:val="en-US"/>
        </w:rPr>
        <w:t xml:space="preserve">rest to a given scholar. </w:t>
      </w:r>
      <w:r w:rsidRPr="00DD7187">
        <w:rPr>
          <w:rFonts w:ascii="Times New Roman" w:hAnsi="Times New Roman" w:cs="Times New Roman"/>
          <w:lang w:val="en-US"/>
        </w:rPr>
        <w:t>The information presented alongside each novel’s bibliographic entry, by which critics are meant to determine whether they want to re</w:t>
      </w:r>
      <w:r w:rsidR="008E7ED4" w:rsidRPr="00DD7187">
        <w:rPr>
          <w:rFonts w:ascii="Times New Roman" w:hAnsi="Times New Roman" w:cs="Times New Roman"/>
          <w:lang w:val="en-US"/>
        </w:rPr>
        <w:t xml:space="preserve">ad the book, is a plot summary. </w:t>
      </w:r>
      <w:r w:rsidRPr="00DD7187">
        <w:rPr>
          <w:rFonts w:ascii="Times New Roman" w:hAnsi="Times New Roman" w:cs="Times New Roman"/>
          <w:lang w:val="en-US"/>
        </w:rPr>
        <w:t>Her summaries point out distinctive details, such as “a particularly interesting Sat</w:t>
      </w:r>
      <w:r w:rsidR="008E7ED4" w:rsidRPr="00DD7187">
        <w:rPr>
          <w:rFonts w:ascii="Times New Roman" w:hAnsi="Times New Roman" w:cs="Times New Roman"/>
          <w:lang w:val="en-US"/>
        </w:rPr>
        <w:t xml:space="preserve">an, with molten insides” (74). </w:t>
      </w:r>
      <w:r w:rsidRPr="00DD7187">
        <w:rPr>
          <w:rFonts w:ascii="Times New Roman" w:hAnsi="Times New Roman" w:cs="Times New Roman"/>
          <w:lang w:val="en-US"/>
        </w:rPr>
        <w:t xml:space="preserve">The bare facts of the plot are thus treated as the primary site </w:t>
      </w:r>
      <w:r w:rsidR="008E7ED4" w:rsidRPr="00DD7187">
        <w:rPr>
          <w:rFonts w:ascii="Times New Roman" w:hAnsi="Times New Roman" w:cs="Times New Roman"/>
          <w:lang w:val="en-US"/>
        </w:rPr>
        <w:t xml:space="preserve">of interesting investigation. </w:t>
      </w:r>
      <w:r w:rsidRPr="00DD7187">
        <w:rPr>
          <w:rFonts w:ascii="Times New Roman" w:hAnsi="Times New Roman" w:cs="Times New Roman"/>
          <w:lang w:val="en-US"/>
        </w:rPr>
        <w:t>The motifs themselves — Satans, murders, doppelgangers, gardens — thus become the stable objects of study, which may or may not beco</w:t>
      </w:r>
      <w:r w:rsidR="008E7ED4" w:rsidRPr="00DD7187">
        <w:rPr>
          <w:rFonts w:ascii="Times New Roman" w:hAnsi="Times New Roman" w:cs="Times New Roman"/>
          <w:lang w:val="en-US"/>
        </w:rPr>
        <w:t xml:space="preserve">me visible in individual texts. </w:t>
      </w:r>
      <w:r w:rsidRPr="00DD7187">
        <w:rPr>
          <w:rFonts w:ascii="Times New Roman" w:hAnsi="Times New Roman" w:cs="Times New Roman"/>
          <w:lang w:val="en-US"/>
        </w:rPr>
        <w:t>Intertextual and chronological relations</w:t>
      </w:r>
      <w:r w:rsidR="008E7ED4" w:rsidRPr="00DD7187">
        <w:rPr>
          <w:rFonts w:ascii="Times New Roman" w:hAnsi="Times New Roman" w:cs="Times New Roman"/>
          <w:lang w:val="en-US"/>
        </w:rPr>
        <w:t xml:space="preserve">hips are </w:t>
      </w:r>
      <w:r w:rsidR="008E7ED4" w:rsidRPr="00DD7187">
        <w:rPr>
          <w:rFonts w:ascii="Times New Roman" w:hAnsi="Times New Roman" w:cs="Times New Roman"/>
          <w:lang w:val="en-US"/>
        </w:rPr>
        <w:lastRenderedPageBreak/>
        <w:t xml:space="preserve">minimized in favor of crystallizing motifs. </w:t>
      </w:r>
      <w:r w:rsidRPr="00DD7187">
        <w:rPr>
          <w:rFonts w:ascii="Times New Roman" w:hAnsi="Times New Roman" w:cs="Times New Roman"/>
          <w:lang w:val="en-US"/>
        </w:rPr>
        <w:t xml:space="preserve">In </w:t>
      </w:r>
      <w:r w:rsidR="00132325" w:rsidRPr="00DD7187">
        <w:rPr>
          <w:rFonts w:ascii="Times New Roman" w:hAnsi="Times New Roman" w:cs="Times New Roman"/>
          <w:lang w:val="en-US"/>
        </w:rPr>
        <w:t>Tracy’s</w:t>
      </w:r>
      <w:r w:rsidRPr="00DD7187">
        <w:rPr>
          <w:rFonts w:ascii="Times New Roman" w:hAnsi="Times New Roman" w:cs="Times New Roman"/>
          <w:lang w:val="en-US"/>
        </w:rPr>
        <w:t xml:space="preserve"> model of the Gothic, the Gothic is defined by free-floating concepts, which must be examined through the </w:t>
      </w:r>
      <w:r w:rsidR="008E7ED4" w:rsidRPr="00DD7187">
        <w:rPr>
          <w:rFonts w:ascii="Times New Roman" w:hAnsi="Times New Roman" w:cs="Times New Roman"/>
          <w:lang w:val="en-US"/>
        </w:rPr>
        <w:t>filter of individual novels.</w:t>
      </w:r>
    </w:p>
    <w:p w14:paraId="512C9B0E" w14:textId="149ADEFC" w:rsidR="00744013" w:rsidRPr="00DD7187" w:rsidRDefault="00346416" w:rsidP="002C60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autoSpaceDE w:val="0"/>
        <w:autoSpaceDN w:val="0"/>
        <w:adjustRightInd w:val="0"/>
        <w:spacing w:line="480" w:lineRule="auto"/>
        <w:ind w:firstLine="706"/>
        <w:jc w:val="both"/>
        <w:rPr>
          <w:rFonts w:ascii="Times New Roman" w:hAnsi="Times New Roman" w:cs="Times New Roman"/>
          <w:lang w:val="en-US"/>
        </w:rPr>
      </w:pPr>
      <w:r w:rsidRPr="00DD7187">
        <w:rPr>
          <w:rFonts w:ascii="Times New Roman" w:hAnsi="Times New Roman" w:cs="Times New Roman"/>
          <w:lang w:val="en-US"/>
        </w:rPr>
        <w:t>My own adap</w:t>
      </w:r>
      <w:r w:rsidR="008E7ED4" w:rsidRPr="00DD7187">
        <w:rPr>
          <w:rFonts w:ascii="Times New Roman" w:hAnsi="Times New Roman" w:cs="Times New Roman"/>
          <w:lang w:val="en-US"/>
        </w:rPr>
        <w:t xml:space="preserve">tation of Tracy’s bibliography </w:t>
      </w:r>
      <w:r w:rsidRPr="00DD7187">
        <w:rPr>
          <w:rFonts w:ascii="Times New Roman" w:hAnsi="Times New Roman" w:cs="Times New Roman"/>
          <w:lang w:val="en-US"/>
        </w:rPr>
        <w:t>accepts t</w:t>
      </w:r>
      <w:r w:rsidR="008E7ED4" w:rsidRPr="00DD7187">
        <w:rPr>
          <w:rFonts w:ascii="Times New Roman" w:hAnsi="Times New Roman" w:cs="Times New Roman"/>
          <w:lang w:val="en-US"/>
        </w:rPr>
        <w:t xml:space="preserve">his model and elaborates on it. </w:t>
      </w:r>
      <w:r w:rsidRPr="00DD7187">
        <w:rPr>
          <w:rFonts w:ascii="Times New Roman" w:hAnsi="Times New Roman" w:cs="Times New Roman"/>
          <w:lang w:val="en-US"/>
        </w:rPr>
        <w:t xml:space="preserve">Tracy is always pointing outward to the books themselves, but </w:t>
      </w:r>
      <w:r w:rsidR="008E7ED4" w:rsidRPr="00DD7187">
        <w:rPr>
          <w:rFonts w:ascii="Times New Roman" w:hAnsi="Times New Roman" w:cs="Times New Roman"/>
          <w:lang w:val="en-US"/>
        </w:rPr>
        <w:t xml:space="preserve">I have foregrounded the motifs. </w:t>
      </w:r>
      <w:r w:rsidRPr="00DD7187">
        <w:rPr>
          <w:rFonts w:ascii="Times New Roman" w:hAnsi="Times New Roman" w:cs="Times New Roman"/>
          <w:lang w:val="en-US"/>
        </w:rPr>
        <w:t>I turn my attention to those motifs prevalent enough that their multiple appearances consti</w:t>
      </w:r>
      <w:r w:rsidR="008E7ED4" w:rsidRPr="00DD7187">
        <w:rPr>
          <w:rFonts w:ascii="Times New Roman" w:hAnsi="Times New Roman" w:cs="Times New Roman"/>
          <w:lang w:val="en-US"/>
        </w:rPr>
        <w:t>tute an object worthy of study.</w:t>
      </w:r>
      <w:r w:rsidRPr="00DD7187">
        <w:rPr>
          <w:rFonts w:ascii="Times New Roman" w:hAnsi="Times New Roman" w:cs="Times New Roman"/>
          <w:lang w:val="en-US"/>
        </w:rPr>
        <w:t xml:space="preserve"> Due to Tracy’s interest in uniqueness, 138 of the 208 motifs indexed appear in fewer than 20 novels, and have thu</w:t>
      </w:r>
      <w:r w:rsidR="008E7ED4" w:rsidRPr="00DD7187">
        <w:rPr>
          <w:rFonts w:ascii="Times New Roman" w:hAnsi="Times New Roman" w:cs="Times New Roman"/>
          <w:lang w:val="en-US"/>
        </w:rPr>
        <w:t xml:space="preserve">s been excluded from my study. </w:t>
      </w:r>
      <w:r w:rsidRPr="00DD7187">
        <w:rPr>
          <w:rFonts w:ascii="Times New Roman" w:hAnsi="Times New Roman" w:cs="Times New Roman"/>
          <w:lang w:val="en-US"/>
        </w:rPr>
        <w:t xml:space="preserve">This leaves me with </w:t>
      </w:r>
      <w:r w:rsidR="0046794F">
        <w:rPr>
          <w:rFonts w:ascii="Times New Roman" w:hAnsi="Times New Roman" w:cs="Times New Roman"/>
          <w:lang w:val="en-US"/>
        </w:rPr>
        <w:t>70</w:t>
      </w:r>
      <w:r w:rsidRPr="00DD7187">
        <w:rPr>
          <w:rFonts w:ascii="Times New Roman" w:hAnsi="Times New Roman" w:cs="Times New Roman"/>
          <w:lang w:val="en-US"/>
        </w:rPr>
        <w:t xml:space="preserve"> motifs, which form th</w:t>
      </w:r>
      <w:r w:rsidR="008E7ED4" w:rsidRPr="00DD7187">
        <w:rPr>
          <w:rFonts w:ascii="Times New Roman" w:hAnsi="Times New Roman" w:cs="Times New Roman"/>
          <w:lang w:val="en-US"/>
        </w:rPr>
        <w:t>e foundation of my experiments.</w:t>
      </w:r>
      <w:r w:rsidR="00D976A0" w:rsidRPr="00DD7187">
        <w:rPr>
          <w:rFonts w:ascii="Times New Roman" w:hAnsi="Times New Roman" w:cs="Times New Roman"/>
          <w:lang w:val="en-US"/>
        </w:rPr>
        <w:t xml:space="preserve"> Tracy’s B</w:t>
      </w:r>
      <w:r w:rsidRPr="00DD7187">
        <w:rPr>
          <w:rFonts w:ascii="Times New Roman" w:hAnsi="Times New Roman" w:cs="Times New Roman"/>
          <w:lang w:val="en-US"/>
        </w:rPr>
        <w:t>oolean treatment of these motifs has already elided many details; in her index, a motif either exists in a work or it does not, with no attention paid even in the detailed summaries as to how the motif is presented or the importance of its pres</w:t>
      </w:r>
      <w:r w:rsidR="008E7ED4" w:rsidRPr="00DD7187">
        <w:rPr>
          <w:rFonts w:ascii="Times New Roman" w:hAnsi="Times New Roman" w:cs="Times New Roman"/>
          <w:lang w:val="en-US"/>
        </w:rPr>
        <w:t>ence. The description of a character</w:t>
      </w:r>
      <w:r w:rsidR="00D976A0" w:rsidRPr="00DD7187">
        <w:rPr>
          <w:rFonts w:ascii="Times New Roman" w:hAnsi="Times New Roman" w:cs="Times New Roman"/>
          <w:lang w:val="en-US"/>
        </w:rPr>
        <w:t xml:space="preserve"> as ‘a parricide’</w:t>
      </w:r>
      <w:r w:rsidRPr="00DD7187">
        <w:rPr>
          <w:rFonts w:ascii="Times New Roman" w:hAnsi="Times New Roman" w:cs="Times New Roman"/>
          <w:lang w:val="en-US"/>
        </w:rPr>
        <w:t xml:space="preserve"> in </w:t>
      </w:r>
      <w:r w:rsidRPr="00DD7187">
        <w:rPr>
          <w:rFonts w:ascii="Times New Roman" w:hAnsi="Times New Roman" w:cs="Times New Roman"/>
          <w:i/>
          <w:iCs/>
          <w:lang w:val="en-US"/>
        </w:rPr>
        <w:t>Melmoth the Wanderer</w:t>
      </w:r>
      <w:r w:rsidRPr="00DD7187">
        <w:rPr>
          <w:rFonts w:ascii="Times New Roman" w:hAnsi="Times New Roman" w:cs="Times New Roman"/>
          <w:lang w:val="en-US"/>
        </w:rPr>
        <w:t xml:space="preserve">, for example, is sufficient to have that work indexed under “parricide” (Tracy 202), placing it on equal footing as novels in which the murder of a father </w:t>
      </w:r>
      <w:r w:rsidR="00D603F6" w:rsidRPr="00DD7187">
        <w:rPr>
          <w:rFonts w:ascii="Times New Roman" w:hAnsi="Times New Roman" w:cs="Times New Roman"/>
          <w:lang w:val="en-US"/>
        </w:rPr>
        <w:t xml:space="preserve">is </w:t>
      </w:r>
      <w:r w:rsidR="00353DA8" w:rsidRPr="00DD7187">
        <w:rPr>
          <w:rFonts w:ascii="Times New Roman" w:hAnsi="Times New Roman" w:cs="Times New Roman"/>
          <w:lang w:val="en-US"/>
        </w:rPr>
        <w:t xml:space="preserve">directly </w:t>
      </w:r>
      <w:r w:rsidR="00D603F6" w:rsidRPr="00DD7187">
        <w:rPr>
          <w:rFonts w:ascii="Times New Roman" w:hAnsi="Times New Roman" w:cs="Times New Roman"/>
          <w:lang w:val="en-US"/>
        </w:rPr>
        <w:t xml:space="preserve">depicted. </w:t>
      </w:r>
      <w:r w:rsidRPr="00DD7187">
        <w:rPr>
          <w:rFonts w:ascii="Times New Roman" w:hAnsi="Times New Roman" w:cs="Times New Roman"/>
          <w:lang w:val="en-US"/>
        </w:rPr>
        <w:t>I</w:t>
      </w:r>
      <w:r w:rsidR="0046794F">
        <w:rPr>
          <w:rFonts w:ascii="Times New Roman" w:hAnsi="Times New Roman" w:cs="Times New Roman"/>
          <w:lang w:val="en-US"/>
        </w:rPr>
        <w:t>n many cases,</w:t>
      </w:r>
      <w:r w:rsidRPr="00DD7187">
        <w:rPr>
          <w:rFonts w:ascii="Times New Roman" w:hAnsi="Times New Roman" w:cs="Times New Roman"/>
          <w:lang w:val="en-US"/>
        </w:rPr>
        <w:t xml:space="preserve"> </w:t>
      </w:r>
      <w:r w:rsidR="0046794F">
        <w:rPr>
          <w:rFonts w:ascii="Times New Roman" w:hAnsi="Times New Roman" w:cs="Times New Roman"/>
          <w:lang w:val="en-US"/>
        </w:rPr>
        <w:t xml:space="preserve">I </w:t>
      </w:r>
      <w:r w:rsidRPr="00DD7187">
        <w:rPr>
          <w:rFonts w:ascii="Times New Roman" w:hAnsi="Times New Roman" w:cs="Times New Roman"/>
          <w:lang w:val="en-US"/>
        </w:rPr>
        <w:t>have further distilled each motif to its simplest case by ignoring the detailed sub-categories which Tracy sometimes provides.  “Poison,” for example, is indexed with categories for “blade,” “chaplet,” “kiss,” “letter,” “orange,” “plant on grave,” and “sacrificial wine” (203), but I have elided these nuances in favor of a broader category of “poison (</w:t>
      </w:r>
      <w:r w:rsidR="009F4FA7">
        <w:rPr>
          <w:rFonts w:ascii="Times New Roman" w:hAnsi="Times New Roman" w:cs="Times New Roman"/>
          <w:lang w:val="en-US"/>
        </w:rPr>
        <w:t>all subcategories</w:t>
      </w:r>
      <w:r w:rsidRPr="00DD7187">
        <w:rPr>
          <w:rFonts w:ascii="Times New Roman" w:hAnsi="Times New Roman" w:cs="Times New Roman"/>
          <w:lang w:val="en-US"/>
        </w:rPr>
        <w:t>).”</w:t>
      </w:r>
      <w:r w:rsidR="0046794F">
        <w:rPr>
          <w:rStyle w:val="FootnoteReference"/>
          <w:rFonts w:ascii="Times New Roman" w:hAnsi="Times New Roman" w:cs="Times New Roman"/>
          <w:lang w:val="en-US"/>
        </w:rPr>
        <w:footnoteReference w:id="3"/>
      </w:r>
      <w:r w:rsidRPr="00DD7187">
        <w:rPr>
          <w:rFonts w:ascii="Times New Roman" w:hAnsi="Times New Roman" w:cs="Times New Roman"/>
          <w:lang w:val="en-US"/>
        </w:rPr>
        <w:t xml:space="preserve"> This new motif applies to 30 novels, a large enough group that it becomes possibl</w:t>
      </w:r>
      <w:r w:rsidR="00132325" w:rsidRPr="00DD7187">
        <w:rPr>
          <w:rFonts w:ascii="Times New Roman" w:hAnsi="Times New Roman" w:cs="Times New Roman"/>
          <w:lang w:val="en-US"/>
        </w:rPr>
        <w:t>e to look for patterns within it</w:t>
      </w:r>
      <w:r w:rsidRPr="00DD7187">
        <w:rPr>
          <w:rFonts w:ascii="Times New Roman" w:hAnsi="Times New Roman" w:cs="Times New Roman"/>
          <w:lang w:val="en-US"/>
        </w:rPr>
        <w:t>. This description of my methods emphasizes places where differences between books have been intent</w:t>
      </w:r>
      <w:r w:rsidR="008E7ED4" w:rsidRPr="00DD7187">
        <w:rPr>
          <w:rFonts w:ascii="Times New Roman" w:hAnsi="Times New Roman" w:cs="Times New Roman"/>
          <w:lang w:val="en-US"/>
        </w:rPr>
        <w:t xml:space="preserve">ionally reduced. However, these elisions do not result in a loss of overall </w:t>
      </w:r>
      <w:r w:rsidR="008E7ED4" w:rsidRPr="00DD7187">
        <w:rPr>
          <w:rFonts w:ascii="Times New Roman" w:hAnsi="Times New Roman" w:cs="Times New Roman"/>
          <w:lang w:val="en-US"/>
        </w:rPr>
        <w:lastRenderedPageBreak/>
        <w:t>meaning</w:t>
      </w:r>
      <w:r w:rsidRPr="00DD7187">
        <w:rPr>
          <w:rFonts w:ascii="Times New Roman" w:hAnsi="Times New Roman" w:cs="Times New Roman"/>
          <w:lang w:val="en-US"/>
        </w:rPr>
        <w:t xml:space="preserve">. Instead, I deform her index to produce a model of the Gothic that is sensitive to </w:t>
      </w:r>
      <w:r w:rsidR="008E7ED4" w:rsidRPr="00DD7187">
        <w:rPr>
          <w:rFonts w:ascii="Times New Roman" w:hAnsi="Times New Roman" w:cs="Times New Roman"/>
          <w:lang w:val="en-US"/>
        </w:rPr>
        <w:t>which</w:t>
      </w:r>
      <w:r w:rsidRPr="00DD7187">
        <w:rPr>
          <w:rFonts w:ascii="Times New Roman" w:hAnsi="Times New Roman" w:cs="Times New Roman"/>
          <w:lang w:val="en-US"/>
        </w:rPr>
        <w:t xml:space="preserve"> particular elements of the ‘Gothic toolkit’ </w:t>
      </w:r>
      <w:r w:rsidR="008E7ED4" w:rsidRPr="00DD7187">
        <w:rPr>
          <w:rFonts w:ascii="Times New Roman" w:hAnsi="Times New Roman" w:cs="Times New Roman"/>
          <w:lang w:val="en-US"/>
        </w:rPr>
        <w:t xml:space="preserve">authors are more likely to use. </w:t>
      </w:r>
      <w:r w:rsidRPr="00DD7187">
        <w:rPr>
          <w:rFonts w:ascii="Times New Roman" w:hAnsi="Times New Roman" w:cs="Times New Roman"/>
          <w:lang w:val="en-US"/>
        </w:rPr>
        <w:t>My deformed version of Tracy’s index is now far less useful for locating outlier texts for closer reading, but sensitivity to one thing is tra</w:t>
      </w:r>
      <w:r w:rsidR="008E7ED4" w:rsidRPr="00DD7187">
        <w:rPr>
          <w:rFonts w:ascii="Times New Roman" w:hAnsi="Times New Roman" w:cs="Times New Roman"/>
          <w:lang w:val="en-US"/>
        </w:rPr>
        <w:t>ded for sensitivity to another.</w:t>
      </w:r>
      <w:r w:rsidR="00D4576F">
        <w:rPr>
          <w:rFonts w:ascii="Times New Roman" w:hAnsi="Times New Roman" w:cs="Times New Roman"/>
          <w:lang w:val="en-US"/>
        </w:rPr>
        <w:t xml:space="preserve"> The various motifs </w:t>
      </w:r>
      <w:r w:rsidR="00D4576F" w:rsidRPr="00D4576F">
        <w:rPr>
          <w:rFonts w:ascii="Times New Roman" w:hAnsi="Times New Roman" w:cs="Times New Roman"/>
          <w:lang w:val="en-US"/>
        </w:rPr>
        <w:t xml:space="preserve">– </w:t>
      </w:r>
      <w:r w:rsidRPr="00D4576F">
        <w:rPr>
          <w:rFonts w:ascii="Times New Roman" w:hAnsi="Times New Roman" w:cs="Times New Roman"/>
          <w:lang w:val="en-US"/>
        </w:rPr>
        <w:t>wh</w:t>
      </w:r>
      <w:r w:rsidR="008E7ED4" w:rsidRPr="00D4576F">
        <w:rPr>
          <w:rFonts w:ascii="Times New Roman" w:hAnsi="Times New Roman" w:cs="Times New Roman"/>
          <w:lang w:val="en-US"/>
        </w:rPr>
        <w:t xml:space="preserve">ich Tracy implicitly treats as </w:t>
      </w:r>
      <w:r w:rsidR="00D4576F" w:rsidRPr="00D4576F">
        <w:rPr>
          <w:rFonts w:ascii="Times New Roman" w:hAnsi="Times New Roman" w:cs="Times New Roman"/>
          <w:lang w:val="en-US"/>
        </w:rPr>
        <w:t xml:space="preserve">key to our understanding of the Gothic, but buried within various texts – </w:t>
      </w:r>
      <w:r w:rsidRPr="00D4576F">
        <w:rPr>
          <w:rFonts w:ascii="Times New Roman" w:hAnsi="Times New Roman" w:cs="Times New Roman"/>
          <w:lang w:val="en-US"/>
        </w:rPr>
        <w:t xml:space="preserve"> are now expo</w:t>
      </w:r>
      <w:r w:rsidR="008E7ED4" w:rsidRPr="00D4576F">
        <w:rPr>
          <w:rFonts w:ascii="Times New Roman" w:hAnsi="Times New Roman" w:cs="Times New Roman"/>
          <w:lang w:val="en-US"/>
        </w:rPr>
        <w:t xml:space="preserve">sed for explicit </w:t>
      </w:r>
      <w:r w:rsidR="00D4576F" w:rsidRPr="00D4576F">
        <w:rPr>
          <w:rFonts w:ascii="Times New Roman" w:hAnsi="Times New Roman" w:cs="Times New Roman"/>
          <w:lang w:val="en-US"/>
        </w:rPr>
        <w:t xml:space="preserve">individual </w:t>
      </w:r>
      <w:r w:rsidR="008E7ED4" w:rsidRPr="00D4576F">
        <w:rPr>
          <w:rFonts w:ascii="Times New Roman" w:hAnsi="Times New Roman" w:cs="Times New Roman"/>
          <w:lang w:val="en-US"/>
        </w:rPr>
        <w:t>investigation.</w:t>
      </w:r>
    </w:p>
    <w:p w14:paraId="3AD0BBC8" w14:textId="01C39256" w:rsidR="00346416" w:rsidRPr="00DD7187" w:rsidRDefault="00346416" w:rsidP="002C60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autoSpaceDE w:val="0"/>
        <w:autoSpaceDN w:val="0"/>
        <w:adjustRightInd w:val="0"/>
        <w:spacing w:line="480" w:lineRule="auto"/>
        <w:ind w:firstLine="706"/>
        <w:jc w:val="both"/>
        <w:rPr>
          <w:rFonts w:ascii="Times New Roman" w:hAnsi="Times New Roman" w:cs="Times New Roman"/>
          <w:lang w:val="en-US"/>
        </w:rPr>
      </w:pPr>
      <w:r w:rsidRPr="00DD7187">
        <w:rPr>
          <w:rFonts w:ascii="Times New Roman" w:hAnsi="Times New Roman" w:cs="Times New Roman"/>
          <w:lang w:val="en-US"/>
        </w:rPr>
        <w:t xml:space="preserve">Influenced by Joanna </w:t>
      </w:r>
      <w:r w:rsidR="00335A39" w:rsidRPr="00DD7187">
        <w:rPr>
          <w:rFonts w:ascii="Times New Roman" w:hAnsi="Times New Roman" w:cs="Times New Roman"/>
          <w:lang w:val="en-US"/>
        </w:rPr>
        <w:t>Drucker’s warnings that data visualizations</w:t>
      </w:r>
      <w:r w:rsidRPr="00DD7187">
        <w:rPr>
          <w:rFonts w:ascii="Times New Roman" w:hAnsi="Times New Roman" w:cs="Times New Roman"/>
          <w:lang w:val="en-US"/>
        </w:rPr>
        <w:t xml:space="preserve"> too easily give the impression of a quantitative and objective truth which cannot exi</w:t>
      </w:r>
      <w:r w:rsidR="00335A39" w:rsidRPr="00DD7187">
        <w:rPr>
          <w:rFonts w:ascii="Times New Roman" w:hAnsi="Times New Roman" w:cs="Times New Roman"/>
          <w:lang w:val="en-US"/>
        </w:rPr>
        <w:t>st, particularly in the humanities</w:t>
      </w:r>
      <w:r w:rsidRPr="00DD7187">
        <w:rPr>
          <w:rFonts w:ascii="Times New Roman" w:hAnsi="Times New Roman" w:cs="Times New Roman"/>
          <w:lang w:val="en-US"/>
        </w:rPr>
        <w:t xml:space="preserve"> (“Humanities Approaches </w:t>
      </w:r>
      <w:r w:rsidR="008E7ED4" w:rsidRPr="00DD7187">
        <w:rPr>
          <w:rFonts w:ascii="Times New Roman" w:hAnsi="Times New Roman" w:cs="Times New Roman"/>
          <w:lang w:val="en-US"/>
        </w:rPr>
        <w:t xml:space="preserve">to Graphical Display”), </w:t>
      </w:r>
      <w:r w:rsidR="008E7ED4" w:rsidRPr="00D4576F">
        <w:rPr>
          <w:rFonts w:ascii="Times New Roman" w:hAnsi="Times New Roman" w:cs="Times New Roman"/>
          <w:lang w:val="en-US"/>
        </w:rPr>
        <w:t xml:space="preserve">I have </w:t>
      </w:r>
      <w:r w:rsidRPr="00D4576F">
        <w:rPr>
          <w:rFonts w:ascii="Times New Roman" w:hAnsi="Times New Roman" w:cs="Times New Roman"/>
          <w:lang w:val="en-US"/>
        </w:rPr>
        <w:t>made my graphic design d</w:t>
      </w:r>
      <w:r w:rsidR="008E7ED4" w:rsidRPr="00D4576F">
        <w:rPr>
          <w:rFonts w:ascii="Times New Roman" w:hAnsi="Times New Roman" w:cs="Times New Roman"/>
          <w:lang w:val="en-US"/>
        </w:rPr>
        <w:t xml:space="preserve">ecisions </w:t>
      </w:r>
      <w:r w:rsidR="00851276" w:rsidRPr="00DD7187">
        <w:rPr>
          <w:rFonts w:ascii="Times New Roman" w:hAnsi="Times New Roman" w:cs="Times New Roman"/>
          <w:noProof/>
          <w:lang w:val="en-US"/>
        </w:rPr>
        <w:drawing>
          <wp:anchor distT="0" distB="0" distL="114300" distR="114300" simplePos="0" relativeHeight="251676672" behindDoc="0" locked="1" layoutInCell="1" allowOverlap="0" wp14:anchorId="46D1AE5B" wp14:editId="751AACFA">
            <wp:simplePos x="0" y="0"/>
            <wp:positionH relativeFrom="page">
              <wp:posOffset>4800600</wp:posOffset>
            </wp:positionH>
            <wp:positionV relativeFrom="page">
              <wp:posOffset>3406140</wp:posOffset>
            </wp:positionV>
            <wp:extent cx="2194560" cy="2194560"/>
            <wp:effectExtent l="0" t="0" r="0" b="0"/>
            <wp:wrapSquare wrapText="bothSides"/>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4560" cy="2194560"/>
                    </a:xfrm>
                    <a:prstGeom prst="rect">
                      <a:avLst/>
                    </a:prstGeom>
                    <a:noFill/>
                    <a:ln>
                      <a:noFill/>
                    </a:ln>
                  </pic:spPr>
                </pic:pic>
              </a:graphicData>
            </a:graphic>
            <wp14:sizeRelH relativeFrom="page">
              <wp14:pctWidth>0</wp14:pctWidth>
            </wp14:sizeRelH>
            <wp14:sizeRelV relativeFrom="page">
              <wp14:pctHeight>0</wp14:pctHeight>
            </wp14:sizeRelV>
          </wp:anchor>
        </w:drawing>
      </w:r>
      <w:r w:rsidR="00851276" w:rsidRPr="00DD7187">
        <w:rPr>
          <w:rFonts w:ascii="Times New Roman" w:hAnsi="Times New Roman" w:cs="Times New Roman"/>
          <w:noProof/>
          <w:lang w:val="en-US"/>
        </w:rPr>
        <w:drawing>
          <wp:anchor distT="0" distB="0" distL="114300" distR="114300" simplePos="0" relativeHeight="251677696" behindDoc="0" locked="0" layoutInCell="1" allowOverlap="1" wp14:anchorId="1B6AF473" wp14:editId="71309C8B">
            <wp:simplePos x="0" y="0"/>
            <wp:positionH relativeFrom="column">
              <wp:posOffset>3886200</wp:posOffset>
            </wp:positionH>
            <wp:positionV relativeFrom="paragraph">
              <wp:posOffset>3017520</wp:posOffset>
            </wp:positionV>
            <wp:extent cx="2194560" cy="2194560"/>
            <wp:effectExtent l="0" t="0" r="0" b="0"/>
            <wp:wrapSquare wrapText="bothSides"/>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94560" cy="2194560"/>
                    </a:xfrm>
                    <a:prstGeom prst="rect">
                      <a:avLst/>
                    </a:prstGeom>
                    <a:noFill/>
                    <a:ln>
                      <a:noFill/>
                    </a:ln>
                  </pic:spPr>
                </pic:pic>
              </a:graphicData>
            </a:graphic>
            <wp14:sizeRelH relativeFrom="page">
              <wp14:pctWidth>0</wp14:pctWidth>
            </wp14:sizeRelH>
            <wp14:sizeRelV relativeFrom="page">
              <wp14:pctHeight>0</wp14:pctHeight>
            </wp14:sizeRelV>
          </wp:anchor>
        </w:drawing>
      </w:r>
      <w:r w:rsidR="00851276" w:rsidRPr="00837120">
        <w:rPr>
          <w:noProof/>
          <w:lang w:val="en-US"/>
        </w:rPr>
        <mc:AlternateContent>
          <mc:Choice Requires="wps">
            <w:drawing>
              <wp:anchor distT="0" distB="0" distL="114300" distR="114300" simplePos="0" relativeHeight="251678720" behindDoc="0" locked="0" layoutInCell="1" allowOverlap="1" wp14:anchorId="70F2663F" wp14:editId="1E497281">
                <wp:simplePos x="0" y="0"/>
                <wp:positionH relativeFrom="page">
                  <wp:posOffset>4800600</wp:posOffset>
                </wp:positionH>
                <wp:positionV relativeFrom="page">
                  <wp:posOffset>5600700</wp:posOffset>
                </wp:positionV>
                <wp:extent cx="2209800" cy="342900"/>
                <wp:effectExtent l="0" t="0" r="0" b="12700"/>
                <wp:wrapThrough wrapText="bothSides">
                  <wp:wrapPolygon edited="0">
                    <wp:start x="248" y="0"/>
                    <wp:lineTo x="248" y="20800"/>
                    <wp:lineTo x="21103" y="20800"/>
                    <wp:lineTo x="21103" y="0"/>
                    <wp:lineTo x="248" y="0"/>
                  </wp:wrapPolygon>
                </wp:wrapThrough>
                <wp:docPr id="272" name="Text Box 272"/>
                <wp:cNvGraphicFramePr/>
                <a:graphic xmlns:a="http://schemas.openxmlformats.org/drawingml/2006/main">
                  <a:graphicData uri="http://schemas.microsoft.com/office/word/2010/wordprocessingShape">
                    <wps:wsp>
                      <wps:cNvSpPr txBox="1"/>
                      <wps:spPr>
                        <a:xfrm>
                          <a:off x="0" y="0"/>
                          <a:ext cx="2209800" cy="342900"/>
                        </a:xfrm>
                        <a:prstGeom prst="rect">
                          <a:avLst/>
                        </a:prstGeom>
                        <a:noFill/>
                        <a:ln>
                          <a:noFill/>
                        </a:ln>
                        <a:effectLst/>
                        <a:extLst>
                          <a:ext uri="{C572A759-6A51-4108-AA02-DFA0A04FC94B}">
                            <ma14:wrappingTextBoxFlag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38F0A8F3" w14:textId="77777777" w:rsidR="00CC292D" w:rsidRPr="00851276" w:rsidRDefault="00CC292D" w:rsidP="00851276">
                            <w:pPr>
                              <w:rPr>
                                <w:rFonts w:ascii="Times New Roman" w:hAnsi="Times New Roman" w:cs="Times New Roman"/>
                                <w:sz w:val="20"/>
                                <w:szCs w:val="20"/>
                              </w:rPr>
                            </w:pPr>
                            <w:r w:rsidRPr="00851276">
                              <w:rPr>
                                <w:rFonts w:ascii="Times New Roman" w:hAnsi="Times New Roman" w:cs="Times New Roman"/>
                                <w:b/>
                                <w:sz w:val="20"/>
                                <w:szCs w:val="20"/>
                              </w:rPr>
                              <w:t>Figure 86</w:t>
                            </w:r>
                            <w:r w:rsidRPr="00851276">
                              <w:rPr>
                                <w:rFonts w:ascii="Times New Roman" w:hAnsi="Times New Roman" w:cs="Times New Roman"/>
                                <w:sz w:val="20"/>
                                <w:szCs w:val="20"/>
                              </w:rPr>
                              <w:t>: gendered authorship of books containing Italian bandits.</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72" o:spid="_x0000_s1026" type="#_x0000_t202" style="position:absolute;left:0;text-align:left;margin-left:378pt;margin-top:441pt;width:174pt;height:27pt;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" mv:complextextbox="1" filled="f" stroked="f">
                <v:textbox>
                  <w:txbxContent>
                    <w:p w14:paraId="38F0A8F3" w14:textId="77777777" w:rsidR="00CC292D" w:rsidRPr="00851276" w:rsidRDefault="00CC292D" w:rsidP="00851276">
                      <w:pPr>
                        <w:rPr>
                          <w:rFonts w:ascii="Times New Roman" w:hAnsi="Times New Roman" w:cs="Times New Roman"/>
                          <w:sz w:val="20"/>
                          <w:szCs w:val="20"/>
                        </w:rPr>
                      </w:pPr>
                      <w:r w:rsidRPr="00851276">
                        <w:rPr>
                          <w:rFonts w:ascii="Times New Roman" w:hAnsi="Times New Roman" w:cs="Times New Roman"/>
                          <w:b/>
                          <w:sz w:val="20"/>
                          <w:szCs w:val="20"/>
                        </w:rPr>
                        <w:t>Figure 86</w:t>
                      </w:r>
                      <w:r w:rsidRPr="00851276">
                        <w:rPr>
                          <w:rFonts w:ascii="Times New Roman" w:hAnsi="Times New Roman" w:cs="Times New Roman"/>
                          <w:sz w:val="20"/>
                          <w:szCs w:val="20"/>
                        </w:rPr>
                        <w:t>: gendered authorship of books containing Italian bandits.</w:t>
                      </w:r>
                    </w:p>
                  </w:txbxContent>
                </v:textbox>
                <w10:wrap type="through" anchorx="page" anchory="page"/>
              </v:shape>
            </w:pict>
          </mc:Fallback>
        </mc:AlternateContent>
      </w:r>
      <w:r w:rsidR="00851276" w:rsidRPr="00837120">
        <w:rPr>
          <w:noProof/>
          <w:lang w:val="en-US"/>
        </w:rPr>
        <mc:AlternateContent>
          <mc:Choice Requires="wps">
            <w:drawing>
              <wp:anchor distT="0" distB="0" distL="114300" distR="114300" simplePos="0" relativeHeight="251679744" behindDoc="0" locked="0" layoutInCell="1" allowOverlap="1" wp14:anchorId="02BA7CD5" wp14:editId="4753B32C">
                <wp:simplePos x="0" y="0"/>
                <wp:positionH relativeFrom="page">
                  <wp:posOffset>4800600</wp:posOffset>
                </wp:positionH>
                <wp:positionV relativeFrom="page">
                  <wp:posOffset>8229600</wp:posOffset>
                </wp:positionV>
                <wp:extent cx="2209800" cy="571500"/>
                <wp:effectExtent l="0" t="0" r="0" b="12700"/>
                <wp:wrapThrough wrapText="bothSides">
                  <wp:wrapPolygon edited="0">
                    <wp:start x="248" y="0"/>
                    <wp:lineTo x="248" y="21120"/>
                    <wp:lineTo x="21103" y="21120"/>
                    <wp:lineTo x="21103" y="0"/>
                    <wp:lineTo x="248" y="0"/>
                  </wp:wrapPolygon>
                </wp:wrapThrough>
                <wp:docPr id="110" name="Text Box 110"/>
                <wp:cNvGraphicFramePr/>
                <a:graphic xmlns:a="http://schemas.openxmlformats.org/drawingml/2006/main">
                  <a:graphicData uri="http://schemas.microsoft.com/office/word/2010/wordprocessingShape">
                    <wps:wsp>
                      <wps:cNvSpPr txBox="1"/>
                      <wps:spPr>
                        <a:xfrm>
                          <a:off x="0" y="0"/>
                          <a:ext cx="2209800" cy="571500"/>
                        </a:xfrm>
                        <a:prstGeom prst="rect">
                          <a:avLst/>
                        </a:prstGeom>
                        <a:noFill/>
                        <a:ln>
                          <a:noFill/>
                        </a:ln>
                        <a:effectLst/>
                        <a:extLst>
                          <a:ext uri="{C572A759-6A51-4108-AA02-DFA0A04FC94B}">
                            <ma14:wrappingTextBoxFlag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038E363E" w14:textId="77777777" w:rsidR="00CC292D" w:rsidRPr="00851276" w:rsidRDefault="00CC292D" w:rsidP="00851276">
                            <w:pPr>
                              <w:rPr>
                                <w:rFonts w:ascii="Times New Roman" w:hAnsi="Times New Roman" w:cs="Times New Roman"/>
                                <w:sz w:val="20"/>
                                <w:szCs w:val="20"/>
                              </w:rPr>
                            </w:pPr>
                            <w:r w:rsidRPr="00851276">
                              <w:rPr>
                                <w:rFonts w:ascii="Times New Roman" w:hAnsi="Times New Roman" w:cs="Times New Roman"/>
                                <w:b/>
                                <w:sz w:val="20"/>
                                <w:szCs w:val="20"/>
                              </w:rPr>
                              <w:t>Figure 35</w:t>
                            </w:r>
                            <w:r w:rsidRPr="00851276">
                              <w:rPr>
                                <w:rFonts w:ascii="Times New Roman" w:hAnsi="Times New Roman" w:cs="Times New Roman"/>
                                <w:sz w:val="20"/>
                                <w:szCs w:val="20"/>
                              </w:rPr>
                              <w:t>: gendered authorship of books containing presentiments about the future.</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0" o:spid="_x0000_s1027" type="#_x0000_t202" style="position:absolute;left:0;text-align:left;margin-left:378pt;margin-top:9in;width:174pt;height:45pt;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" mv:complextextbox="1" filled="f" stroked="f">
                <v:textbox>
                  <w:txbxContent>
                    <w:p w14:paraId="038E363E" w14:textId="77777777" w:rsidR="00CC292D" w:rsidRPr="00851276" w:rsidRDefault="00CC292D" w:rsidP="00851276">
                      <w:pPr>
                        <w:rPr>
                          <w:rFonts w:ascii="Times New Roman" w:hAnsi="Times New Roman" w:cs="Times New Roman"/>
                          <w:sz w:val="20"/>
                          <w:szCs w:val="20"/>
                        </w:rPr>
                      </w:pPr>
                      <w:r w:rsidRPr="00851276">
                        <w:rPr>
                          <w:rFonts w:ascii="Times New Roman" w:hAnsi="Times New Roman" w:cs="Times New Roman"/>
                          <w:b/>
                          <w:sz w:val="20"/>
                          <w:szCs w:val="20"/>
                        </w:rPr>
                        <w:t>Figure 35</w:t>
                      </w:r>
                      <w:r w:rsidRPr="00851276">
                        <w:rPr>
                          <w:rFonts w:ascii="Times New Roman" w:hAnsi="Times New Roman" w:cs="Times New Roman"/>
                          <w:sz w:val="20"/>
                          <w:szCs w:val="20"/>
                        </w:rPr>
                        <w:t>: gendered authorship of books containing presentiments about the future.</w:t>
                      </w:r>
                    </w:p>
                  </w:txbxContent>
                </v:textbox>
                <w10:wrap type="through" anchorx="page" anchory="page"/>
              </v:shape>
            </w:pict>
          </mc:Fallback>
        </mc:AlternateContent>
      </w:r>
      <w:r w:rsidR="008E7ED4" w:rsidRPr="00D4576F">
        <w:rPr>
          <w:rFonts w:ascii="Times New Roman" w:hAnsi="Times New Roman" w:cs="Times New Roman"/>
          <w:lang w:val="en-US"/>
        </w:rPr>
        <w:t xml:space="preserve">procedurally generated. </w:t>
      </w:r>
      <w:r w:rsidRPr="00D4576F">
        <w:rPr>
          <w:rFonts w:ascii="Times New Roman" w:hAnsi="Times New Roman" w:cs="Times New Roman"/>
          <w:lang w:val="en-US"/>
        </w:rPr>
        <w:t>The</w:t>
      </w:r>
      <w:r w:rsidRPr="00DD7187">
        <w:rPr>
          <w:rFonts w:ascii="Times New Roman" w:hAnsi="Times New Roman" w:cs="Times New Roman"/>
          <w:lang w:val="en-US"/>
        </w:rPr>
        <w:t xml:space="preserve"> goal is for the visual presentation of each c</w:t>
      </w:r>
      <w:r w:rsidR="008E7ED4" w:rsidRPr="00DD7187">
        <w:rPr>
          <w:rFonts w:ascii="Times New Roman" w:hAnsi="Times New Roman" w:cs="Times New Roman"/>
          <w:lang w:val="en-US"/>
        </w:rPr>
        <w:t>hart to qualitatively indicate relationships</w:t>
      </w:r>
      <w:r w:rsidRPr="00DD7187">
        <w:rPr>
          <w:rFonts w:ascii="Times New Roman" w:hAnsi="Times New Roman" w:cs="Times New Roman"/>
          <w:lang w:val="en-US"/>
        </w:rPr>
        <w:t xml:space="preserve">, and thus make them a fruitful </w:t>
      </w:r>
      <w:r w:rsidR="008E7ED4" w:rsidRPr="00DD7187">
        <w:rPr>
          <w:rFonts w:ascii="Times New Roman" w:hAnsi="Times New Roman" w:cs="Times New Roman"/>
          <w:lang w:val="en-US"/>
        </w:rPr>
        <w:t>body for interpretive readings.</w:t>
      </w:r>
      <w:r w:rsidRPr="00DD7187">
        <w:rPr>
          <w:rFonts w:ascii="Times New Roman" w:hAnsi="Times New Roman" w:cs="Times New Roman"/>
          <w:lang w:val="en-US"/>
        </w:rPr>
        <w:t xml:space="preserve"> I chose pie charts, one per motif, to visually represent Tracy’s treatment of each motif as a self-contained field which may or may not have distinct divisions within it. The size of each circle reflects the prevalence of the motif within the body of indexed novels as whole. More subtly, the difference between the two colors in each chart reflects the difference between the two percentages.  I wished to avoid graphs whose labels said that a motif featured a 50/50 split, but whose starkly-</w:t>
      </w:r>
      <w:r w:rsidR="00C17FD8" w:rsidRPr="00DD7187">
        <w:rPr>
          <w:rFonts w:ascii="Times New Roman" w:hAnsi="Times New Roman" w:cs="Times New Roman"/>
          <w:lang w:val="en-US"/>
        </w:rPr>
        <w:t>contrasted</w:t>
      </w:r>
      <w:r w:rsidRPr="00DD7187">
        <w:rPr>
          <w:rFonts w:ascii="Times New Roman" w:hAnsi="Times New Roman" w:cs="Times New Roman"/>
          <w:lang w:val="en-US"/>
        </w:rPr>
        <w:t xml:space="preserve"> colours nonetheless implied that books by male versus female authors could be </w:t>
      </w:r>
      <w:r w:rsidRPr="00DD7187">
        <w:rPr>
          <w:rFonts w:ascii="Times New Roman" w:hAnsi="Times New Roman" w:cs="Times New Roman"/>
          <w:lang w:val="en-US"/>
        </w:rPr>
        <w:lastRenderedPageBreak/>
        <w:t>easily distinguished from each other. Instead, I wanted my reader's ease in distinguishing between male and female authors to be directly connected to the ease with which a reader in the 1790s might have been able to accomplish the same task if given only the information that a certain motif was pres</w:t>
      </w:r>
      <w:r w:rsidR="008E7ED4" w:rsidRPr="00DD7187">
        <w:rPr>
          <w:rFonts w:ascii="Times New Roman" w:hAnsi="Times New Roman" w:cs="Times New Roman"/>
          <w:lang w:val="en-US"/>
        </w:rPr>
        <w:t xml:space="preserve">ent. Accordingly, if the motif itself </w:t>
      </w:r>
      <w:r w:rsidRPr="00DD7187">
        <w:rPr>
          <w:rFonts w:ascii="Times New Roman" w:hAnsi="Times New Roman" w:cs="Times New Roman"/>
          <w:lang w:val="en-US"/>
        </w:rPr>
        <w:t>is not useful as a tool to disting</w:t>
      </w:r>
      <w:r w:rsidR="008E7ED4" w:rsidRPr="00DD7187">
        <w:rPr>
          <w:rFonts w:ascii="Times New Roman" w:hAnsi="Times New Roman" w:cs="Times New Roman"/>
          <w:lang w:val="en-US"/>
        </w:rPr>
        <w:t>uish between two gendered camps</w:t>
      </w:r>
      <w:r w:rsidRPr="00DD7187">
        <w:rPr>
          <w:rFonts w:ascii="Times New Roman" w:hAnsi="Times New Roman" w:cs="Times New Roman"/>
          <w:lang w:val="en-US"/>
        </w:rPr>
        <w:t>, its</w:t>
      </w:r>
      <w:r w:rsidR="008E7ED4" w:rsidRPr="00DD7187">
        <w:rPr>
          <w:rFonts w:ascii="Times New Roman" w:hAnsi="Times New Roman" w:cs="Times New Roman"/>
          <w:lang w:val="en-US"/>
        </w:rPr>
        <w:t xml:space="preserve"> chart doesn’t show two camps. </w:t>
      </w:r>
      <w:r w:rsidRPr="00DD7187">
        <w:rPr>
          <w:rFonts w:ascii="Times New Roman" w:hAnsi="Times New Roman" w:cs="Times New Roman"/>
          <w:lang w:val="en-US"/>
        </w:rPr>
        <w:t>All these design choices further emphasize my model’s sensitivit</w:t>
      </w:r>
      <w:r w:rsidR="008E7ED4" w:rsidRPr="00DD7187">
        <w:rPr>
          <w:rFonts w:ascii="Times New Roman" w:hAnsi="Times New Roman" w:cs="Times New Roman"/>
          <w:lang w:val="en-US"/>
        </w:rPr>
        <w:t xml:space="preserve">y to each motif’s gendered use. </w:t>
      </w:r>
      <w:r w:rsidRPr="00DD7187">
        <w:rPr>
          <w:rFonts w:ascii="Times New Roman" w:hAnsi="Times New Roman" w:cs="Times New Roman"/>
          <w:lang w:val="en-US"/>
        </w:rPr>
        <w:t>Each chart is able to immediately provide an answer to the question, “does knowing that this motif appears in a book tell me anything about the likely</w:t>
      </w:r>
      <w:r w:rsidR="008E7ED4" w:rsidRPr="00DD7187">
        <w:rPr>
          <w:rFonts w:ascii="Times New Roman" w:hAnsi="Times New Roman" w:cs="Times New Roman"/>
          <w:lang w:val="en-US"/>
        </w:rPr>
        <w:t xml:space="preserve"> gender of that book’s author?”</w:t>
      </w:r>
    </w:p>
    <w:p w14:paraId="7286E4CF" w14:textId="77777777" w:rsidR="00303674" w:rsidRDefault="00851276" w:rsidP="004E47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autoSpaceDE w:val="0"/>
        <w:autoSpaceDN w:val="0"/>
        <w:adjustRightInd w:val="0"/>
        <w:spacing w:line="480" w:lineRule="auto"/>
        <w:ind w:firstLine="706"/>
        <w:jc w:val="both"/>
        <w:rPr>
          <w:rFonts w:ascii="Times New Roman" w:hAnsi="Times New Roman" w:cs="Times New Roman"/>
          <w:lang w:val="en-US"/>
        </w:rPr>
      </w:pPr>
      <w:r w:rsidRPr="00DD7187">
        <w:rPr>
          <w:rFonts w:ascii="Times New Roman" w:hAnsi="Times New Roman" w:cs="Times New Roman"/>
          <w:noProof/>
          <w:lang w:val="en-US"/>
        </w:rPr>
        <w:drawing>
          <wp:anchor distT="0" distB="0" distL="114300" distR="114300" simplePos="0" relativeHeight="251673600" behindDoc="0" locked="0" layoutInCell="1" allowOverlap="1" wp14:anchorId="2E09AB24" wp14:editId="136F1DD3">
            <wp:simplePos x="0" y="0"/>
            <wp:positionH relativeFrom="column">
              <wp:posOffset>3886200</wp:posOffset>
            </wp:positionH>
            <wp:positionV relativeFrom="paragraph">
              <wp:posOffset>373380</wp:posOffset>
            </wp:positionV>
            <wp:extent cx="2194560" cy="2194560"/>
            <wp:effectExtent l="0" t="0" r="0" b="0"/>
            <wp:wrapSquare wrapText="bothSides"/>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194560" cy="21945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37120">
        <w:rPr>
          <w:noProof/>
          <w:lang w:val="en-US"/>
        </w:rPr>
        <mc:AlternateContent>
          <mc:Choice Requires="wps">
            <w:drawing>
              <wp:anchor distT="0" distB="0" distL="114300" distR="114300" simplePos="0" relativeHeight="251674624" behindDoc="0" locked="0" layoutInCell="1" allowOverlap="1" wp14:anchorId="029600A9" wp14:editId="12ED594E">
                <wp:simplePos x="0" y="0"/>
                <wp:positionH relativeFrom="page">
                  <wp:posOffset>4800600</wp:posOffset>
                </wp:positionH>
                <wp:positionV relativeFrom="page">
                  <wp:posOffset>6286500</wp:posOffset>
                </wp:positionV>
                <wp:extent cx="2209800" cy="2286000"/>
                <wp:effectExtent l="0" t="0" r="0" b="0"/>
                <wp:wrapThrough wrapText="bothSides">
                  <wp:wrapPolygon edited="0">
                    <wp:start x="248" y="0"/>
                    <wp:lineTo x="248" y="21360"/>
                    <wp:lineTo x="21103" y="21360"/>
                    <wp:lineTo x="21103" y="0"/>
                    <wp:lineTo x="248" y="0"/>
                  </wp:wrapPolygon>
                </wp:wrapThrough>
                <wp:docPr id="268" name="Text Box 268"/>
                <wp:cNvGraphicFramePr/>
                <a:graphic xmlns:a="http://schemas.openxmlformats.org/drawingml/2006/main">
                  <a:graphicData uri="http://schemas.microsoft.com/office/word/2010/wordprocessingShape">
                    <wps:wsp>
                      <wps:cNvSpPr txBox="1"/>
                      <wps:spPr>
                        <a:xfrm>
                          <a:off x="0" y="0"/>
                          <a:ext cx="2209800" cy="2286000"/>
                        </a:xfrm>
                        <a:prstGeom prst="rect">
                          <a:avLst/>
                        </a:prstGeom>
                        <a:noFill/>
                        <a:ln>
                          <a:noFill/>
                        </a:ln>
                        <a:effectLst/>
                        <a:extLst>
                          <a:ext uri="{C572A759-6A51-4108-AA02-DFA0A04FC94B}">
                            <ma14:wrappingTextBoxFlag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7515429A" w14:textId="77777777" w:rsidR="00CC292D" w:rsidRPr="00DC09E7" w:rsidRDefault="00CC292D" w:rsidP="00DC09E7">
                            <w:pPr>
                              <w:rPr>
                                <w:rFonts w:ascii="Times New Roman" w:hAnsi="Times New Roman" w:cs="Times New Roman"/>
                                <w:sz w:val="20"/>
                                <w:szCs w:val="20"/>
                              </w:rPr>
                            </w:pPr>
                            <w:r w:rsidRPr="00DC09E7">
                              <w:rPr>
                                <w:rFonts w:ascii="Times New Roman" w:hAnsi="Times New Roman" w:cs="Times New Roman"/>
                                <w:b/>
                                <w:sz w:val="20"/>
                                <w:szCs w:val="20"/>
                              </w:rPr>
                              <w:t>Figure 84</w:t>
                            </w:r>
                            <w:r w:rsidRPr="00DC09E7">
                              <w:rPr>
                                <w:rFonts w:ascii="Times New Roman" w:hAnsi="Times New Roman" w:cs="Times New Roman"/>
                                <w:sz w:val="20"/>
                                <w:szCs w:val="20"/>
                              </w:rPr>
                              <w:t>: gendered authorship of books containing corpses (in bed; behind curtain; bleeding; blue; burnt; changing places with; disguised; dragged past heroine’s dungeon; as entertainment for villainess; equestrian; under floorboards; hanging; mangled; naked; physical contact with fresh; physical contact with moldering; plural, in piles; preserved; produced as evidence in trial; in sack; of seduced woman, provoking hysteria in seducer; shut in with; stumbling over; talking; thrown over precipice; in trunk; walking; or waxen representation of).</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68" o:spid="_x0000_s1028" type="#_x0000_t202" style="position:absolute;left:0;text-align:left;margin-left:378pt;margin-top:495pt;width:174pt;height:180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" mv:complextextbox="1" filled="f" stroked="f">
                <v:textbox>
                  <w:txbxContent>
                    <w:p w14:paraId="7515429A" w14:textId="77777777" w:rsidR="00CC292D" w:rsidRPr="00DC09E7" w:rsidRDefault="00CC292D" w:rsidP="00DC09E7">
                      <w:pPr>
                        <w:rPr>
                          <w:rFonts w:ascii="Times New Roman" w:hAnsi="Times New Roman" w:cs="Times New Roman"/>
                          <w:sz w:val="20"/>
                          <w:szCs w:val="20"/>
                        </w:rPr>
                      </w:pPr>
                      <w:r w:rsidRPr="00DC09E7">
                        <w:rPr>
                          <w:rFonts w:ascii="Times New Roman" w:hAnsi="Times New Roman" w:cs="Times New Roman"/>
                          <w:b/>
                          <w:sz w:val="20"/>
                          <w:szCs w:val="20"/>
                        </w:rPr>
                        <w:t>Figure 84</w:t>
                      </w:r>
                      <w:r w:rsidRPr="00DC09E7">
                        <w:rPr>
                          <w:rFonts w:ascii="Times New Roman" w:hAnsi="Times New Roman" w:cs="Times New Roman"/>
                          <w:sz w:val="20"/>
                          <w:szCs w:val="20"/>
                        </w:rPr>
                        <w:t>: gendered authorship of books containing corpses (in bed; behind curtain; bleeding; blue; burnt; changing places with; disguised; dragged past heroine’s dungeon; as entertainment for villainess; equestrian; under floorboards; hanging; mangled; naked; physical contact with fresh; physical contact with moldering; plural, in piles; preserved; produced as evidence in trial; in sack; of seduced woman, provoking hysteria in seducer; shut in with; stumbling over; talking; thrown over precipice; in trunk; walking; or waxen representation of).</w:t>
                      </w:r>
                    </w:p>
                  </w:txbxContent>
                </v:textbox>
                <w10:wrap type="through" anchorx="page" anchory="page"/>
              </v:shape>
            </w:pict>
          </mc:Fallback>
        </mc:AlternateContent>
      </w:r>
      <w:r w:rsidR="00346416" w:rsidRPr="00DD7187">
        <w:rPr>
          <w:rFonts w:ascii="Times New Roman" w:hAnsi="Times New Roman" w:cs="Times New Roman"/>
          <w:lang w:val="en-US"/>
        </w:rPr>
        <w:t xml:space="preserve">And indeed, an identifiable gendered school does emerge at a glance: </w:t>
      </w:r>
      <w:r w:rsidR="00B005EE">
        <w:rPr>
          <w:rFonts w:ascii="Times New Roman" w:hAnsi="Times New Roman" w:cs="Times New Roman"/>
          <w:lang w:val="en-US"/>
        </w:rPr>
        <w:t>38</w:t>
      </w:r>
      <w:r w:rsidR="00346416" w:rsidRPr="00DD7187">
        <w:rPr>
          <w:rFonts w:ascii="Times New Roman" w:hAnsi="Times New Roman" w:cs="Times New Roman"/>
          <w:lang w:val="en-US"/>
        </w:rPr>
        <w:t xml:space="preserve"> distinctly male-authored motifs</w:t>
      </w:r>
      <w:r w:rsidR="00B005EE">
        <w:rPr>
          <w:rStyle w:val="FootnoteReference"/>
          <w:rFonts w:ascii="Times New Roman" w:hAnsi="Times New Roman" w:cs="Times New Roman"/>
          <w:lang w:val="en-US"/>
        </w:rPr>
        <w:footnoteReference w:id="4"/>
      </w:r>
      <w:r w:rsidR="00346416" w:rsidRPr="00DD7187">
        <w:rPr>
          <w:rFonts w:ascii="Times New Roman" w:hAnsi="Times New Roman" w:cs="Times New Roman"/>
          <w:lang w:val="en-US"/>
        </w:rPr>
        <w:t xml:space="preserve"> indicate male dominance of largely the things we would expect men to dominate. </w:t>
      </w:r>
      <w:r w:rsidR="009F33A2">
        <w:rPr>
          <w:rFonts w:ascii="Times New Roman" w:hAnsi="Times New Roman" w:cs="Times New Roman"/>
          <w:lang w:val="en-US"/>
        </w:rPr>
        <w:t xml:space="preserve">Reading the motifs in order from ‘most female-dominated’ to ‘most male-dominated,’ as they are arranged in the index, involves a constant escalation. </w:t>
      </w:r>
      <w:r w:rsidR="004E474D">
        <w:rPr>
          <w:rFonts w:ascii="Times New Roman" w:hAnsi="Times New Roman" w:cs="Times New Roman"/>
          <w:lang w:val="en-US"/>
        </w:rPr>
        <w:t xml:space="preserve">Women may write about libertines (fig. 1), whose ‘seductions’ may be coercive and almost always end poorly for their victims, but men write about the act of rape itself (fig. 91). </w:t>
      </w:r>
      <w:r w:rsidR="00346416" w:rsidRPr="00DD7187">
        <w:rPr>
          <w:rFonts w:ascii="Times New Roman" w:hAnsi="Times New Roman" w:cs="Times New Roman"/>
          <w:lang w:val="en-US"/>
        </w:rPr>
        <w:t xml:space="preserve">These motifs suggest that the darkest side of the Gothic was primarily the province of men: death </w:t>
      </w:r>
      <w:r w:rsidR="00F74E3C">
        <w:rPr>
          <w:rFonts w:ascii="Times New Roman" w:hAnsi="Times New Roman" w:cs="Times New Roman"/>
          <w:lang w:val="en-US"/>
        </w:rPr>
        <w:t xml:space="preserve">is </w:t>
      </w:r>
      <w:r w:rsidR="00346416" w:rsidRPr="00DD7187">
        <w:rPr>
          <w:rFonts w:ascii="Times New Roman" w:hAnsi="Times New Roman" w:cs="Times New Roman"/>
          <w:lang w:val="en-US"/>
        </w:rPr>
        <w:t>female-dominated</w:t>
      </w:r>
      <w:r w:rsidR="00F74E3C">
        <w:rPr>
          <w:rFonts w:ascii="Times New Roman" w:hAnsi="Times New Roman" w:cs="Times New Roman"/>
          <w:lang w:val="en-US"/>
        </w:rPr>
        <w:t xml:space="preserve"> when it is sad or pious (fig. 3)</w:t>
      </w:r>
      <w:r w:rsidR="00346416" w:rsidRPr="00DD7187">
        <w:rPr>
          <w:rFonts w:ascii="Times New Roman" w:hAnsi="Times New Roman" w:cs="Times New Roman"/>
          <w:lang w:val="en-US"/>
        </w:rPr>
        <w:t>, but murder is male-dominated</w:t>
      </w:r>
      <w:r w:rsidR="002171BE">
        <w:rPr>
          <w:rFonts w:ascii="Times New Roman" w:hAnsi="Times New Roman" w:cs="Times New Roman"/>
          <w:lang w:val="en-US"/>
        </w:rPr>
        <w:t xml:space="preserve"> (fig. 73)</w:t>
      </w:r>
      <w:r w:rsidR="00346416" w:rsidRPr="00DD7187">
        <w:rPr>
          <w:rFonts w:ascii="Times New Roman" w:hAnsi="Times New Roman" w:cs="Times New Roman"/>
          <w:lang w:val="en-US"/>
        </w:rPr>
        <w:t>, as are blood</w:t>
      </w:r>
      <w:r w:rsidR="002171BE">
        <w:rPr>
          <w:rFonts w:ascii="Times New Roman" w:hAnsi="Times New Roman" w:cs="Times New Roman"/>
          <w:lang w:val="en-US"/>
        </w:rPr>
        <w:t xml:space="preserve"> (fig. 81)</w:t>
      </w:r>
      <w:r w:rsidR="00346416" w:rsidRPr="00DD7187">
        <w:rPr>
          <w:rFonts w:ascii="Times New Roman" w:hAnsi="Times New Roman" w:cs="Times New Roman"/>
          <w:lang w:val="en-US"/>
        </w:rPr>
        <w:t>, corpses</w:t>
      </w:r>
      <w:r>
        <w:rPr>
          <w:rFonts w:ascii="Times New Roman" w:hAnsi="Times New Roman" w:cs="Times New Roman"/>
          <w:lang w:val="en-US"/>
        </w:rPr>
        <w:t xml:space="preserve"> (fig. 84)</w:t>
      </w:r>
      <w:r w:rsidR="00346416" w:rsidRPr="00DD7187">
        <w:rPr>
          <w:rFonts w:ascii="Times New Roman" w:hAnsi="Times New Roman" w:cs="Times New Roman"/>
          <w:lang w:val="en-US"/>
        </w:rPr>
        <w:t xml:space="preserve">, and </w:t>
      </w:r>
      <w:r w:rsidR="002171BE">
        <w:rPr>
          <w:rFonts w:ascii="Times New Roman" w:hAnsi="Times New Roman" w:cs="Times New Roman"/>
          <w:lang w:val="en-US"/>
        </w:rPr>
        <w:t>skeletons and skulls (fig. 88)</w:t>
      </w:r>
      <w:r w:rsidR="00346416" w:rsidRPr="00DD7187">
        <w:rPr>
          <w:rFonts w:ascii="Times New Roman" w:hAnsi="Times New Roman" w:cs="Times New Roman"/>
          <w:lang w:val="en-US"/>
        </w:rPr>
        <w:t xml:space="preserve">. </w:t>
      </w:r>
      <w:r w:rsidR="00F74E3C">
        <w:rPr>
          <w:rFonts w:ascii="Times New Roman" w:hAnsi="Times New Roman" w:cs="Times New Roman"/>
          <w:lang w:val="en-US"/>
        </w:rPr>
        <w:t xml:space="preserve">When male authors dwell upon death, then, it seems that they dwell not </w:t>
      </w:r>
      <w:r w:rsidR="00F74E3C">
        <w:rPr>
          <w:rFonts w:ascii="Times New Roman" w:hAnsi="Times New Roman" w:cs="Times New Roman"/>
          <w:lang w:val="en-US"/>
        </w:rPr>
        <w:lastRenderedPageBreak/>
        <w:t>on its emotional impact, but on its more vivid physical results</w:t>
      </w:r>
      <w:r w:rsidR="00346416" w:rsidRPr="00F74E3C">
        <w:rPr>
          <w:rFonts w:ascii="Times New Roman" w:hAnsi="Times New Roman" w:cs="Times New Roman"/>
          <w:lang w:val="en-US"/>
        </w:rPr>
        <w:t>.</w:t>
      </w:r>
      <w:r w:rsidR="00346416" w:rsidRPr="00DD7187">
        <w:rPr>
          <w:rFonts w:ascii="Times New Roman" w:hAnsi="Times New Roman" w:cs="Times New Roman"/>
          <w:lang w:val="en-US"/>
        </w:rPr>
        <w:t xml:space="preserve"> Similarly, human sacrifice</w:t>
      </w:r>
      <w:r w:rsidR="002171BE">
        <w:rPr>
          <w:rFonts w:ascii="Times New Roman" w:hAnsi="Times New Roman" w:cs="Times New Roman"/>
          <w:lang w:val="en-US"/>
        </w:rPr>
        <w:t xml:space="preserve"> (fig. 72)</w:t>
      </w:r>
      <w:r w:rsidR="00346416" w:rsidRPr="00DD7187">
        <w:rPr>
          <w:rFonts w:ascii="Times New Roman" w:hAnsi="Times New Roman" w:cs="Times New Roman"/>
          <w:lang w:val="en-US"/>
        </w:rPr>
        <w:t>, putrefaction</w:t>
      </w:r>
      <w:r w:rsidR="002171BE">
        <w:rPr>
          <w:rFonts w:ascii="Times New Roman" w:hAnsi="Times New Roman" w:cs="Times New Roman"/>
          <w:lang w:val="en-US"/>
        </w:rPr>
        <w:t xml:space="preserve"> (fig. 90)</w:t>
      </w:r>
      <w:r w:rsidR="00346416" w:rsidRPr="00DD7187">
        <w:rPr>
          <w:rFonts w:ascii="Times New Roman" w:hAnsi="Times New Roman" w:cs="Times New Roman"/>
          <w:lang w:val="en-US"/>
        </w:rPr>
        <w:t>, starvation</w:t>
      </w:r>
      <w:r w:rsidR="002171BE">
        <w:rPr>
          <w:rFonts w:ascii="Times New Roman" w:hAnsi="Times New Roman" w:cs="Times New Roman"/>
          <w:lang w:val="en-US"/>
        </w:rPr>
        <w:t xml:space="preserve"> (fig. 78)</w:t>
      </w:r>
      <w:r w:rsidR="00346416" w:rsidRPr="00DD7187">
        <w:rPr>
          <w:rFonts w:ascii="Times New Roman" w:hAnsi="Times New Roman" w:cs="Times New Roman"/>
          <w:lang w:val="en-US"/>
        </w:rPr>
        <w:t>, and torture</w:t>
      </w:r>
      <w:r w:rsidR="002171BE">
        <w:rPr>
          <w:rFonts w:ascii="Times New Roman" w:hAnsi="Times New Roman" w:cs="Times New Roman"/>
          <w:lang w:val="en-US"/>
        </w:rPr>
        <w:t xml:space="preserve"> (fig. 79)</w:t>
      </w:r>
      <w:r w:rsidR="00346416" w:rsidRPr="00DD7187">
        <w:rPr>
          <w:rFonts w:ascii="Times New Roman" w:hAnsi="Times New Roman" w:cs="Times New Roman"/>
          <w:lang w:val="en-US"/>
        </w:rPr>
        <w:t xml:space="preserve"> all involve directly depicting that which o</w:t>
      </w:r>
      <w:r w:rsidR="00281910" w:rsidRPr="00DD7187">
        <w:rPr>
          <w:rFonts w:ascii="Times New Roman" w:hAnsi="Times New Roman" w:cs="Times New Roman"/>
          <w:lang w:val="en-US"/>
        </w:rPr>
        <w:t>ther novels might merely imply.</w:t>
      </w:r>
    </w:p>
    <w:p w14:paraId="74C0B2CE" w14:textId="226BAEAE" w:rsidR="00346416" w:rsidRPr="00DD7187" w:rsidRDefault="005E49C8" w:rsidP="004E47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autoSpaceDE w:val="0"/>
        <w:autoSpaceDN w:val="0"/>
        <w:adjustRightInd w:val="0"/>
        <w:spacing w:line="480" w:lineRule="auto"/>
        <w:ind w:firstLine="706"/>
        <w:jc w:val="both"/>
        <w:rPr>
          <w:rFonts w:ascii="Times New Roman" w:hAnsi="Times New Roman" w:cs="Times New Roman"/>
          <w:lang w:val="en-US"/>
        </w:rPr>
      </w:pPr>
      <w:r w:rsidRPr="00837120">
        <w:rPr>
          <w:noProof/>
          <w:lang w:val="en-US"/>
        </w:rPr>
        <mc:AlternateContent>
          <mc:Choice Requires="wps">
            <w:drawing>
              <wp:anchor distT="0" distB="0" distL="114300" distR="114300" simplePos="0" relativeHeight="251684864" behindDoc="0" locked="0" layoutInCell="1" allowOverlap="1" wp14:anchorId="2BC4EA4B" wp14:editId="0C2405C5">
                <wp:simplePos x="0" y="0"/>
                <wp:positionH relativeFrom="page">
                  <wp:posOffset>4800600</wp:posOffset>
                </wp:positionH>
                <wp:positionV relativeFrom="page">
                  <wp:posOffset>7658100</wp:posOffset>
                </wp:positionV>
                <wp:extent cx="2209800" cy="342900"/>
                <wp:effectExtent l="0" t="0" r="0" b="12700"/>
                <wp:wrapThrough wrapText="bothSides">
                  <wp:wrapPolygon edited="0">
                    <wp:start x="248" y="0"/>
                    <wp:lineTo x="248" y="20800"/>
                    <wp:lineTo x="21103" y="20800"/>
                    <wp:lineTo x="21103" y="0"/>
                    <wp:lineTo x="248" y="0"/>
                  </wp:wrapPolygon>
                </wp:wrapThrough>
                <wp:docPr id="285" name="Text Box 285"/>
                <wp:cNvGraphicFramePr/>
                <a:graphic xmlns:a="http://schemas.openxmlformats.org/drawingml/2006/main">
                  <a:graphicData uri="http://schemas.microsoft.com/office/word/2010/wordprocessingShape">
                    <wps:wsp>
                      <wps:cNvSpPr txBox="1"/>
                      <wps:spPr>
                        <a:xfrm>
                          <a:off x="0" y="0"/>
                          <a:ext cx="2209800" cy="342900"/>
                        </a:xfrm>
                        <a:prstGeom prst="rect">
                          <a:avLst/>
                        </a:prstGeom>
                        <a:noFill/>
                        <a:ln>
                          <a:noFill/>
                        </a:ln>
                        <a:effectLst/>
                        <a:extLst>
                          <a:ext uri="{C572A759-6A51-4108-AA02-DFA0A04FC94B}">
                            <ma14:wrappingTextBoxFlag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6E51B685" w14:textId="77777777" w:rsidR="00CC292D" w:rsidRPr="005E49C8" w:rsidRDefault="00CC292D" w:rsidP="005E49C8">
                            <w:pPr>
                              <w:rPr>
                                <w:rFonts w:ascii="Times New Roman" w:hAnsi="Times New Roman" w:cs="Times New Roman"/>
                                <w:sz w:val="20"/>
                                <w:szCs w:val="20"/>
                              </w:rPr>
                            </w:pPr>
                            <w:r w:rsidRPr="005E49C8">
                              <w:rPr>
                                <w:rFonts w:ascii="Times New Roman" w:hAnsi="Times New Roman" w:cs="Times New Roman"/>
                                <w:b/>
                                <w:sz w:val="20"/>
                                <w:szCs w:val="20"/>
                              </w:rPr>
                              <w:t>Figure 94</w:t>
                            </w:r>
                            <w:r w:rsidRPr="005E49C8">
                              <w:rPr>
                                <w:rFonts w:ascii="Times New Roman" w:hAnsi="Times New Roman" w:cs="Times New Roman"/>
                                <w:sz w:val="20"/>
                                <w:szCs w:val="20"/>
                              </w:rPr>
                              <w:t>: gendered authorship of books containing actual incest.</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85" o:spid="_x0000_s1029" type="#_x0000_t202" style="position:absolute;left:0;text-align:left;margin-left:378pt;margin-top:603pt;width:174pt;height:27pt;z-index:251684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" mv:complextextbox="1" filled="f" stroked="f">
                <v:textbox>
                  <w:txbxContent>
                    <w:p w14:paraId="6E51B685" w14:textId="77777777" w:rsidR="00CC292D" w:rsidRPr="005E49C8" w:rsidRDefault="00CC292D" w:rsidP="005E49C8">
                      <w:pPr>
                        <w:rPr>
                          <w:rFonts w:ascii="Times New Roman" w:hAnsi="Times New Roman" w:cs="Times New Roman"/>
                          <w:sz w:val="20"/>
                          <w:szCs w:val="20"/>
                        </w:rPr>
                      </w:pPr>
                      <w:r w:rsidRPr="005E49C8">
                        <w:rPr>
                          <w:rFonts w:ascii="Times New Roman" w:hAnsi="Times New Roman" w:cs="Times New Roman"/>
                          <w:b/>
                          <w:sz w:val="20"/>
                          <w:szCs w:val="20"/>
                        </w:rPr>
                        <w:t>Figure 94</w:t>
                      </w:r>
                      <w:r w:rsidRPr="005E49C8">
                        <w:rPr>
                          <w:rFonts w:ascii="Times New Roman" w:hAnsi="Times New Roman" w:cs="Times New Roman"/>
                          <w:sz w:val="20"/>
                          <w:szCs w:val="20"/>
                        </w:rPr>
                        <w:t>: gendered authorship of books containing actual incest.</w:t>
                      </w:r>
                    </w:p>
                  </w:txbxContent>
                </v:textbox>
                <w10:wrap type="through" anchorx="page" anchory="page"/>
              </v:shape>
            </w:pict>
          </mc:Fallback>
        </mc:AlternateContent>
      </w:r>
      <w:r w:rsidRPr="00DD7187">
        <w:rPr>
          <w:rFonts w:ascii="Times New Roman" w:hAnsi="Times New Roman" w:cs="Times New Roman"/>
          <w:noProof/>
          <w:lang w:val="en-US"/>
        </w:rPr>
        <w:drawing>
          <wp:anchor distT="0" distB="0" distL="114300" distR="114300" simplePos="0" relativeHeight="251681792" behindDoc="0" locked="0" layoutInCell="1" allowOverlap="1" wp14:anchorId="159AB483" wp14:editId="439C6F2C">
            <wp:simplePos x="0" y="0"/>
            <wp:positionH relativeFrom="column">
              <wp:posOffset>3886200</wp:posOffset>
            </wp:positionH>
            <wp:positionV relativeFrom="paragraph">
              <wp:posOffset>434340</wp:posOffset>
            </wp:positionV>
            <wp:extent cx="2194560" cy="2194560"/>
            <wp:effectExtent l="0" t="0" r="0" b="0"/>
            <wp:wrapSquare wrapText="bothSides"/>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4560" cy="21945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37120">
        <w:rPr>
          <w:noProof/>
          <w:lang w:val="en-US"/>
        </w:rPr>
        <mc:AlternateContent>
          <mc:Choice Requires="wps">
            <w:drawing>
              <wp:anchor distT="0" distB="0" distL="114300" distR="114300" simplePos="0" relativeHeight="251683840" behindDoc="0" locked="0" layoutInCell="1" allowOverlap="1" wp14:anchorId="0219323A" wp14:editId="061DE30F">
                <wp:simplePos x="0" y="0"/>
                <wp:positionH relativeFrom="page">
                  <wp:posOffset>4800600</wp:posOffset>
                </wp:positionH>
                <wp:positionV relativeFrom="page">
                  <wp:posOffset>4594860</wp:posOffset>
                </wp:positionV>
                <wp:extent cx="2171700" cy="800100"/>
                <wp:effectExtent l="0" t="0" r="0" b="12700"/>
                <wp:wrapThrough wrapText="bothSides">
                  <wp:wrapPolygon edited="0">
                    <wp:start x="253" y="0"/>
                    <wp:lineTo x="253" y="21257"/>
                    <wp:lineTo x="20968" y="21257"/>
                    <wp:lineTo x="20968" y="0"/>
                    <wp:lineTo x="253" y="0"/>
                  </wp:wrapPolygon>
                </wp:wrapThrough>
                <wp:docPr id="109" name="Text Box 109"/>
                <wp:cNvGraphicFramePr/>
                <a:graphic xmlns:a="http://schemas.openxmlformats.org/drawingml/2006/main">
                  <a:graphicData uri="http://schemas.microsoft.com/office/word/2010/wordprocessingShape">
                    <wps:wsp>
                      <wps:cNvSpPr txBox="1"/>
                      <wps:spPr>
                        <a:xfrm>
                          <a:off x="0" y="0"/>
                          <a:ext cx="2171700" cy="800100"/>
                        </a:xfrm>
                        <a:prstGeom prst="rect">
                          <a:avLst/>
                        </a:prstGeom>
                        <a:noFill/>
                        <a:ln>
                          <a:noFill/>
                        </a:ln>
                        <a:effectLst/>
                        <a:extLst>
                          <a:ext uri="{C572A759-6A51-4108-AA02-DFA0A04FC94B}">
                            <ma14:wrappingTextBoxFlag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69BF634F" w14:textId="77777777" w:rsidR="00CC292D" w:rsidRPr="005E49C8" w:rsidRDefault="00CC292D" w:rsidP="005E49C8">
                            <w:pPr>
                              <w:rPr>
                                <w:rFonts w:ascii="Times New Roman" w:hAnsi="Times New Roman" w:cs="Times New Roman"/>
                                <w:sz w:val="20"/>
                                <w:szCs w:val="20"/>
                              </w:rPr>
                            </w:pPr>
                            <w:r w:rsidRPr="005E49C8">
                              <w:rPr>
                                <w:rFonts w:ascii="Times New Roman" w:hAnsi="Times New Roman" w:cs="Times New Roman"/>
                                <w:b/>
                                <w:sz w:val="20"/>
                                <w:szCs w:val="20"/>
                              </w:rPr>
                              <w:t>Figure 33</w:t>
                            </w:r>
                            <w:r w:rsidRPr="005E49C8">
                              <w:rPr>
                                <w:rFonts w:ascii="Times New Roman" w:hAnsi="Times New Roman" w:cs="Times New Roman"/>
                                <w:sz w:val="20"/>
                                <w:szCs w:val="20"/>
                              </w:rPr>
                              <w:t>: gendered authorship of books containing literary flirtation with incest, which includes false alarms, foiled attempts, threats, and unconsummated incestuous passion.</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9" o:spid="_x0000_s1030" type="#_x0000_t202" style="position:absolute;left:0;text-align:left;margin-left:378pt;margin-top:361.8pt;width:171pt;height:63pt;z-index:2516838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" mv:complextextbox="1" filled="f" stroked="f">
                <v:textbox>
                  <w:txbxContent>
                    <w:p w14:paraId="69BF634F" w14:textId="77777777" w:rsidR="00CC292D" w:rsidRPr="005E49C8" w:rsidRDefault="00CC292D" w:rsidP="005E49C8">
                      <w:pPr>
                        <w:rPr>
                          <w:rFonts w:ascii="Times New Roman" w:hAnsi="Times New Roman" w:cs="Times New Roman"/>
                          <w:sz w:val="20"/>
                          <w:szCs w:val="20"/>
                        </w:rPr>
                      </w:pPr>
                      <w:r w:rsidRPr="005E49C8">
                        <w:rPr>
                          <w:rFonts w:ascii="Times New Roman" w:hAnsi="Times New Roman" w:cs="Times New Roman"/>
                          <w:b/>
                          <w:sz w:val="20"/>
                          <w:szCs w:val="20"/>
                        </w:rPr>
                        <w:t>Figure 33</w:t>
                      </w:r>
                      <w:r w:rsidRPr="005E49C8">
                        <w:rPr>
                          <w:rFonts w:ascii="Times New Roman" w:hAnsi="Times New Roman" w:cs="Times New Roman"/>
                          <w:sz w:val="20"/>
                          <w:szCs w:val="20"/>
                        </w:rPr>
                        <w:t>: gendered authorship of books containing literary flirtation with incest, which includes false alarms, foiled attempts, threats, and unconsummated incestuous passion.</w:t>
                      </w:r>
                    </w:p>
                  </w:txbxContent>
                </v:textbox>
                <w10:wrap type="through" anchorx="page" anchory="page"/>
              </v:shape>
            </w:pict>
          </mc:Fallback>
        </mc:AlternateContent>
      </w:r>
      <w:r w:rsidRPr="00DD7187">
        <w:rPr>
          <w:rFonts w:ascii="Times New Roman" w:hAnsi="Times New Roman" w:cs="Times New Roman"/>
          <w:noProof/>
          <w:lang w:val="en-US"/>
        </w:rPr>
        <w:drawing>
          <wp:anchor distT="0" distB="0" distL="114300" distR="114300" simplePos="0" relativeHeight="251682816" behindDoc="0" locked="0" layoutInCell="1" allowOverlap="1" wp14:anchorId="3BDBB1F1" wp14:editId="18190A7A">
            <wp:simplePos x="0" y="0"/>
            <wp:positionH relativeFrom="column">
              <wp:posOffset>3886200</wp:posOffset>
            </wp:positionH>
            <wp:positionV relativeFrom="paragraph">
              <wp:posOffset>3520440</wp:posOffset>
            </wp:positionV>
            <wp:extent cx="2194560" cy="2194560"/>
            <wp:effectExtent l="0" t="0" r="0" b="0"/>
            <wp:wrapSquare wrapText="bothSides"/>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94560" cy="2194560"/>
                    </a:xfrm>
                    <a:prstGeom prst="rect">
                      <a:avLst/>
                    </a:prstGeom>
                    <a:noFill/>
                    <a:ln>
                      <a:noFill/>
                    </a:ln>
                  </pic:spPr>
                </pic:pic>
              </a:graphicData>
            </a:graphic>
            <wp14:sizeRelH relativeFrom="page">
              <wp14:pctWidth>0</wp14:pctWidth>
            </wp14:sizeRelH>
            <wp14:sizeRelV relativeFrom="page">
              <wp14:pctHeight>0</wp14:pctHeight>
            </wp14:sizeRelV>
          </wp:anchor>
        </w:drawing>
      </w:r>
      <w:r w:rsidR="00346416" w:rsidRPr="00DD7187">
        <w:rPr>
          <w:rFonts w:ascii="Times New Roman" w:hAnsi="Times New Roman" w:cs="Times New Roman"/>
          <w:lang w:val="en-US"/>
        </w:rPr>
        <w:t xml:space="preserve">The masculine impulse to 'go farther,' to replace coy allusions with unflinching enactments, is most evident in my sample novels' treatment of incest. General themes of incest are widespread, appearing in 51 of the 208 novels under consideration-- nearly a quarter of the works. However, in 45 of those novels, there are no cases of what Tracy terms "actual" incest, only "incest, literary flirtation with (including false alarms, foiled attempts, threats, and unconsummated incestuous passion)." This kind of narrative discretion is employed roughly equally by both male and female authors, and makes up the vast majority of all depictions of incest. However, six cases of actual, no-narrative-flinching </w:t>
      </w:r>
      <w:r w:rsidR="00942E4E" w:rsidRPr="00DD7187">
        <w:rPr>
          <w:rFonts w:ascii="Times New Roman" w:hAnsi="Times New Roman" w:cs="Times New Roman"/>
          <w:lang w:val="en-US"/>
        </w:rPr>
        <w:t xml:space="preserve">incest are documented— </w:t>
      </w:r>
      <w:r w:rsidR="00346416" w:rsidRPr="00DD7187">
        <w:rPr>
          <w:rFonts w:ascii="Times New Roman" w:hAnsi="Times New Roman" w:cs="Times New Roman"/>
          <w:lang w:val="en-US"/>
        </w:rPr>
        <w:t>and all six are by men. To force one's readers to look directly at the horrors depicted, rather than allowing them to become terrified by their own imaginations, is, of course, the technique of the horror-Gothic, as contrasted with the terror-Gothic. Identifying the horror-Gothic as a predominantly male affair comes as no surprise, and accords nicely with the critical tradition of identifying Lewis as the quintessential horror-Gothic writer.</w:t>
      </w:r>
    </w:p>
    <w:p w14:paraId="272FD1F6" w14:textId="3B58A762" w:rsidR="00E14E43" w:rsidRDefault="00104C76" w:rsidP="00104C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autoSpaceDE w:val="0"/>
        <w:autoSpaceDN w:val="0"/>
        <w:adjustRightInd w:val="0"/>
        <w:spacing w:line="480" w:lineRule="auto"/>
        <w:ind w:firstLine="700"/>
        <w:jc w:val="both"/>
        <w:rPr>
          <w:rFonts w:ascii="Times New Roman" w:hAnsi="Times New Roman" w:cs="Times New Roman"/>
          <w:lang w:val="en-US"/>
        </w:rPr>
      </w:pPr>
      <w:r w:rsidRPr="00DD7187">
        <w:rPr>
          <w:rFonts w:ascii="Times New Roman" w:hAnsi="Times New Roman" w:cs="Times New Roman"/>
          <w:noProof/>
          <w:lang w:val="en-US"/>
        </w:rPr>
        <w:lastRenderedPageBreak/>
        <w:drawing>
          <wp:anchor distT="0" distB="0" distL="114300" distR="114300" simplePos="0" relativeHeight="251699200" behindDoc="0" locked="0" layoutInCell="1" allowOverlap="1" wp14:anchorId="124E63E8" wp14:editId="34DB1476">
            <wp:simplePos x="0" y="0"/>
            <wp:positionH relativeFrom="page">
              <wp:posOffset>4686300</wp:posOffset>
            </wp:positionH>
            <wp:positionV relativeFrom="page">
              <wp:posOffset>1691640</wp:posOffset>
            </wp:positionV>
            <wp:extent cx="2194560" cy="2194560"/>
            <wp:effectExtent l="0" t="0" r="0" b="0"/>
            <wp:wrapSquare wrapText="bothSides"/>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4560" cy="21945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B7780">
        <w:rPr>
          <w:noProof/>
          <w:lang w:val="en-US"/>
        </w:rPr>
        <mc:AlternateContent>
          <mc:Choice Requires="wps">
            <w:drawing>
              <wp:anchor distT="0" distB="0" distL="114300" distR="114300" simplePos="0" relativeHeight="251700224" behindDoc="0" locked="0" layoutInCell="1" allowOverlap="1" wp14:anchorId="215629EE" wp14:editId="39EBE2FA">
                <wp:simplePos x="0" y="0"/>
                <wp:positionH relativeFrom="page">
                  <wp:posOffset>4686300</wp:posOffset>
                </wp:positionH>
                <wp:positionV relativeFrom="page">
                  <wp:posOffset>3889375</wp:posOffset>
                </wp:positionV>
                <wp:extent cx="2209800" cy="571500"/>
                <wp:effectExtent l="0" t="0" r="0" b="12700"/>
                <wp:wrapThrough wrapText="bothSides">
                  <wp:wrapPolygon edited="0">
                    <wp:start x="248" y="0"/>
                    <wp:lineTo x="248" y="21120"/>
                    <wp:lineTo x="21103" y="21120"/>
                    <wp:lineTo x="21103" y="0"/>
                    <wp:lineTo x="248" y="0"/>
                  </wp:wrapPolygon>
                </wp:wrapThrough>
                <wp:docPr id="60" name="Text Box 60"/>
                <wp:cNvGraphicFramePr/>
                <a:graphic xmlns:a="http://schemas.openxmlformats.org/drawingml/2006/main">
                  <a:graphicData uri="http://schemas.microsoft.com/office/word/2010/wordprocessingShape">
                    <wps:wsp>
                      <wps:cNvSpPr txBox="1"/>
                      <wps:spPr>
                        <a:xfrm>
                          <a:off x="0" y="0"/>
                          <a:ext cx="2209800" cy="571500"/>
                        </a:xfrm>
                        <a:prstGeom prst="rect">
                          <a:avLst/>
                        </a:prstGeom>
                        <a:noFill/>
                        <a:ln>
                          <a:noFill/>
                        </a:ln>
                        <a:effectLst/>
                        <a:extLst>
                          <a:ext uri="{C572A759-6A51-4108-AA02-DFA0A04FC94B}">
                            <ma14:wrappingTextBoxFlag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0268A679" w14:textId="77777777" w:rsidR="00CC292D" w:rsidRPr="005E49C8" w:rsidRDefault="00CC292D" w:rsidP="00104C76">
                            <w:pPr>
                              <w:rPr>
                                <w:rFonts w:ascii="Times New Roman" w:hAnsi="Times New Roman" w:cs="Times New Roman"/>
                                <w:sz w:val="20"/>
                                <w:szCs w:val="20"/>
                              </w:rPr>
                            </w:pPr>
                            <w:r w:rsidRPr="005E49C8">
                              <w:rPr>
                                <w:rFonts w:ascii="Times New Roman" w:hAnsi="Times New Roman" w:cs="Times New Roman"/>
                                <w:b/>
                                <w:sz w:val="20"/>
                                <w:szCs w:val="20"/>
                              </w:rPr>
                              <w:t>Figure 1</w:t>
                            </w:r>
                            <w:r w:rsidRPr="005E49C8">
                              <w:rPr>
                                <w:rFonts w:ascii="Times New Roman" w:hAnsi="Times New Roman" w:cs="Times New Roman"/>
                                <w:sz w:val="20"/>
                                <w:szCs w:val="20"/>
                              </w:rPr>
                              <w:t>: gendered authorship of books containing male characters who habitually seduce women.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0" o:spid="_x0000_s1031" type="#_x0000_t202" style="position:absolute;left:0;text-align:left;margin-left:369pt;margin-top:306.25pt;width:174pt;height:45pt;z-index:251700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" mv:complextextbox="1" filled="f" stroked="f">
                <v:textbox>
                  <w:txbxContent>
                    <w:p w14:paraId="0268A679" w14:textId="77777777" w:rsidR="00CC292D" w:rsidRPr="005E49C8" w:rsidRDefault="00CC292D" w:rsidP="00104C76">
                      <w:pPr>
                        <w:rPr>
                          <w:rFonts w:ascii="Times New Roman" w:hAnsi="Times New Roman" w:cs="Times New Roman"/>
                          <w:sz w:val="20"/>
                          <w:szCs w:val="20"/>
                        </w:rPr>
                      </w:pPr>
                      <w:r w:rsidRPr="005E49C8">
                        <w:rPr>
                          <w:rFonts w:ascii="Times New Roman" w:hAnsi="Times New Roman" w:cs="Times New Roman"/>
                          <w:b/>
                          <w:sz w:val="20"/>
                          <w:szCs w:val="20"/>
                        </w:rPr>
                        <w:t>Figure 1</w:t>
                      </w:r>
                      <w:r w:rsidRPr="005E49C8">
                        <w:rPr>
                          <w:rFonts w:ascii="Times New Roman" w:hAnsi="Times New Roman" w:cs="Times New Roman"/>
                          <w:sz w:val="20"/>
                          <w:szCs w:val="20"/>
                        </w:rPr>
                        <w:t>: gendered authorship of books containing male characters who habitually seduce women.</w:t>
                      </w:r>
                    </w:p>
                  </w:txbxContent>
                </v:textbox>
                <w10:wrap type="through" anchorx="page" anchory="page"/>
              </v:shape>
            </w:pict>
          </mc:Fallback>
        </mc:AlternateContent>
      </w:r>
      <w:r w:rsidR="00346416" w:rsidRPr="00DD7187">
        <w:rPr>
          <w:rFonts w:ascii="Times New Roman" w:hAnsi="Times New Roman" w:cs="Times New Roman"/>
          <w:lang w:val="en-US"/>
        </w:rPr>
        <w:t xml:space="preserve">In contrast to the wild abundance of male tropes, in my model of the genre, the ‘Female Gothic’ is defined by only </w:t>
      </w:r>
      <w:r w:rsidR="00B005EE">
        <w:rPr>
          <w:rFonts w:ascii="Times New Roman" w:hAnsi="Times New Roman" w:cs="Times New Roman"/>
          <w:lang w:val="en-US"/>
        </w:rPr>
        <w:t>four</w:t>
      </w:r>
      <w:r w:rsidR="00346416" w:rsidRPr="00DD7187">
        <w:rPr>
          <w:rFonts w:ascii="Times New Roman" w:hAnsi="Times New Roman" w:cs="Times New Roman"/>
          <w:lang w:val="en-US"/>
        </w:rPr>
        <w:t xml:space="preserve"> things: libertines</w:t>
      </w:r>
      <w:r>
        <w:rPr>
          <w:rFonts w:ascii="Times New Roman" w:hAnsi="Times New Roman" w:cs="Times New Roman"/>
          <w:lang w:val="en-US"/>
        </w:rPr>
        <w:t xml:space="preserve"> (fig. 1)</w:t>
      </w:r>
      <w:r w:rsidR="00346416" w:rsidRPr="00DD7187">
        <w:rPr>
          <w:rFonts w:ascii="Times New Roman" w:hAnsi="Times New Roman" w:cs="Times New Roman"/>
          <w:lang w:val="en-US"/>
        </w:rPr>
        <w:t xml:space="preserve">, </w:t>
      </w:r>
      <w:r w:rsidR="00B005EE">
        <w:rPr>
          <w:rFonts w:ascii="Times New Roman" w:hAnsi="Times New Roman" w:cs="Times New Roman"/>
          <w:lang w:val="en-US"/>
        </w:rPr>
        <w:t>forced weddings</w:t>
      </w:r>
      <w:r>
        <w:rPr>
          <w:rFonts w:ascii="Times New Roman" w:hAnsi="Times New Roman" w:cs="Times New Roman"/>
          <w:lang w:val="en-US"/>
        </w:rPr>
        <w:t xml:space="preserve"> (fig. 2)</w:t>
      </w:r>
      <w:r w:rsidR="00B005EE">
        <w:rPr>
          <w:rFonts w:ascii="Times New Roman" w:hAnsi="Times New Roman" w:cs="Times New Roman"/>
          <w:lang w:val="en-US"/>
        </w:rPr>
        <w:t>, sad or pious deaths</w:t>
      </w:r>
      <w:r>
        <w:rPr>
          <w:rFonts w:ascii="Times New Roman" w:hAnsi="Times New Roman" w:cs="Times New Roman"/>
          <w:lang w:val="en-US"/>
        </w:rPr>
        <w:t xml:space="preserve"> (fig. 3)</w:t>
      </w:r>
      <w:r w:rsidR="00B005EE">
        <w:rPr>
          <w:rFonts w:ascii="Times New Roman" w:hAnsi="Times New Roman" w:cs="Times New Roman"/>
          <w:lang w:val="en-US"/>
        </w:rPr>
        <w:t xml:space="preserve">, </w:t>
      </w:r>
      <w:r w:rsidR="005E49C8">
        <w:rPr>
          <w:rFonts w:ascii="Times New Roman" w:hAnsi="Times New Roman" w:cs="Times New Roman"/>
          <w:lang w:val="en-US"/>
        </w:rPr>
        <w:t>and miniature portraits</w:t>
      </w:r>
      <w:r>
        <w:rPr>
          <w:rFonts w:ascii="Times New Roman" w:hAnsi="Times New Roman" w:cs="Times New Roman"/>
          <w:lang w:val="en-US"/>
        </w:rPr>
        <w:t xml:space="preserve"> (fig. 4)</w:t>
      </w:r>
      <w:r w:rsidR="005E49C8">
        <w:rPr>
          <w:rFonts w:ascii="Times New Roman" w:hAnsi="Times New Roman" w:cs="Times New Roman"/>
          <w:lang w:val="en-US"/>
        </w:rPr>
        <w:t>.</w:t>
      </w:r>
      <w:r w:rsidR="005E49C8">
        <w:rPr>
          <w:rStyle w:val="FootnoteReference"/>
          <w:rFonts w:ascii="Times New Roman" w:hAnsi="Times New Roman" w:cs="Times New Roman"/>
          <w:lang w:val="en-US"/>
        </w:rPr>
        <w:footnoteReference w:id="5"/>
      </w:r>
      <w:r w:rsidR="005E49C8">
        <w:rPr>
          <w:rFonts w:ascii="Times New Roman" w:hAnsi="Times New Roman" w:cs="Times New Roman"/>
          <w:lang w:val="en-US"/>
        </w:rPr>
        <w:t xml:space="preserve"> The</w:t>
      </w:r>
      <w:r w:rsidR="00C068EE">
        <w:rPr>
          <w:rFonts w:ascii="Times New Roman" w:hAnsi="Times New Roman" w:cs="Times New Roman"/>
          <w:lang w:val="en-US"/>
        </w:rPr>
        <w:t xml:space="preserve"> </w:t>
      </w:r>
      <w:r w:rsidR="00B005EE">
        <w:rPr>
          <w:rFonts w:ascii="Times New Roman" w:hAnsi="Times New Roman" w:cs="Times New Roman"/>
          <w:lang w:val="en-US"/>
        </w:rPr>
        <w:t>libertines and miniature portraits</w:t>
      </w:r>
      <w:r w:rsidR="00C068EE">
        <w:rPr>
          <w:rFonts w:ascii="Times New Roman" w:hAnsi="Times New Roman" w:cs="Times New Roman"/>
          <w:lang w:val="en-US"/>
        </w:rPr>
        <w:t xml:space="preserve"> </w:t>
      </w:r>
      <w:r w:rsidR="005E49C8">
        <w:rPr>
          <w:rFonts w:ascii="Times New Roman" w:hAnsi="Times New Roman" w:cs="Times New Roman"/>
          <w:lang w:val="en-US"/>
        </w:rPr>
        <w:t xml:space="preserve">in particular, as the most common female motifs, </w:t>
      </w:r>
      <w:r w:rsidR="00346416" w:rsidRPr="00DD7187">
        <w:rPr>
          <w:rFonts w:ascii="Times New Roman" w:hAnsi="Times New Roman" w:cs="Times New Roman"/>
          <w:lang w:val="en-US"/>
        </w:rPr>
        <w:t xml:space="preserve">immediately suggest a </w:t>
      </w:r>
      <w:r w:rsidR="00C068EE">
        <w:rPr>
          <w:rFonts w:ascii="Times New Roman" w:hAnsi="Times New Roman" w:cs="Times New Roman"/>
          <w:lang w:val="en-US"/>
        </w:rPr>
        <w:t xml:space="preserve">new </w:t>
      </w:r>
      <w:r w:rsidR="00346416" w:rsidRPr="00DD7187">
        <w:rPr>
          <w:rFonts w:ascii="Times New Roman" w:hAnsi="Times New Roman" w:cs="Times New Roman"/>
          <w:lang w:val="en-US"/>
        </w:rPr>
        <w:t>Female Gothic more like</w:t>
      </w:r>
      <w:r w:rsidR="00281910" w:rsidRPr="00DD7187">
        <w:rPr>
          <w:rFonts w:ascii="Times New Roman" w:hAnsi="Times New Roman" w:cs="Times New Roman"/>
          <w:lang w:val="en-US"/>
        </w:rPr>
        <w:t xml:space="preserve"> the novels of</w:t>
      </w:r>
      <w:r w:rsidR="00346416" w:rsidRPr="00DD7187">
        <w:rPr>
          <w:rFonts w:ascii="Times New Roman" w:hAnsi="Times New Roman" w:cs="Times New Roman"/>
          <w:lang w:val="en-US"/>
        </w:rPr>
        <w:t xml:space="preserve"> Jane Austen, whose ordered and rational novels are </w:t>
      </w:r>
      <w:r w:rsidR="00535A00" w:rsidRPr="00DD7187">
        <w:rPr>
          <w:rFonts w:ascii="Times New Roman" w:hAnsi="Times New Roman" w:cs="Times New Roman"/>
          <w:lang w:val="en-US"/>
        </w:rPr>
        <w:t xml:space="preserve">nonetheless </w:t>
      </w:r>
      <w:r w:rsidR="00346416" w:rsidRPr="00DD7187">
        <w:rPr>
          <w:rFonts w:ascii="Times New Roman" w:hAnsi="Times New Roman" w:cs="Times New Roman"/>
          <w:lang w:val="en-US"/>
        </w:rPr>
        <w:t xml:space="preserve">replete with rakes and miniatures. However, </w:t>
      </w:r>
      <w:r w:rsidR="00C068EE">
        <w:rPr>
          <w:rFonts w:ascii="Times New Roman" w:hAnsi="Times New Roman" w:cs="Times New Roman"/>
          <w:lang w:val="en-US"/>
        </w:rPr>
        <w:t>the</w:t>
      </w:r>
      <w:r w:rsidR="00346416" w:rsidRPr="00DD7187">
        <w:rPr>
          <w:rFonts w:ascii="Times New Roman" w:hAnsi="Times New Roman" w:cs="Times New Roman"/>
          <w:lang w:val="en-US"/>
        </w:rPr>
        <w:t xml:space="preserve"> paucity </w:t>
      </w:r>
      <w:r w:rsidR="00C068EE">
        <w:rPr>
          <w:rFonts w:ascii="Times New Roman" w:hAnsi="Times New Roman" w:cs="Times New Roman"/>
          <w:lang w:val="en-US"/>
        </w:rPr>
        <w:t xml:space="preserve">of female motifs </w:t>
      </w:r>
      <w:r w:rsidR="00346416" w:rsidRPr="00DD7187">
        <w:rPr>
          <w:rFonts w:ascii="Times New Roman" w:hAnsi="Times New Roman" w:cs="Times New Roman"/>
          <w:lang w:val="en-US"/>
        </w:rPr>
        <w:t>also suggests that this immedi</w:t>
      </w:r>
      <w:r w:rsidR="00E14E43">
        <w:rPr>
          <w:rFonts w:ascii="Times New Roman" w:hAnsi="Times New Roman" w:cs="Times New Roman"/>
          <w:lang w:val="en-US"/>
        </w:rPr>
        <w:t>ate response may be too hasty:</w:t>
      </w:r>
      <w:r w:rsidR="008E7ED4" w:rsidRPr="00DD7187">
        <w:rPr>
          <w:rFonts w:ascii="Times New Roman" w:hAnsi="Times New Roman" w:cs="Times New Roman"/>
          <w:lang w:val="en-US"/>
        </w:rPr>
        <w:t xml:space="preserve"> </w:t>
      </w:r>
      <w:r w:rsidR="00346416" w:rsidRPr="00DD7187">
        <w:rPr>
          <w:rFonts w:ascii="Times New Roman" w:hAnsi="Times New Roman" w:cs="Times New Roman"/>
          <w:lang w:val="en-US"/>
        </w:rPr>
        <w:t>the Female Gothic is outnumbered not just by the Male Gothic b</w:t>
      </w:r>
      <w:r w:rsidR="008E7ED4" w:rsidRPr="00DD7187">
        <w:rPr>
          <w:rFonts w:ascii="Times New Roman" w:hAnsi="Times New Roman" w:cs="Times New Roman"/>
          <w:lang w:val="en-US"/>
        </w:rPr>
        <w:t>ut also by the Everybody Gothic</w:t>
      </w:r>
      <w:r w:rsidR="00346416" w:rsidRPr="00DD7187">
        <w:rPr>
          <w:rFonts w:ascii="Times New Roman" w:hAnsi="Times New Roman" w:cs="Times New Roman"/>
          <w:lang w:val="en-US"/>
        </w:rPr>
        <w:t xml:space="preserve">. More than half of the </w:t>
      </w:r>
      <w:r w:rsidR="0046794F">
        <w:rPr>
          <w:rFonts w:ascii="Times New Roman" w:hAnsi="Times New Roman" w:cs="Times New Roman"/>
          <w:lang w:val="en-US"/>
        </w:rPr>
        <w:t>94</w:t>
      </w:r>
      <w:r w:rsidR="00346416" w:rsidRPr="00DD7187">
        <w:rPr>
          <w:rFonts w:ascii="Times New Roman" w:hAnsi="Times New Roman" w:cs="Times New Roman"/>
          <w:lang w:val="en-US"/>
        </w:rPr>
        <w:t xml:space="preserve"> motifs</w:t>
      </w:r>
      <w:r w:rsidR="00E14E43">
        <w:rPr>
          <w:rFonts w:ascii="Times New Roman" w:hAnsi="Times New Roman" w:cs="Times New Roman"/>
          <w:lang w:val="en-US"/>
        </w:rPr>
        <w:t xml:space="preserve"> are</w:t>
      </w:r>
      <w:r w:rsidR="00346416" w:rsidRPr="00DD7187">
        <w:rPr>
          <w:rFonts w:ascii="Times New Roman" w:hAnsi="Times New Roman" w:cs="Times New Roman"/>
          <w:lang w:val="en-US"/>
        </w:rPr>
        <w:t xml:space="preserve"> not strongly gendered. </w:t>
      </w:r>
      <w:r w:rsidR="001F1DE5">
        <w:rPr>
          <w:rFonts w:ascii="Times New Roman" w:hAnsi="Times New Roman" w:cs="Times New Roman"/>
          <w:lang w:val="en-US"/>
        </w:rPr>
        <w:t>Four</w:t>
      </w:r>
      <w:r w:rsidR="00346416" w:rsidRPr="00DD7187">
        <w:rPr>
          <w:rFonts w:ascii="Times New Roman" w:hAnsi="Times New Roman" w:cs="Times New Roman"/>
          <w:lang w:val="en-US"/>
        </w:rPr>
        <w:t xml:space="preserve"> — </w:t>
      </w:r>
      <w:r>
        <w:rPr>
          <w:rFonts w:ascii="Times New Roman" w:hAnsi="Times New Roman" w:cs="Times New Roman"/>
          <w:lang w:val="en-US"/>
        </w:rPr>
        <w:t>elopement (all subcategories) (fig.</w:t>
      </w:r>
      <w:r w:rsidR="001F1DE5">
        <w:rPr>
          <w:rFonts w:ascii="Times New Roman" w:hAnsi="Times New Roman" w:cs="Times New Roman"/>
          <w:lang w:val="en-US"/>
        </w:rPr>
        <w:t xml:space="preserve"> </w:t>
      </w:r>
      <w:r>
        <w:rPr>
          <w:rFonts w:ascii="Times New Roman" w:hAnsi="Times New Roman" w:cs="Times New Roman"/>
          <w:lang w:val="en-US"/>
        </w:rPr>
        <w:t xml:space="preserve">21); </w:t>
      </w:r>
      <w:r w:rsidR="00346416" w:rsidRPr="00DD7187">
        <w:rPr>
          <w:rFonts w:ascii="Times New Roman" w:hAnsi="Times New Roman" w:cs="Times New Roman"/>
          <w:lang w:val="en-US"/>
        </w:rPr>
        <w:t>d</w:t>
      </w:r>
      <w:r>
        <w:rPr>
          <w:rFonts w:ascii="Times New Roman" w:hAnsi="Times New Roman" w:cs="Times New Roman"/>
          <w:lang w:val="en-US"/>
        </w:rPr>
        <w:t xml:space="preserve">ueling and other single combat (fig. 22); </w:t>
      </w:r>
      <w:r w:rsidR="001F1DE5">
        <w:rPr>
          <w:rFonts w:ascii="Times New Roman" w:hAnsi="Times New Roman" w:cs="Times New Roman"/>
          <w:lang w:val="en-US"/>
        </w:rPr>
        <w:t>fainting, female</w:t>
      </w:r>
      <w:r>
        <w:rPr>
          <w:rFonts w:ascii="Times New Roman" w:hAnsi="Times New Roman" w:cs="Times New Roman"/>
          <w:lang w:val="en-US"/>
        </w:rPr>
        <w:t xml:space="preserve"> (fig. 23); and rediscovery of lost relatives (fig. 24)</w:t>
      </w:r>
      <w:r w:rsidR="00346416" w:rsidRPr="00DD7187">
        <w:rPr>
          <w:rFonts w:ascii="Times New Roman" w:hAnsi="Times New Roman" w:cs="Times New Roman"/>
          <w:lang w:val="en-US"/>
        </w:rPr>
        <w:t xml:space="preserve"> — are even perfect ties. Moreover, the more popular a motif is— i.e., the larger a role it plays in making up the genre— the more likely it is to be non-gendered. In terms of sheer prevalence, the defining features of the Gothic as a genre appear to be fainting</w:t>
      </w:r>
      <w:r>
        <w:rPr>
          <w:rFonts w:ascii="Times New Roman" w:hAnsi="Times New Roman" w:cs="Times New Roman"/>
          <w:lang w:val="en-US"/>
        </w:rPr>
        <w:t xml:space="preserve"> (fig. 26)</w:t>
      </w:r>
      <w:r w:rsidR="00346416" w:rsidRPr="00DD7187">
        <w:rPr>
          <w:rFonts w:ascii="Times New Roman" w:hAnsi="Times New Roman" w:cs="Times New Roman"/>
          <w:lang w:val="en-US"/>
        </w:rPr>
        <w:t>, confinement</w:t>
      </w:r>
      <w:r>
        <w:rPr>
          <w:rFonts w:ascii="Times New Roman" w:hAnsi="Times New Roman" w:cs="Times New Roman"/>
          <w:lang w:val="en-US"/>
        </w:rPr>
        <w:t xml:space="preserve"> (fig. 38)</w:t>
      </w:r>
      <w:r w:rsidR="00346416" w:rsidRPr="00DD7187">
        <w:rPr>
          <w:rFonts w:ascii="Times New Roman" w:hAnsi="Times New Roman" w:cs="Times New Roman"/>
          <w:lang w:val="en-US"/>
        </w:rPr>
        <w:t>, abduction</w:t>
      </w:r>
      <w:r>
        <w:rPr>
          <w:rFonts w:ascii="Times New Roman" w:hAnsi="Times New Roman" w:cs="Times New Roman"/>
          <w:lang w:val="en-US"/>
        </w:rPr>
        <w:t xml:space="preserve"> (fig. 30)</w:t>
      </w:r>
      <w:r w:rsidR="00346416" w:rsidRPr="00DD7187">
        <w:rPr>
          <w:rFonts w:ascii="Times New Roman" w:hAnsi="Times New Roman" w:cs="Times New Roman"/>
          <w:lang w:val="en-US"/>
        </w:rPr>
        <w:t>, storms</w:t>
      </w:r>
      <w:r>
        <w:rPr>
          <w:rFonts w:ascii="Times New Roman" w:hAnsi="Times New Roman" w:cs="Times New Roman"/>
          <w:lang w:val="en-US"/>
        </w:rPr>
        <w:t xml:space="preserve"> (fig. 43)</w:t>
      </w:r>
      <w:r w:rsidR="00346416" w:rsidRPr="00DD7187">
        <w:rPr>
          <w:rFonts w:ascii="Times New Roman" w:hAnsi="Times New Roman" w:cs="Times New Roman"/>
          <w:lang w:val="en-US"/>
        </w:rPr>
        <w:t>, and references to suicide</w:t>
      </w:r>
      <w:r>
        <w:rPr>
          <w:rFonts w:ascii="Times New Roman" w:hAnsi="Times New Roman" w:cs="Times New Roman"/>
          <w:lang w:val="en-US"/>
        </w:rPr>
        <w:t xml:space="preserve"> (fig. 62)</w:t>
      </w:r>
      <w:r w:rsidR="00346416" w:rsidRPr="00DD7187">
        <w:rPr>
          <w:rFonts w:ascii="Times New Roman" w:hAnsi="Times New Roman" w:cs="Times New Roman"/>
          <w:lang w:val="en-US"/>
        </w:rPr>
        <w:t xml:space="preserve">. Only one of those </w:t>
      </w:r>
      <w:r w:rsidR="005E49C8">
        <w:rPr>
          <w:rFonts w:ascii="Times New Roman" w:hAnsi="Times New Roman" w:cs="Times New Roman"/>
          <w:lang w:val="en-US"/>
        </w:rPr>
        <w:t>five</w:t>
      </w:r>
      <w:r w:rsidR="00346416" w:rsidRPr="00DD7187">
        <w:rPr>
          <w:rFonts w:ascii="Times New Roman" w:hAnsi="Times New Roman" w:cs="Times New Roman"/>
          <w:lang w:val="en-US"/>
        </w:rPr>
        <w:t xml:space="preserve"> charts </w:t>
      </w:r>
      <w:r w:rsidR="005E49C8">
        <w:rPr>
          <w:rFonts w:ascii="Times New Roman" w:hAnsi="Times New Roman" w:cs="Times New Roman"/>
          <w:lang w:val="en-US"/>
        </w:rPr>
        <w:t xml:space="preserve">(suicide, </w:t>
      </w:r>
      <w:r w:rsidR="00E14E43">
        <w:rPr>
          <w:rFonts w:ascii="Times New Roman" w:hAnsi="Times New Roman" w:cs="Times New Roman"/>
          <w:lang w:val="en-US"/>
        </w:rPr>
        <w:t xml:space="preserve">which is </w:t>
      </w:r>
      <w:r w:rsidR="005E49C8">
        <w:rPr>
          <w:rFonts w:ascii="Times New Roman" w:hAnsi="Times New Roman" w:cs="Times New Roman"/>
          <w:lang w:val="en-US"/>
        </w:rPr>
        <w:t>61% male-authored)</w:t>
      </w:r>
      <w:r w:rsidR="00346416" w:rsidRPr="00DD7187">
        <w:rPr>
          <w:rFonts w:ascii="Times New Roman" w:hAnsi="Times New Roman" w:cs="Times New Roman"/>
          <w:lang w:val="en-US"/>
        </w:rPr>
        <w:t xml:space="preserve"> </w:t>
      </w:r>
      <w:r w:rsidR="005E49C8">
        <w:rPr>
          <w:rFonts w:ascii="Times New Roman" w:hAnsi="Times New Roman" w:cs="Times New Roman"/>
          <w:lang w:val="en-US"/>
        </w:rPr>
        <w:t xml:space="preserve">shows </w:t>
      </w:r>
      <w:r w:rsidR="00346416" w:rsidRPr="00DD7187">
        <w:rPr>
          <w:rFonts w:ascii="Times New Roman" w:hAnsi="Times New Roman" w:cs="Times New Roman"/>
          <w:lang w:val="en-US"/>
        </w:rPr>
        <w:t xml:space="preserve">a </w:t>
      </w:r>
      <w:r w:rsidR="00353641">
        <w:rPr>
          <w:rFonts w:ascii="Times New Roman" w:hAnsi="Times New Roman" w:cs="Times New Roman"/>
          <w:lang w:val="en-US"/>
        </w:rPr>
        <w:t>gendered</w:t>
      </w:r>
      <w:r w:rsidR="00346416" w:rsidRPr="00DD7187">
        <w:rPr>
          <w:rFonts w:ascii="Times New Roman" w:hAnsi="Times New Roman" w:cs="Times New Roman"/>
          <w:lang w:val="en-US"/>
        </w:rPr>
        <w:t xml:space="preserve"> </w:t>
      </w:r>
      <w:r w:rsidR="00353641">
        <w:rPr>
          <w:rFonts w:ascii="Times New Roman" w:hAnsi="Times New Roman" w:cs="Times New Roman"/>
          <w:lang w:val="en-US"/>
        </w:rPr>
        <w:t>divide</w:t>
      </w:r>
      <w:r w:rsidR="00E14E43">
        <w:rPr>
          <w:rFonts w:ascii="Times New Roman" w:hAnsi="Times New Roman" w:cs="Times New Roman"/>
          <w:lang w:val="en-US"/>
        </w:rPr>
        <w:t>.</w:t>
      </w:r>
    </w:p>
    <w:p w14:paraId="3ADF2A2B" w14:textId="76F85765" w:rsidR="00346416" w:rsidRPr="00DD7187" w:rsidRDefault="00353641" w:rsidP="00104C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autoSpaceDE w:val="0"/>
        <w:autoSpaceDN w:val="0"/>
        <w:adjustRightInd w:val="0"/>
        <w:spacing w:line="480" w:lineRule="auto"/>
        <w:ind w:firstLine="700"/>
        <w:jc w:val="both"/>
        <w:rPr>
          <w:rFonts w:ascii="Times New Roman" w:hAnsi="Times New Roman" w:cs="Times New Roman"/>
          <w:lang w:val="en-US"/>
        </w:rPr>
      </w:pPr>
      <w:r>
        <w:rPr>
          <w:rFonts w:ascii="Times New Roman" w:hAnsi="Times New Roman" w:cs="Times New Roman"/>
          <w:lang w:val="en-US"/>
        </w:rPr>
        <w:t>T</w:t>
      </w:r>
      <w:r w:rsidR="00346416" w:rsidRPr="00DD7187">
        <w:rPr>
          <w:rFonts w:ascii="Times New Roman" w:hAnsi="Times New Roman" w:cs="Times New Roman"/>
          <w:lang w:val="en-US"/>
        </w:rPr>
        <w:t xml:space="preserve">hese results serve as a useful reminder that not all contrasts are necessarily perfect binaries. </w:t>
      </w:r>
      <w:r w:rsidR="00535A00" w:rsidRPr="00DD7187">
        <w:rPr>
          <w:rFonts w:ascii="Times New Roman" w:hAnsi="Times New Roman" w:cs="Times New Roman"/>
          <w:lang w:val="en-US"/>
        </w:rPr>
        <w:t>I</w:t>
      </w:r>
      <w:r w:rsidR="00346416" w:rsidRPr="00DD7187">
        <w:rPr>
          <w:rFonts w:ascii="Times New Roman" w:hAnsi="Times New Roman" w:cs="Times New Roman"/>
          <w:lang w:val="en-US"/>
        </w:rPr>
        <w:t xml:space="preserve">ndeed, all of the strongly male-dominated motifs are much less common than the more </w:t>
      </w:r>
      <w:r w:rsidR="00346416" w:rsidRPr="00DD7187">
        <w:rPr>
          <w:rFonts w:ascii="Times New Roman" w:hAnsi="Times New Roman" w:cs="Times New Roman"/>
          <w:lang w:val="en-US"/>
        </w:rPr>
        <w:lastRenderedPageBreak/>
        <w:t xml:space="preserve">neutral motifs. This model suggests that, rather than a balanced opposition of Radcliffe’s female terror Gothic vs Lewis’s male horror Gothic, the genre as a popular movement was defined by a less-sensationalist (possibly Radcliffean, possibly terror-mode) non-gendered Gothic mainstream, with a subset of male horror Gothic writers making up a minor tradition within it. The existence of a Male Gothic tradition does not require that everything outside that tradition be a </w:t>
      </w:r>
      <w:r w:rsidR="00E14E43" w:rsidRPr="00837120">
        <w:rPr>
          <w:noProof/>
          <w:lang w:val="en-US"/>
        </w:rPr>
        <w:drawing>
          <wp:anchor distT="0" distB="0" distL="114300" distR="114300" simplePos="0" relativeHeight="251692032" behindDoc="0" locked="0" layoutInCell="1" allowOverlap="1" wp14:anchorId="55EBB2A5" wp14:editId="15977977">
            <wp:simplePos x="0" y="0"/>
            <wp:positionH relativeFrom="page">
              <wp:posOffset>1714500</wp:posOffset>
            </wp:positionH>
            <wp:positionV relativeFrom="page">
              <wp:posOffset>3086100</wp:posOffset>
            </wp:positionV>
            <wp:extent cx="2194560" cy="2194560"/>
            <wp:effectExtent l="0" t="0" r="0" b="0"/>
            <wp:wrapSquare wrapText="bothSides"/>
            <wp:docPr id="286" name="Picture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bess-any.png"/>
                    <pic:cNvPicPr/>
                  </pic:nvPicPr>
                  <pic:blipFill>
                    <a:blip r:embed="rId14">
                      <a:extLst>
                        <a:ext uri="{28A0092B-C50C-407E-A947-70E740481C1C}">
                          <a14:useLocalDpi xmlns:a14="http://schemas.microsoft.com/office/drawing/2010/main" val="0"/>
                        </a:ext>
                      </a:extLst>
                    </a:blip>
                    <a:stretch>
                      <a:fillRect/>
                    </a:stretch>
                  </pic:blipFill>
                  <pic:spPr>
                    <a:xfrm>
                      <a:off x="0" y="0"/>
                      <a:ext cx="2194560" cy="2194560"/>
                    </a:xfrm>
                    <a:prstGeom prst="rect">
                      <a:avLst/>
                    </a:prstGeom>
                    <a:extLst>
                      <a:ext uri="{FAA26D3D-D897-4be2-8F04-BA451C77F1D7}">
                        <ma14:placeholderFlag xmlns:ma14="http://schemas.microsoft.com/office/mac/drawingml/2011/main"/>
                      </a:ext>
                    </a:extLst>
                  </pic:spPr>
                </pic:pic>
              </a:graphicData>
            </a:graphic>
            <wp14:sizeRelH relativeFrom="margin">
              <wp14:pctWidth>0</wp14:pctWidth>
            </wp14:sizeRelH>
            <wp14:sizeRelV relativeFrom="margin">
              <wp14:pctHeight>0</wp14:pctHeight>
            </wp14:sizeRelV>
          </wp:anchor>
        </w:drawing>
      </w:r>
      <w:r w:rsidR="00E14E43" w:rsidRPr="00837120">
        <w:rPr>
          <w:noProof/>
          <w:lang w:val="en-US"/>
        </w:rPr>
        <mc:AlternateContent>
          <mc:Choice Requires="wps">
            <w:drawing>
              <wp:anchor distT="0" distB="0" distL="114300" distR="114300" simplePos="0" relativeHeight="251697152" behindDoc="0" locked="0" layoutInCell="1" allowOverlap="1" wp14:anchorId="483116E2" wp14:editId="4328F6F9">
                <wp:simplePos x="0" y="0"/>
                <wp:positionH relativeFrom="page">
                  <wp:posOffset>4000500</wp:posOffset>
                </wp:positionH>
                <wp:positionV relativeFrom="page">
                  <wp:posOffset>5257800</wp:posOffset>
                </wp:positionV>
                <wp:extent cx="2209800" cy="571500"/>
                <wp:effectExtent l="0" t="0" r="0" b="12700"/>
                <wp:wrapSquare wrapText="bothSides"/>
                <wp:docPr id="4" name="Text Box 4"/>
                <wp:cNvGraphicFramePr/>
                <a:graphic xmlns:a="http://schemas.openxmlformats.org/drawingml/2006/main">
                  <a:graphicData uri="http://schemas.microsoft.com/office/word/2010/wordprocessingShape">
                    <wps:wsp>
                      <wps:cNvSpPr txBox="1"/>
                      <wps:spPr>
                        <a:xfrm>
                          <a:off x="0" y="0"/>
                          <a:ext cx="2209800" cy="5715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0C01AB45" w14:textId="77777777" w:rsidR="00CC292D" w:rsidRPr="00353641" w:rsidRDefault="00CC292D" w:rsidP="00353641">
                            <w:pPr>
                              <w:rPr>
                                <w:rFonts w:ascii="Times New Roman" w:hAnsi="Times New Roman" w:cs="Times New Roman"/>
                                <w:sz w:val="20"/>
                                <w:szCs w:val="20"/>
                              </w:rPr>
                            </w:pPr>
                            <w:r w:rsidRPr="00353641">
                              <w:rPr>
                                <w:rFonts w:ascii="Times New Roman" w:hAnsi="Times New Roman" w:cs="Times New Roman"/>
                                <w:b/>
                                <w:sz w:val="20"/>
                                <w:szCs w:val="20"/>
                              </w:rPr>
                              <w:t>Figure 26</w:t>
                            </w:r>
                            <w:r w:rsidRPr="00353641">
                              <w:rPr>
                                <w:rFonts w:ascii="Times New Roman" w:hAnsi="Times New Roman" w:cs="Times New Roman"/>
                                <w:sz w:val="20"/>
                                <w:szCs w:val="20"/>
                              </w:rPr>
                              <w:t>: gendered authorship of books containing fainting (female or male).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32" type="#_x0000_t202" style="position:absolute;left:0;text-align:left;margin-left:315pt;margin-top:414pt;width:174pt;height:45pt;z-index:251697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" mv:complextextbox="1" filled="f" stroked="f">
                <v:textbox>
                  <w:txbxContent>
                    <w:p w14:paraId="0C01AB45" w14:textId="77777777" w:rsidR="00CC292D" w:rsidRPr="00353641" w:rsidRDefault="00CC292D" w:rsidP="00353641">
                      <w:pPr>
                        <w:rPr>
                          <w:rFonts w:ascii="Times New Roman" w:hAnsi="Times New Roman" w:cs="Times New Roman"/>
                          <w:sz w:val="20"/>
                          <w:szCs w:val="20"/>
                        </w:rPr>
                      </w:pPr>
                      <w:r w:rsidRPr="00353641">
                        <w:rPr>
                          <w:rFonts w:ascii="Times New Roman" w:hAnsi="Times New Roman" w:cs="Times New Roman"/>
                          <w:b/>
                          <w:sz w:val="20"/>
                          <w:szCs w:val="20"/>
                        </w:rPr>
                        <w:t>Figure 26</w:t>
                      </w:r>
                      <w:r w:rsidRPr="00353641">
                        <w:rPr>
                          <w:rFonts w:ascii="Times New Roman" w:hAnsi="Times New Roman" w:cs="Times New Roman"/>
                          <w:sz w:val="20"/>
                          <w:szCs w:val="20"/>
                        </w:rPr>
                        <w:t>: gendered authorship of books containing fainting (female or male).</w:t>
                      </w:r>
                    </w:p>
                  </w:txbxContent>
                </v:textbox>
                <w10:wrap type="square" anchorx="page" anchory="page"/>
              </v:shape>
            </w:pict>
          </mc:Fallback>
        </mc:AlternateContent>
      </w:r>
      <w:r w:rsidR="00E14E43" w:rsidRPr="00837120">
        <w:rPr>
          <w:noProof/>
          <w:lang w:val="en-US"/>
        </w:rPr>
        <w:drawing>
          <wp:anchor distT="0" distB="0" distL="114300" distR="114300" simplePos="0" relativeHeight="251696128" behindDoc="0" locked="0" layoutInCell="1" allowOverlap="1" wp14:anchorId="64B8A48D" wp14:editId="0F5B7876">
            <wp:simplePos x="0" y="0"/>
            <wp:positionH relativeFrom="page">
              <wp:posOffset>4000500</wp:posOffset>
            </wp:positionH>
            <wp:positionV relativeFrom="page">
              <wp:posOffset>3086100</wp:posOffset>
            </wp:positionV>
            <wp:extent cx="2194560" cy="2194560"/>
            <wp:effectExtent l="0" t="0" r="0" b="0"/>
            <wp:wrapSquare wrapText="bothSides"/>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bess-any.png"/>
                    <pic:cNvPicPr/>
                  </pic:nvPicPr>
                  <pic:blipFill>
                    <a:blip r:embed="rId15">
                      <a:extLst>
                        <a:ext uri="{28A0092B-C50C-407E-A947-70E740481C1C}">
                          <a14:useLocalDpi xmlns:a14="http://schemas.microsoft.com/office/drawing/2010/main" val="0"/>
                        </a:ext>
                      </a:extLst>
                    </a:blip>
                    <a:stretch>
                      <a:fillRect/>
                    </a:stretch>
                  </pic:blipFill>
                  <pic:spPr>
                    <a:xfrm>
                      <a:off x="0" y="0"/>
                      <a:ext cx="2194560" cy="2194560"/>
                    </a:xfrm>
                    <a:prstGeom prst="rect">
                      <a:avLst/>
                    </a:prstGeom>
                    <a:extLst>
                      <a:ext uri="{FAA26D3D-D897-4be2-8F04-BA451C77F1D7}">
                        <ma14:placeholderFlag xmlns:ma14="http://schemas.microsoft.com/office/mac/drawingml/2011/main"/>
                      </a:ext>
                    </a:extLst>
                  </pic:spPr>
                </pic:pic>
              </a:graphicData>
            </a:graphic>
            <wp14:sizeRelH relativeFrom="margin">
              <wp14:pctWidth>0</wp14:pctWidth>
            </wp14:sizeRelH>
            <wp14:sizeRelV relativeFrom="margin">
              <wp14:pctHeight>0</wp14:pctHeight>
            </wp14:sizeRelV>
          </wp:anchor>
        </w:drawing>
      </w:r>
      <w:r w:rsidR="00E14E43" w:rsidRPr="00837120">
        <w:rPr>
          <w:noProof/>
          <w:lang w:val="en-US"/>
        </w:rPr>
        <mc:AlternateContent>
          <mc:Choice Requires="wps">
            <w:drawing>
              <wp:anchor distT="0" distB="0" distL="114300" distR="114300" simplePos="0" relativeHeight="251693056" behindDoc="0" locked="0" layoutInCell="1" allowOverlap="1" wp14:anchorId="521ED333" wp14:editId="1B866EF5">
                <wp:simplePos x="0" y="0"/>
                <wp:positionH relativeFrom="page">
                  <wp:posOffset>1714500</wp:posOffset>
                </wp:positionH>
                <wp:positionV relativeFrom="page">
                  <wp:posOffset>5257800</wp:posOffset>
                </wp:positionV>
                <wp:extent cx="2209800" cy="457200"/>
                <wp:effectExtent l="0" t="0" r="0" b="0"/>
                <wp:wrapSquare wrapText="bothSides"/>
                <wp:docPr id="280" name="Text Box 280"/>
                <wp:cNvGraphicFramePr/>
                <a:graphic xmlns:a="http://schemas.openxmlformats.org/drawingml/2006/main">
                  <a:graphicData uri="http://schemas.microsoft.com/office/word/2010/wordprocessingShape">
                    <wps:wsp>
                      <wps:cNvSpPr txBox="1"/>
                      <wps:spPr>
                        <a:xfrm>
                          <a:off x="0" y="0"/>
                          <a:ext cx="2209800" cy="4572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454306F4" w14:textId="1B0ADA9A" w:rsidR="00CC292D" w:rsidRPr="00353641" w:rsidRDefault="00CC292D" w:rsidP="00353641">
                            <w:pPr>
                              <w:rPr>
                                <w:rFonts w:ascii="Times New Roman" w:hAnsi="Times New Roman" w:cs="Times New Roman"/>
                                <w:b/>
                                <w:sz w:val="20"/>
                                <w:szCs w:val="20"/>
                              </w:rPr>
                            </w:pPr>
                            <w:r w:rsidRPr="00353641">
                              <w:rPr>
                                <w:rFonts w:ascii="Times New Roman" w:hAnsi="Times New Roman" w:cs="Times New Roman"/>
                                <w:b/>
                                <w:sz w:val="20"/>
                                <w:szCs w:val="20"/>
                              </w:rPr>
                              <w:t xml:space="preserve">Figure 90: </w:t>
                            </w:r>
                            <w:r w:rsidRPr="00E14E43">
                              <w:rPr>
                                <w:rFonts w:ascii="Times New Roman" w:hAnsi="Times New Roman" w:cs="Times New Roman"/>
                                <w:sz w:val="20"/>
                                <w:szCs w:val="20"/>
                              </w:rPr>
                              <w:t>gendered authorship of books containing putrefaction.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80" o:spid="_x0000_s1033" type="#_x0000_t202" style="position:absolute;left:0;text-align:left;margin-left:135pt;margin-top:414pt;width:174pt;height:36pt;z-index:251693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" mv:complextextbox="1" filled="f" stroked="f">
                <v:textbox>
                  <w:txbxContent>
                    <w:p w14:paraId="454306F4" w14:textId="1B0ADA9A" w:rsidR="00CC292D" w:rsidRPr="00353641" w:rsidRDefault="00CC292D" w:rsidP="00353641">
                      <w:pPr>
                        <w:rPr>
                          <w:rFonts w:ascii="Times New Roman" w:hAnsi="Times New Roman" w:cs="Times New Roman"/>
                          <w:b/>
                          <w:sz w:val="20"/>
                          <w:szCs w:val="20"/>
                        </w:rPr>
                      </w:pPr>
                      <w:r w:rsidRPr="00353641">
                        <w:rPr>
                          <w:rFonts w:ascii="Times New Roman" w:hAnsi="Times New Roman" w:cs="Times New Roman"/>
                          <w:b/>
                          <w:sz w:val="20"/>
                          <w:szCs w:val="20"/>
                        </w:rPr>
                        <w:t xml:space="preserve">Figure 90: </w:t>
                      </w:r>
                      <w:r w:rsidRPr="00E14E43">
                        <w:rPr>
                          <w:rFonts w:ascii="Times New Roman" w:hAnsi="Times New Roman" w:cs="Times New Roman"/>
                          <w:sz w:val="20"/>
                          <w:szCs w:val="20"/>
                        </w:rPr>
                        <w:t>gendered authorship of books containing putrefaction.</w:t>
                      </w:r>
                    </w:p>
                  </w:txbxContent>
                </v:textbox>
                <w10:wrap type="square" anchorx="page" anchory="page"/>
              </v:shape>
            </w:pict>
          </mc:Fallback>
        </mc:AlternateContent>
      </w:r>
      <w:r w:rsidR="00346416" w:rsidRPr="00DD7187">
        <w:rPr>
          <w:rFonts w:ascii="Times New Roman" w:hAnsi="Times New Roman" w:cs="Times New Roman"/>
          <w:lang w:val="en-US"/>
        </w:rPr>
        <w:t xml:space="preserve">perfectly-opposed Female Gothic. </w:t>
      </w:r>
    </w:p>
    <w:p w14:paraId="16BBB7AD" w14:textId="09E16DA3" w:rsidR="00904B37" w:rsidRPr="00DD7187" w:rsidRDefault="00904B37" w:rsidP="002C60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autoSpaceDE w:val="0"/>
        <w:autoSpaceDN w:val="0"/>
        <w:adjustRightInd w:val="0"/>
        <w:spacing w:line="480" w:lineRule="auto"/>
        <w:ind w:firstLine="700"/>
        <w:jc w:val="both"/>
        <w:rPr>
          <w:rFonts w:ascii="Times New Roman" w:hAnsi="Times New Roman" w:cs="Times New Roman"/>
          <w:lang w:val="en-US"/>
        </w:rPr>
      </w:pPr>
    </w:p>
    <w:p w14:paraId="5B790166" w14:textId="4D111F2D" w:rsidR="00353641" w:rsidRDefault="00353641" w:rsidP="002C60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autoSpaceDE w:val="0"/>
        <w:autoSpaceDN w:val="0"/>
        <w:adjustRightInd w:val="0"/>
        <w:spacing w:line="480" w:lineRule="auto"/>
        <w:ind w:firstLine="700"/>
        <w:jc w:val="center"/>
        <w:rPr>
          <w:rFonts w:ascii="Times New Roman" w:hAnsi="Times New Roman" w:cs="Times New Roman"/>
          <w:i/>
          <w:lang w:val="en-US"/>
        </w:rPr>
      </w:pPr>
    </w:p>
    <w:p w14:paraId="4C37971F" w14:textId="77777777" w:rsidR="00353641" w:rsidRDefault="00353641" w:rsidP="002C60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autoSpaceDE w:val="0"/>
        <w:autoSpaceDN w:val="0"/>
        <w:adjustRightInd w:val="0"/>
        <w:spacing w:line="480" w:lineRule="auto"/>
        <w:ind w:firstLine="700"/>
        <w:jc w:val="center"/>
        <w:rPr>
          <w:rFonts w:ascii="Times New Roman" w:hAnsi="Times New Roman" w:cs="Times New Roman"/>
          <w:i/>
          <w:lang w:val="en-US"/>
        </w:rPr>
      </w:pPr>
    </w:p>
    <w:p w14:paraId="0BAD5DC7" w14:textId="77777777" w:rsidR="00353641" w:rsidRDefault="00353641" w:rsidP="002C60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autoSpaceDE w:val="0"/>
        <w:autoSpaceDN w:val="0"/>
        <w:adjustRightInd w:val="0"/>
        <w:spacing w:line="480" w:lineRule="auto"/>
        <w:ind w:firstLine="700"/>
        <w:jc w:val="center"/>
        <w:rPr>
          <w:rFonts w:ascii="Times New Roman" w:hAnsi="Times New Roman" w:cs="Times New Roman"/>
          <w:i/>
          <w:lang w:val="en-US"/>
        </w:rPr>
      </w:pPr>
    </w:p>
    <w:p w14:paraId="14F342C8" w14:textId="77777777" w:rsidR="00353641" w:rsidRDefault="00353641" w:rsidP="002C60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autoSpaceDE w:val="0"/>
        <w:autoSpaceDN w:val="0"/>
        <w:adjustRightInd w:val="0"/>
        <w:spacing w:line="480" w:lineRule="auto"/>
        <w:ind w:firstLine="700"/>
        <w:jc w:val="center"/>
        <w:rPr>
          <w:rFonts w:ascii="Times New Roman" w:hAnsi="Times New Roman" w:cs="Times New Roman"/>
          <w:i/>
          <w:lang w:val="en-US"/>
        </w:rPr>
      </w:pPr>
    </w:p>
    <w:p w14:paraId="5355C1EE" w14:textId="77777777" w:rsidR="00353641" w:rsidRDefault="00353641" w:rsidP="002C60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autoSpaceDE w:val="0"/>
        <w:autoSpaceDN w:val="0"/>
        <w:adjustRightInd w:val="0"/>
        <w:spacing w:line="480" w:lineRule="auto"/>
        <w:ind w:firstLine="700"/>
        <w:jc w:val="center"/>
        <w:rPr>
          <w:rFonts w:ascii="Times New Roman" w:hAnsi="Times New Roman" w:cs="Times New Roman"/>
          <w:i/>
          <w:lang w:val="en-US"/>
        </w:rPr>
      </w:pPr>
    </w:p>
    <w:p w14:paraId="1BFDA80C" w14:textId="4B043185" w:rsidR="00353641" w:rsidRDefault="00353641" w:rsidP="002C60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autoSpaceDE w:val="0"/>
        <w:autoSpaceDN w:val="0"/>
        <w:adjustRightInd w:val="0"/>
        <w:spacing w:line="480" w:lineRule="auto"/>
        <w:ind w:firstLine="700"/>
        <w:jc w:val="center"/>
        <w:rPr>
          <w:rFonts w:ascii="Times New Roman" w:hAnsi="Times New Roman" w:cs="Times New Roman"/>
          <w:i/>
          <w:lang w:val="en-US"/>
        </w:rPr>
      </w:pPr>
    </w:p>
    <w:p w14:paraId="3F70BC6E" w14:textId="77777777" w:rsidR="00353641" w:rsidRDefault="00353641" w:rsidP="002C60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autoSpaceDE w:val="0"/>
        <w:autoSpaceDN w:val="0"/>
        <w:adjustRightInd w:val="0"/>
        <w:spacing w:line="480" w:lineRule="auto"/>
        <w:ind w:firstLine="700"/>
        <w:jc w:val="center"/>
        <w:rPr>
          <w:rFonts w:ascii="Times New Roman" w:hAnsi="Times New Roman" w:cs="Times New Roman"/>
          <w:i/>
          <w:lang w:val="en-US"/>
        </w:rPr>
      </w:pPr>
    </w:p>
    <w:p w14:paraId="3A823579" w14:textId="37205498" w:rsidR="00904B37" w:rsidRPr="00DD7187" w:rsidRDefault="00904B37" w:rsidP="002C60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autoSpaceDE w:val="0"/>
        <w:autoSpaceDN w:val="0"/>
        <w:adjustRightInd w:val="0"/>
        <w:spacing w:line="480" w:lineRule="auto"/>
        <w:ind w:firstLine="700"/>
        <w:jc w:val="center"/>
        <w:rPr>
          <w:rFonts w:ascii="Times New Roman" w:hAnsi="Times New Roman" w:cs="Times New Roman"/>
          <w:i/>
          <w:lang w:val="en-US"/>
        </w:rPr>
      </w:pPr>
      <w:r w:rsidRPr="00DD7187">
        <w:rPr>
          <w:rFonts w:ascii="Times New Roman" w:hAnsi="Times New Roman" w:cs="Times New Roman"/>
          <w:i/>
          <w:lang w:val="en-US"/>
        </w:rPr>
        <w:t>Frederick Frank’s Gothic Types</w:t>
      </w:r>
    </w:p>
    <w:p w14:paraId="1E619315" w14:textId="704AE788" w:rsidR="00346416" w:rsidRPr="00DD7187" w:rsidRDefault="00346416" w:rsidP="002C60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autoSpaceDE w:val="0"/>
        <w:autoSpaceDN w:val="0"/>
        <w:adjustRightInd w:val="0"/>
        <w:spacing w:line="480" w:lineRule="auto"/>
        <w:ind w:firstLine="700"/>
        <w:jc w:val="both"/>
        <w:rPr>
          <w:rFonts w:ascii="Times New Roman" w:hAnsi="Times New Roman" w:cs="Times New Roman"/>
          <w:lang w:val="en-US"/>
        </w:rPr>
      </w:pPr>
      <w:r w:rsidRPr="00DD7187">
        <w:rPr>
          <w:rFonts w:ascii="Times New Roman" w:hAnsi="Times New Roman" w:cs="Times New Roman"/>
          <w:lang w:val="en-US"/>
        </w:rPr>
        <w:t>In order to better define that Gothic mainstream, I turned to a second bibliography, which classified novels by their ‘Gothic type’; here, too, the unbalanced nature of our attempted binary becomes obvious. Frank’s “types” are, like Tracy’s “motifs,” clearly intended for a different sort of scholarly use than my own quantification: for the 178 texts indexed by both authors, Frank provides 131 unique classifications. Many of these are “unique” primarily from the point of view of a spreadsheet: “Domestic fiction (various Gothic elements)” and “Domestic fiction (intermittent Gothic elements),” for example, are distinguished only by</w:t>
      </w:r>
      <w:r w:rsidR="00227EB8" w:rsidRPr="00DD7187">
        <w:rPr>
          <w:rFonts w:ascii="Times New Roman" w:hAnsi="Times New Roman" w:cs="Times New Roman"/>
          <w:lang w:val="en-US"/>
        </w:rPr>
        <w:t xml:space="preserve"> a slight gradation of degree. </w:t>
      </w:r>
      <w:r w:rsidRPr="00DD7187">
        <w:rPr>
          <w:rFonts w:ascii="Times New Roman" w:hAnsi="Times New Roman" w:cs="Times New Roman"/>
          <w:lang w:val="en-US"/>
        </w:rPr>
        <w:t>Whereas Tracy treated her motifs as independent and stable, Frank is not interested in</w:t>
      </w:r>
      <w:r w:rsidR="00227EB8" w:rsidRPr="00DD7187">
        <w:rPr>
          <w:rFonts w:ascii="Times New Roman" w:hAnsi="Times New Roman" w:cs="Times New Roman"/>
          <w:lang w:val="en-US"/>
        </w:rPr>
        <w:t xml:space="preserve"> </w:t>
      </w:r>
      <w:r w:rsidR="00942E4E" w:rsidRPr="00DD7187">
        <w:rPr>
          <w:rFonts w:ascii="Times New Roman" w:hAnsi="Times New Roman" w:cs="Times New Roman"/>
          <w:lang w:val="en-US"/>
        </w:rPr>
        <w:t>his</w:t>
      </w:r>
      <w:r w:rsidR="00227EB8" w:rsidRPr="00DD7187">
        <w:rPr>
          <w:rFonts w:ascii="Times New Roman" w:hAnsi="Times New Roman" w:cs="Times New Roman"/>
          <w:lang w:val="en-US"/>
        </w:rPr>
        <w:t xml:space="preserve"> </w:t>
      </w:r>
      <w:r w:rsidR="00227EB8" w:rsidRPr="00DD7187">
        <w:rPr>
          <w:rFonts w:ascii="Times New Roman" w:hAnsi="Times New Roman" w:cs="Times New Roman"/>
          <w:lang w:val="en-US"/>
        </w:rPr>
        <w:lastRenderedPageBreak/>
        <w:t>Gothic types</w:t>
      </w:r>
      <w:r w:rsidR="00942E4E" w:rsidRPr="00DD7187">
        <w:rPr>
          <w:rFonts w:ascii="Times New Roman" w:hAnsi="Times New Roman" w:cs="Times New Roman"/>
          <w:lang w:val="en-US"/>
        </w:rPr>
        <w:t xml:space="preserve"> in and of</w:t>
      </w:r>
      <w:r w:rsidR="00227EB8" w:rsidRPr="00DD7187">
        <w:rPr>
          <w:rFonts w:ascii="Times New Roman" w:hAnsi="Times New Roman" w:cs="Times New Roman"/>
          <w:lang w:val="en-US"/>
        </w:rPr>
        <w:t xml:space="preserve"> themselves. </w:t>
      </w:r>
      <w:r w:rsidRPr="00DD7187">
        <w:rPr>
          <w:rFonts w:ascii="Times New Roman" w:hAnsi="Times New Roman" w:cs="Times New Roman"/>
          <w:lang w:val="en-US"/>
        </w:rPr>
        <w:t>Similarly, his “Critical Synopsis” of each text is not interested in recapitulating the details of the novels’ events. Instead, each synopsis describes the origins of any literary borrowings, briefly discusses the plot in terms of its structural tropes, and places the work’s a</w:t>
      </w:r>
      <w:r w:rsidR="00227EB8" w:rsidRPr="00DD7187">
        <w:rPr>
          <w:rFonts w:ascii="Times New Roman" w:hAnsi="Times New Roman" w:cs="Times New Roman"/>
          <w:lang w:val="en-US"/>
        </w:rPr>
        <w:t>ttitude into a broader context.</w:t>
      </w:r>
    </w:p>
    <w:p w14:paraId="20544FD8" w14:textId="2F5FE328" w:rsidR="00346416" w:rsidRPr="00DD7187" w:rsidRDefault="00346416" w:rsidP="002C60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autoSpaceDE w:val="0"/>
        <w:autoSpaceDN w:val="0"/>
        <w:adjustRightInd w:val="0"/>
        <w:spacing w:line="480" w:lineRule="auto"/>
        <w:ind w:firstLine="700"/>
        <w:jc w:val="both"/>
        <w:rPr>
          <w:rFonts w:ascii="Times New Roman" w:hAnsi="Times New Roman" w:cs="Times New Roman"/>
          <w:lang w:val="en-US"/>
        </w:rPr>
      </w:pPr>
      <w:r w:rsidRPr="00DD7187">
        <w:rPr>
          <w:rFonts w:ascii="Times New Roman" w:hAnsi="Times New Roman" w:cs="Times New Roman"/>
          <w:lang w:val="en-US"/>
        </w:rPr>
        <w:t xml:space="preserve">The two bibliographies’ treatments of Grenville Fletcher’s </w:t>
      </w:r>
      <w:r w:rsidRPr="00DD7187">
        <w:rPr>
          <w:rFonts w:ascii="Times New Roman" w:hAnsi="Times New Roman" w:cs="Times New Roman"/>
          <w:i/>
          <w:iCs/>
          <w:lang w:val="en-US"/>
        </w:rPr>
        <w:t>Rosalviva, Or, The Demon Dwarf</w:t>
      </w:r>
      <w:r w:rsidRPr="00DD7187">
        <w:rPr>
          <w:rFonts w:ascii="Times New Roman" w:hAnsi="Times New Roman" w:cs="Times New Roman"/>
          <w:lang w:val="en-US"/>
        </w:rPr>
        <w:t xml:space="preserve">, for example, serves as a useful illustration of their differences. Tracy’s summary is a litany of events: it begins matter-of-factly with the sentence “Leontini loves Viola di Morini, but she marries someone else,” and is equally unfazed when the titular dwarf arrives in the third </w:t>
      </w:r>
      <w:r w:rsidR="00942E4E" w:rsidRPr="00DD7187">
        <w:rPr>
          <w:rFonts w:ascii="Times New Roman" w:hAnsi="Times New Roman" w:cs="Times New Roman"/>
          <w:lang w:val="en-US"/>
        </w:rPr>
        <w:t>act and when the dwarven appeara</w:t>
      </w:r>
      <w:r w:rsidRPr="00DD7187">
        <w:rPr>
          <w:rFonts w:ascii="Times New Roman" w:hAnsi="Times New Roman" w:cs="Times New Roman"/>
          <w:lang w:val="en-US"/>
        </w:rPr>
        <w:t>nce turns out to be false (51). Frank, in contrast, spends more than half his words on context, as</w:t>
      </w:r>
      <w:r w:rsidR="00F90B3D" w:rsidRPr="00DD7187">
        <w:rPr>
          <w:rFonts w:ascii="Times New Roman" w:hAnsi="Times New Roman" w:cs="Times New Roman"/>
          <w:lang w:val="en-US"/>
        </w:rPr>
        <w:t xml:space="preserve"> in</w:t>
      </w:r>
      <w:r w:rsidRPr="00DD7187">
        <w:rPr>
          <w:rFonts w:ascii="Times New Roman" w:hAnsi="Times New Roman" w:cs="Times New Roman"/>
          <w:lang w:val="en-US"/>
        </w:rPr>
        <w:t xml:space="preserve"> h</w:t>
      </w:r>
      <w:r w:rsidR="00F90B3D" w:rsidRPr="00DD7187">
        <w:rPr>
          <w:rFonts w:ascii="Times New Roman" w:hAnsi="Times New Roman" w:cs="Times New Roman"/>
          <w:lang w:val="en-US"/>
        </w:rPr>
        <w:t>is first sentence</w:t>
      </w:r>
      <w:r w:rsidRPr="00DD7187">
        <w:rPr>
          <w:rFonts w:ascii="Times New Roman" w:hAnsi="Times New Roman" w:cs="Times New Roman"/>
          <w:lang w:val="en-US"/>
        </w:rPr>
        <w:t>:</w:t>
      </w:r>
    </w:p>
    <w:p w14:paraId="5D87C252" w14:textId="77777777" w:rsidR="00346416" w:rsidRPr="00DD7187" w:rsidRDefault="00346416" w:rsidP="002C60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autoSpaceDE w:val="0"/>
        <w:autoSpaceDN w:val="0"/>
        <w:adjustRightInd w:val="0"/>
        <w:ind w:left="1432" w:right="1440" w:hanging="4"/>
        <w:jc w:val="both"/>
        <w:rPr>
          <w:rFonts w:ascii="Times New Roman" w:hAnsi="Times New Roman" w:cs="Times New Roman"/>
          <w:lang w:val="en-US"/>
        </w:rPr>
      </w:pPr>
      <w:r w:rsidRPr="00DD7187">
        <w:rPr>
          <w:rFonts w:ascii="Times New Roman" w:hAnsi="Times New Roman" w:cs="Times New Roman"/>
          <w:lang w:val="en-US"/>
        </w:rPr>
        <w:t>“From Rumplestilskin in the fairytale to the comic evil of Dickens’s Daniel Quilp in The Old Curiosity Shop (1841), the figure of the dwarf was often called upon to perform such demonic services as vengeance, prophecy, child possession, and transformation.” (107)</w:t>
      </w:r>
    </w:p>
    <w:p w14:paraId="3C36AE1D" w14:textId="77777777" w:rsidR="00335A39" w:rsidRPr="00DD7187" w:rsidRDefault="00335A39" w:rsidP="002C60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autoSpaceDE w:val="0"/>
        <w:autoSpaceDN w:val="0"/>
        <w:adjustRightInd w:val="0"/>
        <w:ind w:left="1432" w:hanging="4"/>
        <w:jc w:val="both"/>
        <w:rPr>
          <w:rFonts w:ascii="Times New Roman" w:hAnsi="Times New Roman" w:cs="Times New Roman"/>
          <w:lang w:val="en-US"/>
        </w:rPr>
      </w:pPr>
    </w:p>
    <w:p w14:paraId="18C25EB6" w14:textId="75DA4736" w:rsidR="00346416" w:rsidRPr="00DD7187" w:rsidRDefault="00346416" w:rsidP="002C60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autoSpaceDE w:val="0"/>
        <w:autoSpaceDN w:val="0"/>
        <w:adjustRightInd w:val="0"/>
        <w:spacing w:line="480" w:lineRule="auto"/>
        <w:jc w:val="both"/>
        <w:rPr>
          <w:rFonts w:ascii="Times New Roman" w:hAnsi="Times New Roman" w:cs="Times New Roman"/>
          <w:lang w:val="en-US"/>
        </w:rPr>
      </w:pPr>
      <w:r w:rsidRPr="00DD7187">
        <w:rPr>
          <w:rFonts w:ascii="Times New Roman" w:hAnsi="Times New Roman" w:cs="Times New Roman"/>
          <w:lang w:val="en-US"/>
        </w:rPr>
        <w:t>To this broad literary history he adds Mary Shelley’s story “Transformation” as potential precursor for the disguise in Fletcher’s novel, and includes several assessments of the Gothic’s particular embellishments of “the dwarf as a resolver of dilemmas of identity” (107) and “dwarfs… spin[ning] webs of murderous intrigue for diabolic ladies” (108). All of these details stand in stark contrast to Tracy’s list of seven novels under</w:t>
      </w:r>
      <w:r w:rsidR="00942E4E" w:rsidRPr="00DD7187">
        <w:rPr>
          <w:rFonts w:ascii="Times New Roman" w:hAnsi="Times New Roman" w:cs="Times New Roman"/>
          <w:lang w:val="en-US"/>
        </w:rPr>
        <w:t xml:space="preserve"> the index entry “dwarf</w:t>
      </w:r>
      <w:r w:rsidRPr="00DD7187">
        <w:rPr>
          <w:rFonts w:ascii="Times New Roman" w:hAnsi="Times New Roman" w:cs="Times New Roman"/>
          <w:lang w:val="en-US"/>
        </w:rPr>
        <w:t>”</w:t>
      </w:r>
      <w:r w:rsidR="00942E4E" w:rsidRPr="00DD7187">
        <w:rPr>
          <w:rFonts w:ascii="Times New Roman" w:hAnsi="Times New Roman" w:cs="Times New Roman"/>
          <w:lang w:val="en-US"/>
        </w:rPr>
        <w:t xml:space="preserve"> (199),</w:t>
      </w:r>
      <w:r w:rsidRPr="00DD7187">
        <w:rPr>
          <w:rFonts w:ascii="Times New Roman" w:hAnsi="Times New Roman" w:cs="Times New Roman"/>
          <w:lang w:val="en-US"/>
        </w:rPr>
        <w:t xml:space="preserve"> which treats the sinister disguise in </w:t>
      </w:r>
      <w:r w:rsidRPr="00DD7187">
        <w:rPr>
          <w:rFonts w:ascii="Times New Roman" w:hAnsi="Times New Roman" w:cs="Times New Roman"/>
          <w:i/>
          <w:iCs/>
          <w:lang w:val="en-US"/>
        </w:rPr>
        <w:t>Rosalviva</w:t>
      </w:r>
      <w:r w:rsidRPr="00DD7187">
        <w:rPr>
          <w:rFonts w:ascii="Times New Roman" w:hAnsi="Times New Roman" w:cs="Times New Roman"/>
          <w:lang w:val="en-US"/>
        </w:rPr>
        <w:t xml:space="preserve"> as interchangeable with depictions of non-supernatural and even non-evil little people. Unlike Tracy, then, Frank is interested not simply in what happens, but in </w:t>
      </w:r>
      <w:r w:rsidRPr="00DD7187">
        <w:rPr>
          <w:rFonts w:ascii="Times New Roman" w:hAnsi="Times New Roman" w:cs="Times New Roman"/>
          <w:i/>
          <w:iCs/>
          <w:lang w:val="en-US"/>
        </w:rPr>
        <w:t>how</w:t>
      </w:r>
      <w:r w:rsidR="00227EB8" w:rsidRPr="00DD7187">
        <w:rPr>
          <w:rFonts w:ascii="Times New Roman" w:hAnsi="Times New Roman" w:cs="Times New Roman"/>
          <w:lang w:val="en-US"/>
        </w:rPr>
        <w:t xml:space="preserve"> it happens. </w:t>
      </w:r>
      <w:r w:rsidRPr="00DD7187">
        <w:rPr>
          <w:rFonts w:ascii="Times New Roman" w:hAnsi="Times New Roman" w:cs="Times New Roman"/>
          <w:lang w:val="en-US"/>
        </w:rPr>
        <w:t xml:space="preserve">His object of study is </w:t>
      </w:r>
      <w:r w:rsidR="00227EB8" w:rsidRPr="00DD7187">
        <w:rPr>
          <w:rFonts w:ascii="Times New Roman" w:hAnsi="Times New Roman" w:cs="Times New Roman"/>
          <w:lang w:val="en-US"/>
        </w:rPr>
        <w:t xml:space="preserve">not the plot elements used, but </w:t>
      </w:r>
      <w:r w:rsidRPr="00DD7187">
        <w:rPr>
          <w:rFonts w:ascii="Times New Roman" w:hAnsi="Times New Roman" w:cs="Times New Roman"/>
          <w:lang w:val="en-US"/>
        </w:rPr>
        <w:t>the text</w:t>
      </w:r>
      <w:r w:rsidR="00227EB8" w:rsidRPr="00DD7187">
        <w:rPr>
          <w:rFonts w:ascii="Times New Roman" w:hAnsi="Times New Roman" w:cs="Times New Roman"/>
          <w:lang w:val="en-US"/>
        </w:rPr>
        <w:t xml:space="preserve"> as a whole</w:t>
      </w:r>
      <w:r w:rsidRPr="00DD7187">
        <w:rPr>
          <w:rFonts w:ascii="Times New Roman" w:hAnsi="Times New Roman" w:cs="Times New Roman"/>
          <w:lang w:val="en-US"/>
        </w:rPr>
        <w:t xml:space="preserve"> and the connections between it and </w:t>
      </w:r>
      <w:r w:rsidR="00227EB8" w:rsidRPr="00DD7187">
        <w:rPr>
          <w:rFonts w:ascii="Times New Roman" w:hAnsi="Times New Roman" w:cs="Times New Roman"/>
          <w:lang w:val="en-US"/>
        </w:rPr>
        <w:t>its most closely related texts.</w:t>
      </w:r>
      <w:r w:rsidRPr="00DD7187">
        <w:rPr>
          <w:rFonts w:ascii="Times New Roman" w:hAnsi="Times New Roman" w:cs="Times New Roman"/>
          <w:lang w:val="en-US"/>
        </w:rPr>
        <w:t xml:space="preserve"> His Gothic type for Sophia Lee’s </w:t>
      </w:r>
      <w:r w:rsidRPr="00DD7187">
        <w:rPr>
          <w:rFonts w:ascii="Times New Roman" w:hAnsi="Times New Roman" w:cs="Times New Roman"/>
          <w:i/>
          <w:iCs/>
          <w:lang w:val="en-US"/>
        </w:rPr>
        <w:t>The Recess</w:t>
      </w:r>
      <w:r w:rsidRPr="00DD7187">
        <w:rPr>
          <w:rFonts w:ascii="Times New Roman" w:hAnsi="Times New Roman" w:cs="Times New Roman"/>
          <w:lang w:val="en-US"/>
        </w:rPr>
        <w:t xml:space="preserve">, for example, describes the novels as “Gothified history (terror and </w:t>
      </w:r>
      <w:r w:rsidRPr="00DD7187">
        <w:rPr>
          <w:rFonts w:ascii="Times New Roman" w:hAnsi="Times New Roman" w:cs="Times New Roman"/>
          <w:lang w:val="en-US"/>
        </w:rPr>
        <w:lastRenderedPageBreak/>
        <w:t xml:space="preserve">sentimental elements)” (204), tying it simultaneously to the “Gothified history” of William Godwin’s </w:t>
      </w:r>
      <w:r w:rsidRPr="00DD7187">
        <w:rPr>
          <w:rFonts w:ascii="Times New Roman" w:hAnsi="Times New Roman" w:cs="Times New Roman"/>
          <w:i/>
          <w:iCs/>
          <w:lang w:val="en-US"/>
        </w:rPr>
        <w:t>St. Leon</w:t>
      </w:r>
      <w:r w:rsidRPr="00DD7187">
        <w:rPr>
          <w:rFonts w:ascii="Times New Roman" w:hAnsi="Times New Roman" w:cs="Times New Roman"/>
          <w:lang w:val="en-US"/>
        </w:rPr>
        <w:t xml:space="preserve">, the “terror mode” of Radcliffe’s novels, and the “sentimental Gothic” of Charlotte Dacre’s </w:t>
      </w:r>
      <w:r w:rsidRPr="00DD7187">
        <w:rPr>
          <w:rFonts w:ascii="Times New Roman" w:hAnsi="Times New Roman" w:cs="Times New Roman"/>
          <w:i/>
          <w:iCs/>
          <w:lang w:val="en-US"/>
        </w:rPr>
        <w:t>The Libertine</w:t>
      </w:r>
      <w:r w:rsidRPr="00DD7187">
        <w:rPr>
          <w:rFonts w:ascii="Times New Roman" w:hAnsi="Times New Roman" w:cs="Times New Roman"/>
          <w:lang w:val="en-US"/>
        </w:rPr>
        <w:t xml:space="preserve"> and </w:t>
      </w:r>
      <w:r w:rsidRPr="00DD7187">
        <w:rPr>
          <w:rFonts w:ascii="Times New Roman" w:hAnsi="Times New Roman" w:cs="Times New Roman"/>
          <w:i/>
          <w:iCs/>
          <w:lang w:val="en-US"/>
        </w:rPr>
        <w:t>The Passions.</w:t>
      </w:r>
      <w:r w:rsidRPr="00DD7187">
        <w:rPr>
          <w:rFonts w:ascii="Times New Roman" w:hAnsi="Times New Roman" w:cs="Times New Roman"/>
          <w:lang w:val="en-US"/>
        </w:rPr>
        <w:t xml:space="preserve"> These threads cannot be traced systematically — no helpful index like Tracy’s atte</w:t>
      </w:r>
      <w:r w:rsidR="00227EB8" w:rsidRPr="00DD7187">
        <w:rPr>
          <w:rFonts w:ascii="Times New Roman" w:hAnsi="Times New Roman" w:cs="Times New Roman"/>
          <w:lang w:val="en-US"/>
        </w:rPr>
        <w:t xml:space="preserve">mpts to collect them. Instead, </w:t>
      </w:r>
      <w:r w:rsidRPr="00DD7187">
        <w:rPr>
          <w:rFonts w:ascii="Times New Roman" w:hAnsi="Times New Roman" w:cs="Times New Roman"/>
          <w:lang w:val="en-US"/>
        </w:rPr>
        <w:t>his Go</w:t>
      </w:r>
      <w:r w:rsidR="00227EB8" w:rsidRPr="00DD7187">
        <w:rPr>
          <w:rFonts w:ascii="Times New Roman" w:hAnsi="Times New Roman" w:cs="Times New Roman"/>
          <w:lang w:val="en-US"/>
        </w:rPr>
        <w:t>thic types model the Gothic as a</w:t>
      </w:r>
      <w:r w:rsidR="00D4576F">
        <w:rPr>
          <w:rFonts w:ascii="Times New Roman" w:hAnsi="Times New Roman" w:cs="Times New Roman"/>
          <w:lang w:val="en-US"/>
        </w:rPr>
        <w:t xml:space="preserve"> </w:t>
      </w:r>
      <w:r w:rsidR="00FE7D09">
        <w:rPr>
          <w:rFonts w:ascii="Times New Roman" w:hAnsi="Times New Roman" w:cs="Times New Roman"/>
          <w:lang w:val="en-US"/>
        </w:rPr>
        <w:t>shifting history</w:t>
      </w:r>
      <w:r w:rsidR="004B749D">
        <w:rPr>
          <w:rFonts w:ascii="Times New Roman" w:hAnsi="Times New Roman" w:cs="Times New Roman"/>
          <w:lang w:val="en-US"/>
        </w:rPr>
        <w:t>, with each novel as the temporary centre of influences stretching both forward and backward in time</w:t>
      </w:r>
      <w:r w:rsidR="00227EB8" w:rsidRPr="00DD7187">
        <w:rPr>
          <w:rFonts w:ascii="Times New Roman" w:hAnsi="Times New Roman" w:cs="Times New Roman"/>
          <w:lang w:val="en-US"/>
        </w:rPr>
        <w:t>.</w:t>
      </w:r>
    </w:p>
    <w:p w14:paraId="73B82D3A" w14:textId="16B0C6A6" w:rsidR="00346416" w:rsidRPr="00DD7187" w:rsidRDefault="00346416" w:rsidP="002C60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autoSpaceDE w:val="0"/>
        <w:autoSpaceDN w:val="0"/>
        <w:adjustRightInd w:val="0"/>
        <w:spacing w:line="480" w:lineRule="auto"/>
        <w:ind w:firstLine="700"/>
        <w:jc w:val="both"/>
        <w:rPr>
          <w:rFonts w:ascii="Times New Roman" w:hAnsi="Times New Roman" w:cs="Times New Roman"/>
          <w:lang w:val="en-US"/>
        </w:rPr>
      </w:pPr>
      <w:r w:rsidRPr="00DD7187">
        <w:rPr>
          <w:rFonts w:ascii="Times New Roman" w:hAnsi="Times New Roman" w:cs="Times New Roman"/>
          <w:lang w:val="en-US"/>
        </w:rPr>
        <w:t>Just as I had to work against the grain of Tracy’s preference for uniquen</w:t>
      </w:r>
      <w:r w:rsidR="00227EB8" w:rsidRPr="00DD7187">
        <w:rPr>
          <w:rFonts w:ascii="Times New Roman" w:hAnsi="Times New Roman" w:cs="Times New Roman"/>
          <w:lang w:val="en-US"/>
        </w:rPr>
        <w:t xml:space="preserve">ess and difference in order to </w:t>
      </w:r>
      <w:r w:rsidRPr="00DD7187">
        <w:rPr>
          <w:rFonts w:ascii="Times New Roman" w:hAnsi="Times New Roman" w:cs="Times New Roman"/>
          <w:lang w:val="en-US"/>
        </w:rPr>
        <w:t xml:space="preserve">seek connections </w:t>
      </w:r>
      <w:r w:rsidR="00227EB8" w:rsidRPr="00DD7187">
        <w:rPr>
          <w:rFonts w:ascii="Times New Roman" w:hAnsi="Times New Roman" w:cs="Times New Roman"/>
          <w:lang w:val="en-US"/>
        </w:rPr>
        <w:t xml:space="preserve">and correlations between motifs, so too have I </w:t>
      </w:r>
      <w:r w:rsidRPr="00DD7187">
        <w:rPr>
          <w:rFonts w:ascii="Times New Roman" w:hAnsi="Times New Roman" w:cs="Times New Roman"/>
          <w:lang w:val="en-US"/>
        </w:rPr>
        <w:t>worked aga</w:t>
      </w:r>
      <w:r w:rsidR="00227EB8" w:rsidRPr="00DD7187">
        <w:rPr>
          <w:rFonts w:ascii="Times New Roman" w:hAnsi="Times New Roman" w:cs="Times New Roman"/>
          <w:lang w:val="en-US"/>
        </w:rPr>
        <w:t>inst the grain of Frank’s model</w:t>
      </w:r>
      <w:r w:rsidRPr="00DD7187">
        <w:rPr>
          <w:rFonts w:ascii="Times New Roman" w:hAnsi="Times New Roman" w:cs="Times New Roman"/>
          <w:lang w:val="en-US"/>
        </w:rPr>
        <w:t>, this time in the reverse direction: I have sought to separate o</w:t>
      </w:r>
      <w:r w:rsidR="00227EB8" w:rsidRPr="00DD7187">
        <w:rPr>
          <w:rFonts w:ascii="Times New Roman" w:hAnsi="Times New Roman" w:cs="Times New Roman"/>
          <w:lang w:val="en-US"/>
        </w:rPr>
        <w:t xml:space="preserve">ut each strand, to treat it as </w:t>
      </w:r>
      <w:r w:rsidRPr="00DD7187">
        <w:rPr>
          <w:rFonts w:ascii="Times New Roman" w:hAnsi="Times New Roman" w:cs="Times New Roman"/>
          <w:lang w:val="en-US"/>
        </w:rPr>
        <w:t>a category existing</w:t>
      </w:r>
      <w:r w:rsidR="00227EB8" w:rsidRPr="00DD7187">
        <w:rPr>
          <w:rFonts w:ascii="Times New Roman" w:hAnsi="Times New Roman" w:cs="Times New Roman"/>
          <w:lang w:val="en-US"/>
        </w:rPr>
        <w:t xml:space="preserve"> beyond the texts it applies to, so that </w:t>
      </w:r>
      <w:r w:rsidRPr="00DD7187">
        <w:rPr>
          <w:rFonts w:ascii="Times New Roman" w:hAnsi="Times New Roman" w:cs="Times New Roman"/>
          <w:lang w:val="en-US"/>
        </w:rPr>
        <w:t>I ca</w:t>
      </w:r>
      <w:r w:rsidR="00227EB8" w:rsidRPr="00DD7187">
        <w:rPr>
          <w:rFonts w:ascii="Times New Roman" w:hAnsi="Times New Roman" w:cs="Times New Roman"/>
          <w:lang w:val="en-US"/>
        </w:rPr>
        <w:t>n examine each one individually</w:t>
      </w:r>
      <w:r w:rsidRPr="00DD7187">
        <w:rPr>
          <w:rFonts w:ascii="Times New Roman" w:hAnsi="Times New Roman" w:cs="Times New Roman"/>
          <w:lang w:val="en-US"/>
        </w:rPr>
        <w:t xml:space="preserve">. Rather than trying to define a single “Gothic type” for each work, I divided each “Gothic type” into a set of </w:t>
      </w:r>
      <w:r w:rsidRPr="00E81923">
        <w:rPr>
          <w:rFonts w:ascii="Times New Roman" w:hAnsi="Times New Roman" w:cs="Times New Roman"/>
          <w:lang w:val="en-US"/>
        </w:rPr>
        <w:t>tags</w:t>
      </w:r>
      <w:r w:rsidR="00FE7D09" w:rsidRPr="00E81923">
        <w:rPr>
          <w:rFonts w:ascii="Times New Roman" w:hAnsi="Times New Roman" w:cs="Times New Roman"/>
          <w:lang w:val="en-US"/>
        </w:rPr>
        <w:t>,</w:t>
      </w:r>
      <w:r w:rsidR="00FE7D09" w:rsidRPr="00E81923">
        <w:rPr>
          <w:rStyle w:val="FootnoteReference"/>
          <w:rFonts w:ascii="Times New Roman" w:hAnsi="Times New Roman" w:cs="Times New Roman"/>
          <w:lang w:val="en-US"/>
        </w:rPr>
        <w:footnoteReference w:id="6"/>
      </w:r>
      <w:r w:rsidRPr="00E81923">
        <w:rPr>
          <w:rFonts w:ascii="Times New Roman" w:hAnsi="Times New Roman" w:cs="Times New Roman"/>
          <w:lang w:val="en-US"/>
        </w:rPr>
        <w:t xml:space="preserve"> and</w:t>
      </w:r>
      <w:r w:rsidRPr="00DD7187">
        <w:rPr>
          <w:rFonts w:ascii="Times New Roman" w:hAnsi="Times New Roman" w:cs="Times New Roman"/>
          <w:lang w:val="en-US"/>
        </w:rPr>
        <w:t xml:space="preserve"> tallied the use of each tag the same way I tallied Tracy’s motifs. The novel </w:t>
      </w:r>
      <w:r w:rsidRPr="00DD7187">
        <w:rPr>
          <w:rFonts w:ascii="Times New Roman" w:hAnsi="Times New Roman" w:cs="Times New Roman"/>
          <w:i/>
          <w:iCs/>
          <w:lang w:val="en-US"/>
        </w:rPr>
        <w:t>A Suffolk Tal</w:t>
      </w:r>
      <w:r w:rsidRPr="00DD7187">
        <w:rPr>
          <w:rFonts w:ascii="Times New Roman" w:hAnsi="Times New Roman" w:cs="Times New Roman"/>
          <w:lang w:val="en-US"/>
        </w:rPr>
        <w:t xml:space="preserve">e, for example, listed in Frank as “Domestic fiction (various Gothic elements)” (315), was tagged as “domestic” and “Gothic elements.” Similarly, Radcliffe’s </w:t>
      </w:r>
      <w:r w:rsidRPr="00DD7187">
        <w:rPr>
          <w:rFonts w:ascii="Times New Roman" w:hAnsi="Times New Roman" w:cs="Times New Roman"/>
          <w:i/>
          <w:iCs/>
          <w:lang w:val="en-US"/>
        </w:rPr>
        <w:t>Italian</w:t>
      </w:r>
      <w:r w:rsidRPr="00DD7187">
        <w:rPr>
          <w:rFonts w:ascii="Times New Roman" w:hAnsi="Times New Roman" w:cs="Times New Roman"/>
          <w:lang w:val="en-US"/>
        </w:rPr>
        <w:t xml:space="preserve">, listed as “Pure or high Gothic (terror and horror modes)” (302), tagged as “high,” “Gothic,” “terror mode,” “horror mode,” and “Radcliffean.” </w:t>
      </w:r>
      <w:r w:rsidR="00FE7D09">
        <w:rPr>
          <w:rFonts w:ascii="Times New Roman" w:hAnsi="Times New Roman" w:cs="Times New Roman"/>
          <w:lang w:val="en-US"/>
        </w:rPr>
        <w:t xml:space="preserve">This process generated </w:t>
      </w:r>
      <w:r w:rsidR="00E81923">
        <w:rPr>
          <w:rFonts w:ascii="Times New Roman" w:hAnsi="Times New Roman" w:cs="Times New Roman"/>
          <w:lang w:val="en-US"/>
        </w:rPr>
        <w:t xml:space="preserve">45 tags, most of which had only one or two novels within them. </w:t>
      </w:r>
      <w:r w:rsidRPr="00DD7187">
        <w:rPr>
          <w:rFonts w:ascii="Times New Roman" w:hAnsi="Times New Roman" w:cs="Times New Roman"/>
          <w:lang w:val="en-US"/>
        </w:rPr>
        <w:t xml:space="preserve">By allowing each individual phrase of Frank’s Gothic types to become its own tag, I allowed the most important categories— and their relationships— to emerge with as little critical intervention as possible. My </w:t>
      </w:r>
      <w:r w:rsidR="00227EB8" w:rsidRPr="00DD7187">
        <w:rPr>
          <w:rFonts w:ascii="Times New Roman" w:hAnsi="Times New Roman" w:cs="Times New Roman"/>
          <w:lang w:val="en-US"/>
        </w:rPr>
        <w:t xml:space="preserve">further analysis </w:t>
      </w:r>
      <w:r w:rsidR="00227EB8" w:rsidRPr="00DD7187">
        <w:rPr>
          <w:rFonts w:ascii="Times New Roman" w:hAnsi="Times New Roman" w:cs="Times New Roman"/>
          <w:lang w:val="en-US"/>
        </w:rPr>
        <w:lastRenderedPageBreak/>
        <w:t>of gender</w:t>
      </w:r>
      <w:r w:rsidRPr="00DD7187">
        <w:rPr>
          <w:rFonts w:ascii="Times New Roman" w:hAnsi="Times New Roman" w:cs="Times New Roman"/>
          <w:lang w:val="en-US"/>
        </w:rPr>
        <w:t xml:space="preserve"> foll</w:t>
      </w:r>
      <w:r w:rsidR="00FE7D09">
        <w:rPr>
          <w:rFonts w:ascii="Times New Roman" w:hAnsi="Times New Roman" w:cs="Times New Roman"/>
          <w:lang w:val="en-US"/>
        </w:rPr>
        <w:t>owed the same principles as my analysis</w:t>
      </w:r>
      <w:r w:rsidRPr="00DD7187">
        <w:rPr>
          <w:rFonts w:ascii="Times New Roman" w:hAnsi="Times New Roman" w:cs="Times New Roman"/>
          <w:lang w:val="en-US"/>
        </w:rPr>
        <w:t xml:space="preserve"> of Tracy’s motifs: each chart was built to answer the question, “does knowing that this tag is associated with a book tell me anything about the likely gender of that book’s author?” Because Frank’s classificati</w:t>
      </w:r>
      <w:r w:rsidR="00227EB8" w:rsidRPr="00DD7187">
        <w:rPr>
          <w:rFonts w:ascii="Times New Roman" w:hAnsi="Times New Roman" w:cs="Times New Roman"/>
          <w:lang w:val="en-US"/>
        </w:rPr>
        <w:t xml:space="preserve">ons are subjective attempts to </w:t>
      </w:r>
      <w:r w:rsidRPr="00DD7187">
        <w:rPr>
          <w:rFonts w:ascii="Times New Roman" w:hAnsi="Times New Roman" w:cs="Times New Roman"/>
          <w:lang w:val="en-US"/>
        </w:rPr>
        <w:t>assess the ov</w:t>
      </w:r>
      <w:r w:rsidR="00227EB8" w:rsidRPr="00DD7187">
        <w:rPr>
          <w:rFonts w:ascii="Times New Roman" w:hAnsi="Times New Roman" w:cs="Times New Roman"/>
          <w:lang w:val="en-US"/>
        </w:rPr>
        <w:t xml:space="preserve">erall tone of </w:t>
      </w:r>
      <w:r w:rsidR="00D976A0" w:rsidRPr="00DD7187">
        <w:rPr>
          <w:rFonts w:ascii="Times New Roman" w:hAnsi="Times New Roman" w:cs="Times New Roman"/>
          <w:lang w:val="en-US"/>
        </w:rPr>
        <w:t>a work in context, rather than B</w:t>
      </w:r>
      <w:r w:rsidR="00227EB8" w:rsidRPr="00DD7187">
        <w:rPr>
          <w:rFonts w:ascii="Times New Roman" w:hAnsi="Times New Roman" w:cs="Times New Roman"/>
          <w:lang w:val="en-US"/>
        </w:rPr>
        <w:t>oolean checklist items</w:t>
      </w:r>
      <w:r w:rsidRPr="00DD7187">
        <w:rPr>
          <w:rFonts w:ascii="Times New Roman" w:hAnsi="Times New Roman" w:cs="Times New Roman"/>
          <w:lang w:val="en-US"/>
        </w:rPr>
        <w:t xml:space="preserve">, an answer of “yes” to this question no longer tells us “this motif is a useful predictor of gender,” but </w:t>
      </w:r>
      <w:r w:rsidR="00227EB8" w:rsidRPr="00DD7187">
        <w:rPr>
          <w:rFonts w:ascii="Times New Roman" w:hAnsi="Times New Roman" w:cs="Times New Roman"/>
          <w:lang w:val="en-US"/>
        </w:rPr>
        <w:t>rather indicates “the critical identification</w:t>
      </w:r>
      <w:r w:rsidRPr="00DD7187">
        <w:rPr>
          <w:rFonts w:ascii="Times New Roman" w:hAnsi="Times New Roman" w:cs="Times New Roman"/>
          <w:lang w:val="en-US"/>
        </w:rPr>
        <w:t xml:space="preserve"> of this genre tag is responding to a gendered usage.”</w:t>
      </w:r>
    </w:p>
    <w:p w14:paraId="07804379" w14:textId="77777777" w:rsidR="006E4307" w:rsidRDefault="00B43E84" w:rsidP="001A54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autoSpaceDE w:val="0"/>
        <w:autoSpaceDN w:val="0"/>
        <w:adjustRightInd w:val="0"/>
        <w:spacing w:line="480" w:lineRule="auto"/>
        <w:ind w:firstLine="700"/>
        <w:jc w:val="both"/>
        <w:rPr>
          <w:rFonts w:ascii="Times New Roman" w:hAnsi="Times New Roman" w:cs="Times New Roman"/>
          <w:lang w:val="en-US"/>
        </w:rPr>
      </w:pPr>
      <w:r>
        <w:rPr>
          <w:rFonts w:ascii="Times New Roman" w:hAnsi="Times New Roman" w:cs="Times New Roman"/>
          <w:noProof/>
          <w:lang w:val="en-US"/>
        </w:rPr>
        <mc:AlternateContent>
          <mc:Choice Requires="wps">
            <w:drawing>
              <wp:anchor distT="0" distB="0" distL="114300" distR="114300" simplePos="0" relativeHeight="251707392" behindDoc="0" locked="0" layoutInCell="1" allowOverlap="1" wp14:anchorId="0EBCF7B7" wp14:editId="5969FC5E">
                <wp:simplePos x="0" y="0"/>
                <wp:positionH relativeFrom="page">
                  <wp:posOffset>3657600</wp:posOffset>
                </wp:positionH>
                <wp:positionV relativeFrom="page">
                  <wp:posOffset>6972300</wp:posOffset>
                </wp:positionV>
                <wp:extent cx="3200400" cy="685800"/>
                <wp:effectExtent l="0" t="0" r="0" b="0"/>
                <wp:wrapThrough wrapText="bothSides">
                  <wp:wrapPolygon edited="0">
                    <wp:start x="171" y="0"/>
                    <wp:lineTo x="171" y="20800"/>
                    <wp:lineTo x="21257" y="20800"/>
                    <wp:lineTo x="21257" y="0"/>
                    <wp:lineTo x="171" y="0"/>
                  </wp:wrapPolygon>
                </wp:wrapThrough>
                <wp:docPr id="14" name="Text Box 14"/>
                <wp:cNvGraphicFramePr/>
                <a:graphic xmlns:a="http://schemas.openxmlformats.org/drawingml/2006/main">
                  <a:graphicData uri="http://schemas.microsoft.com/office/word/2010/wordprocessingShape">
                    <wps:wsp>
                      <wps:cNvSpPr txBox="1"/>
                      <wps:spPr>
                        <a:xfrm>
                          <a:off x="0" y="0"/>
                          <a:ext cx="3200400" cy="685800"/>
                        </a:xfrm>
                        <a:prstGeom prst="rect">
                          <a:avLst/>
                        </a:prstGeom>
                        <a:noFill/>
                        <a:ln>
                          <a:noFill/>
                        </a:ln>
                        <a:effectLst/>
                        <a:extLst>
                          <a:ext uri="{C572A759-6A51-4108-AA02-DFA0A04FC94B}">
                            <ma14:wrappingTextBoxFlag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112920C6" w14:textId="77777777" w:rsidR="00B43E84" w:rsidRPr="00790EE5" w:rsidRDefault="00B43E84" w:rsidP="00B43E84">
                            <w:pPr>
                              <w:rPr>
                                <w:rFonts w:ascii="Times New Roman" w:hAnsi="Times New Roman" w:cs="Times New Roman"/>
                                <w:sz w:val="20"/>
                                <w:szCs w:val="20"/>
                              </w:rPr>
                            </w:pPr>
                            <w:r w:rsidRPr="00790EE5">
                              <w:rPr>
                                <w:rFonts w:ascii="Times New Roman" w:hAnsi="Times New Roman" w:cs="Times New Roman"/>
                                <w:b/>
                                <w:sz w:val="20"/>
                                <w:szCs w:val="20"/>
                              </w:rPr>
                              <w:t>Figure 97</w:t>
                            </w:r>
                            <w:r w:rsidRPr="00790EE5">
                              <w:rPr>
                                <w:rFonts w:ascii="Times New Roman" w:hAnsi="Times New Roman" w:cs="Times New Roman"/>
                                <w:sz w:val="20"/>
                                <w:szCs w:val="20"/>
                              </w:rPr>
                              <w:t xml:space="preserve">: Gendered authorship of horror and terror, this time treating horror and terror as mutually exclusive. The fourteen books described as operating in both modes are no longer counted twice, but instead form a new category.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34" type="#_x0000_t202" style="position:absolute;left:0;text-align:left;margin-left:4in;margin-top:549pt;width:252pt;height:54pt;z-index:251707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" mv:complextextbox="1" filled="f" stroked="f">
                <v:textbox>
                  <w:txbxContent>
                    <w:p w14:paraId="112920C6" w14:textId="77777777" w:rsidR="00B43E84" w:rsidRPr="00790EE5" w:rsidRDefault="00B43E84" w:rsidP="00B43E84">
                      <w:pPr>
                        <w:rPr>
                          <w:rFonts w:ascii="Times New Roman" w:hAnsi="Times New Roman" w:cs="Times New Roman"/>
                          <w:sz w:val="20"/>
                          <w:szCs w:val="20"/>
                        </w:rPr>
                      </w:pPr>
                      <w:r w:rsidRPr="00790EE5">
                        <w:rPr>
                          <w:rFonts w:ascii="Times New Roman" w:hAnsi="Times New Roman" w:cs="Times New Roman"/>
                          <w:b/>
                          <w:sz w:val="20"/>
                          <w:szCs w:val="20"/>
                        </w:rPr>
                        <w:t>Figure 97</w:t>
                      </w:r>
                      <w:r w:rsidRPr="00790EE5">
                        <w:rPr>
                          <w:rFonts w:ascii="Times New Roman" w:hAnsi="Times New Roman" w:cs="Times New Roman"/>
                          <w:sz w:val="20"/>
                          <w:szCs w:val="20"/>
                        </w:rPr>
                        <w:t xml:space="preserve">: Gendered authorship of horror and terror, this time treating horror and terror as mutually exclusive. The fourteen books described as operating in both modes are no longer counted twice, but instead form a new category. </w:t>
                      </w:r>
                    </w:p>
                  </w:txbxContent>
                </v:textbox>
                <w10:wrap type="through" anchorx="page" anchory="page"/>
              </v:shape>
            </w:pict>
          </mc:Fallback>
        </mc:AlternateContent>
      </w:r>
      <w:r w:rsidRPr="00DD7187">
        <w:rPr>
          <w:rFonts w:ascii="Times New Roman" w:hAnsi="Times New Roman" w:cs="Times New Roman"/>
          <w:noProof/>
          <w:lang w:val="en-US"/>
        </w:rPr>
        <w:drawing>
          <wp:anchor distT="0" distB="0" distL="114300" distR="114300" simplePos="0" relativeHeight="251706368" behindDoc="0" locked="0" layoutInCell="1" allowOverlap="1" wp14:anchorId="7D05E21A" wp14:editId="52039516">
            <wp:simplePos x="0" y="0"/>
            <wp:positionH relativeFrom="page">
              <wp:posOffset>3657600</wp:posOffset>
            </wp:positionH>
            <wp:positionV relativeFrom="page">
              <wp:posOffset>5257800</wp:posOffset>
            </wp:positionV>
            <wp:extent cx="3291840" cy="1753235"/>
            <wp:effectExtent l="0" t="0" r="10160" b="0"/>
            <wp:wrapSquare wrapText="bothSides"/>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rror-horror-binary-2.png"/>
                    <pic:cNvPicPr/>
                  </pic:nvPicPr>
                  <pic:blipFill>
                    <a:blip r:embed="rId16">
                      <a:extLst>
                        <a:ext uri="{28A0092B-C50C-407E-A947-70E740481C1C}">
                          <a14:useLocalDpi xmlns:a14="http://schemas.microsoft.com/office/drawing/2010/main" val="0"/>
                        </a:ext>
                      </a:extLst>
                    </a:blip>
                    <a:stretch>
                      <a:fillRect/>
                    </a:stretch>
                  </pic:blipFill>
                  <pic:spPr>
                    <a:xfrm>
                      <a:off x="0" y="0"/>
                      <a:ext cx="3291840" cy="1753235"/>
                    </a:xfrm>
                    <a:prstGeom prst="rect">
                      <a:avLst/>
                    </a:prstGeom>
                  </pic:spPr>
                </pic:pic>
              </a:graphicData>
            </a:graphic>
            <wp14:sizeRelH relativeFrom="page">
              <wp14:pctWidth>0</wp14:pctWidth>
            </wp14:sizeRelH>
            <wp14:sizeRelV relativeFrom="page">
              <wp14:pctHeight>0</wp14:pctHeight>
            </wp14:sizeRelV>
          </wp:anchor>
        </w:drawing>
      </w:r>
      <w:r w:rsidRPr="00DD7187">
        <w:rPr>
          <w:rFonts w:ascii="Times New Roman" w:hAnsi="Times New Roman" w:cs="Times New Roman"/>
          <w:noProof/>
          <w:lang w:val="en-US"/>
        </w:rPr>
        <w:drawing>
          <wp:anchor distT="0" distB="0" distL="114300" distR="114300" simplePos="0" relativeHeight="251702272" behindDoc="0" locked="0" layoutInCell="1" allowOverlap="1" wp14:anchorId="4B24A3F1" wp14:editId="2315F169">
            <wp:simplePos x="0" y="0"/>
            <wp:positionH relativeFrom="page">
              <wp:posOffset>3657600</wp:posOffset>
            </wp:positionH>
            <wp:positionV relativeFrom="page">
              <wp:posOffset>3764915</wp:posOffset>
            </wp:positionV>
            <wp:extent cx="3291840" cy="1035685"/>
            <wp:effectExtent l="0" t="0" r="10160" b="5715"/>
            <wp:wrapSquare wrapText="bothSides"/>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rror-horror-binary.png"/>
                    <pic:cNvPicPr/>
                  </pic:nvPicPr>
                  <pic:blipFill>
                    <a:blip r:embed="rId17">
                      <a:extLst>
                        <a:ext uri="{28A0092B-C50C-407E-A947-70E740481C1C}">
                          <a14:useLocalDpi xmlns:a14="http://schemas.microsoft.com/office/drawing/2010/main" val="0"/>
                        </a:ext>
                      </a:extLst>
                    </a:blip>
                    <a:stretch>
                      <a:fillRect/>
                    </a:stretch>
                  </pic:blipFill>
                  <pic:spPr>
                    <a:xfrm>
                      <a:off x="0" y="0"/>
                      <a:ext cx="3291840" cy="1035685"/>
                    </a:xfrm>
                    <a:prstGeom prst="rect">
                      <a:avLst/>
                    </a:prstGeom>
                  </pic:spPr>
                </pic:pic>
              </a:graphicData>
            </a:graphic>
            <wp14:sizeRelH relativeFrom="page">
              <wp14:pctWidth>0</wp14:pctWidth>
            </wp14:sizeRelH>
            <wp14:sizeRelV relativeFrom="page">
              <wp14:pctHeight>0</wp14:pctHeight>
            </wp14:sizeRelV>
          </wp:anchor>
        </w:drawing>
      </w:r>
      <w:r w:rsidR="00CC292D">
        <w:rPr>
          <w:rFonts w:ascii="Times New Roman" w:hAnsi="Times New Roman" w:cs="Times New Roman"/>
          <w:noProof/>
          <w:lang w:val="en-US"/>
        </w:rPr>
        <mc:AlternateContent>
          <mc:Choice Requires="wps">
            <w:drawing>
              <wp:anchor distT="0" distB="0" distL="114300" distR="114300" simplePos="0" relativeHeight="251704320" behindDoc="0" locked="0" layoutInCell="1" allowOverlap="1" wp14:anchorId="33EAE3F6" wp14:editId="391838BE">
                <wp:simplePos x="0" y="0"/>
                <wp:positionH relativeFrom="page">
                  <wp:posOffset>3657600</wp:posOffset>
                </wp:positionH>
                <wp:positionV relativeFrom="page">
                  <wp:posOffset>4761865</wp:posOffset>
                </wp:positionV>
                <wp:extent cx="3314700" cy="457200"/>
                <wp:effectExtent l="0" t="0" r="0" b="0"/>
                <wp:wrapThrough wrapText="bothSides">
                  <wp:wrapPolygon edited="0">
                    <wp:start x="166" y="0"/>
                    <wp:lineTo x="166" y="20400"/>
                    <wp:lineTo x="21186" y="20400"/>
                    <wp:lineTo x="21186" y="0"/>
                    <wp:lineTo x="166" y="0"/>
                  </wp:wrapPolygon>
                </wp:wrapThrough>
                <wp:docPr id="12" name="Text Box 12"/>
                <wp:cNvGraphicFramePr/>
                <a:graphic xmlns:a="http://schemas.openxmlformats.org/drawingml/2006/main">
                  <a:graphicData uri="http://schemas.microsoft.com/office/word/2010/wordprocessingShape">
                    <wps:wsp>
                      <wps:cNvSpPr txBox="1"/>
                      <wps:spPr>
                        <a:xfrm>
                          <a:off x="0" y="0"/>
                          <a:ext cx="3314700" cy="457200"/>
                        </a:xfrm>
                        <a:prstGeom prst="rect">
                          <a:avLst/>
                        </a:prstGeom>
                        <a:noFill/>
                        <a:ln>
                          <a:noFill/>
                        </a:ln>
                        <a:effectLst/>
                        <a:extLst>
                          <a:ext uri="{C572A759-6A51-4108-AA02-DFA0A04FC94B}">
                            <ma14:wrappingTextBoxFlag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4ED491B3" w14:textId="77777777" w:rsidR="00CC292D" w:rsidRPr="00790EE5" w:rsidRDefault="00CC292D" w:rsidP="00CC292D">
                            <w:pPr>
                              <w:rPr>
                                <w:rFonts w:ascii="Times New Roman" w:hAnsi="Times New Roman" w:cs="Times New Roman"/>
                                <w:sz w:val="20"/>
                                <w:szCs w:val="20"/>
                              </w:rPr>
                            </w:pPr>
                            <w:r w:rsidRPr="00790EE5">
                              <w:rPr>
                                <w:rFonts w:ascii="Times New Roman" w:hAnsi="Times New Roman" w:cs="Times New Roman"/>
                                <w:b/>
                                <w:sz w:val="20"/>
                                <w:szCs w:val="20"/>
                              </w:rPr>
                              <w:t>Figure 96</w:t>
                            </w:r>
                            <w:r w:rsidRPr="00790EE5">
                              <w:rPr>
                                <w:rFonts w:ascii="Times New Roman" w:hAnsi="Times New Roman" w:cs="Times New Roman"/>
                                <w:sz w:val="20"/>
                                <w:szCs w:val="20"/>
                              </w:rPr>
                              <w:t xml:space="preserve">: </w:t>
                            </w:r>
                            <w:r>
                              <w:rPr>
                                <w:rFonts w:ascii="Times New Roman" w:hAnsi="Times New Roman" w:cs="Times New Roman"/>
                                <w:sz w:val="20"/>
                                <w:szCs w:val="20"/>
                              </w:rPr>
                              <w:t>Gendered authorship of horror and terror, when the two modes are not treated as mutually exclusive.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5" type="#_x0000_t202" style="position:absolute;left:0;text-align:left;margin-left:4in;margin-top:374.95pt;width:261pt;height:36pt;z-index:251704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" mv:complextextbox="1" filled="f" stroked="f">
                <v:textbox>
                  <w:txbxContent>
                    <w:p w14:paraId="4ED491B3" w14:textId="77777777" w:rsidR="00CC292D" w:rsidRPr="00790EE5" w:rsidRDefault="00CC292D" w:rsidP="00CC292D">
                      <w:pPr>
                        <w:rPr>
                          <w:rFonts w:ascii="Times New Roman" w:hAnsi="Times New Roman" w:cs="Times New Roman"/>
                          <w:sz w:val="20"/>
                          <w:szCs w:val="20"/>
                        </w:rPr>
                      </w:pPr>
                      <w:r w:rsidRPr="00790EE5">
                        <w:rPr>
                          <w:rFonts w:ascii="Times New Roman" w:hAnsi="Times New Roman" w:cs="Times New Roman"/>
                          <w:b/>
                          <w:sz w:val="20"/>
                          <w:szCs w:val="20"/>
                        </w:rPr>
                        <w:t>Figure 96</w:t>
                      </w:r>
                      <w:r w:rsidRPr="00790EE5">
                        <w:rPr>
                          <w:rFonts w:ascii="Times New Roman" w:hAnsi="Times New Roman" w:cs="Times New Roman"/>
                          <w:sz w:val="20"/>
                          <w:szCs w:val="20"/>
                        </w:rPr>
                        <w:t xml:space="preserve">: </w:t>
                      </w:r>
                      <w:r>
                        <w:rPr>
                          <w:rFonts w:ascii="Times New Roman" w:hAnsi="Times New Roman" w:cs="Times New Roman"/>
                          <w:sz w:val="20"/>
                          <w:szCs w:val="20"/>
                        </w:rPr>
                        <w:t>Gendered authorship of horror and terror, when the two modes are not treated as mutually exclusive.</w:t>
                      </w:r>
                    </w:p>
                  </w:txbxContent>
                </v:textbox>
                <w10:wrap type="through" anchorx="page" anchory="page"/>
              </v:shape>
            </w:pict>
          </mc:Fallback>
        </mc:AlternateContent>
      </w:r>
      <w:r w:rsidR="00346416" w:rsidRPr="00DD7187">
        <w:rPr>
          <w:rFonts w:ascii="Times New Roman" w:hAnsi="Times New Roman" w:cs="Times New Roman"/>
          <w:lang w:val="en-US"/>
        </w:rPr>
        <w:t>My graphic design choices, as I sought to render each chart legible in terms of this driving question, followed similar principles as my motif chart de</w:t>
      </w:r>
      <w:r w:rsidR="00362B41">
        <w:rPr>
          <w:rFonts w:ascii="Times New Roman" w:hAnsi="Times New Roman" w:cs="Times New Roman"/>
          <w:lang w:val="en-US"/>
        </w:rPr>
        <w:t>signs, particularly the use of colour contrast to</w:t>
      </w:r>
      <w:r w:rsidR="00346416" w:rsidRPr="00DD7187">
        <w:rPr>
          <w:rFonts w:ascii="Times New Roman" w:hAnsi="Times New Roman" w:cs="Times New Roman"/>
          <w:lang w:val="en-US"/>
        </w:rPr>
        <w:t xml:space="preserve"> indicate gendered difference.</w:t>
      </w:r>
      <w:r w:rsidR="00362B41">
        <w:rPr>
          <w:rStyle w:val="FootnoteReference"/>
          <w:rFonts w:ascii="Times New Roman" w:hAnsi="Times New Roman" w:cs="Times New Roman"/>
          <w:lang w:val="en-US"/>
        </w:rPr>
        <w:footnoteReference w:id="7"/>
      </w:r>
      <w:r w:rsidR="005D7ACA" w:rsidRPr="00DD7187">
        <w:rPr>
          <w:rFonts w:ascii="Times New Roman" w:hAnsi="Times New Roman" w:cs="Times New Roman"/>
          <w:noProof/>
          <w:lang w:val="en-US"/>
        </w:rPr>
        <w:t xml:space="preserve"> </w:t>
      </w:r>
      <w:r w:rsidR="00227EB8" w:rsidRPr="00DD7187">
        <w:rPr>
          <w:rFonts w:ascii="Times New Roman" w:hAnsi="Times New Roman" w:cs="Times New Roman"/>
          <w:lang w:val="en-US"/>
        </w:rPr>
        <w:t xml:space="preserve"> </w:t>
      </w:r>
      <w:r w:rsidR="00346416" w:rsidRPr="00DD7187">
        <w:rPr>
          <w:rFonts w:ascii="Times New Roman" w:hAnsi="Times New Roman" w:cs="Times New Roman"/>
          <w:lang w:val="en-US"/>
        </w:rPr>
        <w:t>The first thing these design choices make apparent is the unbalanced nature of the terror/hor</w:t>
      </w:r>
      <w:r w:rsidR="004176EF" w:rsidRPr="00DD7187">
        <w:rPr>
          <w:rFonts w:ascii="Times New Roman" w:hAnsi="Times New Roman" w:cs="Times New Roman"/>
          <w:lang w:val="en-US"/>
        </w:rPr>
        <w:t>ror binary, in keeping with my observations of Tracy’s motifs</w:t>
      </w:r>
      <w:r w:rsidR="00346416" w:rsidRPr="00DD7187">
        <w:rPr>
          <w:rFonts w:ascii="Times New Roman" w:hAnsi="Times New Roman" w:cs="Times New Roman"/>
          <w:lang w:val="en-US"/>
        </w:rPr>
        <w:t xml:space="preserve">. The terror mode enormously outnumbers the horror mode, with 62 novels (35% of the sample) tagged “terror” and </w:t>
      </w:r>
      <w:r w:rsidR="004176EF" w:rsidRPr="00DD7187">
        <w:rPr>
          <w:rFonts w:ascii="Times New Roman" w:hAnsi="Times New Roman" w:cs="Times New Roman"/>
          <w:lang w:val="en-US"/>
        </w:rPr>
        <w:t xml:space="preserve">only 24 (13%) tagged “horror”. </w:t>
      </w:r>
      <w:r w:rsidR="00CC292D">
        <w:rPr>
          <w:rFonts w:ascii="Times New Roman" w:hAnsi="Times New Roman" w:cs="Times New Roman"/>
          <w:lang w:val="en-US"/>
        </w:rPr>
        <w:t xml:space="preserve">The more-popular terror mode is completely non-gendered, while the horror </w:t>
      </w:r>
      <w:r w:rsidR="00CC292D">
        <w:rPr>
          <w:rFonts w:ascii="Times New Roman" w:hAnsi="Times New Roman" w:cs="Times New Roman"/>
          <w:lang w:val="en-US"/>
        </w:rPr>
        <w:lastRenderedPageBreak/>
        <w:t>mode tends toward male authorship (62% male). However</w:t>
      </w:r>
      <w:r w:rsidR="004176EF" w:rsidRPr="00DD7187">
        <w:rPr>
          <w:rFonts w:ascii="Times New Roman" w:hAnsi="Times New Roman" w:cs="Times New Roman"/>
          <w:lang w:val="en-US"/>
        </w:rPr>
        <w:t>, o</w:t>
      </w:r>
      <w:r w:rsidR="00346416" w:rsidRPr="00DD7187">
        <w:rPr>
          <w:rFonts w:ascii="Times New Roman" w:hAnsi="Times New Roman" w:cs="Times New Roman"/>
          <w:lang w:val="en-US"/>
        </w:rPr>
        <w:t>f those 24 novels tagged as horror, 14 were also tagged as terror, leaving a mere 10 books a</w:t>
      </w:r>
      <w:r w:rsidR="001F37E3" w:rsidRPr="00DD7187">
        <w:rPr>
          <w:rFonts w:ascii="Times New Roman" w:hAnsi="Times New Roman" w:cs="Times New Roman"/>
          <w:lang w:val="en-US"/>
        </w:rPr>
        <w:t xml:space="preserve">s pure “horror mode.” </w:t>
      </w:r>
      <w:r w:rsidR="00CC292D">
        <w:rPr>
          <w:rFonts w:ascii="Times New Roman" w:hAnsi="Times New Roman" w:cs="Times New Roman"/>
          <w:lang w:val="en-US"/>
        </w:rPr>
        <w:t>I</w:t>
      </w:r>
      <w:r w:rsidR="00346416" w:rsidRPr="00DD7187">
        <w:rPr>
          <w:rFonts w:ascii="Times New Roman" w:hAnsi="Times New Roman" w:cs="Times New Roman"/>
          <w:lang w:val="en-US"/>
        </w:rPr>
        <w:t>f we attempt to treat the two modes as mutually-exclusive, separating out the “horror-terror” mixed-modes books from the rest, our</w:t>
      </w:r>
      <w:r w:rsidR="007356F0" w:rsidRPr="00DD7187">
        <w:rPr>
          <w:rFonts w:ascii="Times New Roman" w:hAnsi="Times New Roman" w:cs="Times New Roman"/>
          <w:lang w:val="en-US"/>
        </w:rPr>
        <w:t xml:space="preserve"> gendered expectations </w:t>
      </w:r>
      <w:r w:rsidR="00CC292D">
        <w:rPr>
          <w:rFonts w:ascii="Times New Roman" w:hAnsi="Times New Roman" w:cs="Times New Roman"/>
          <w:lang w:val="en-US"/>
        </w:rPr>
        <w:t>fall apart</w:t>
      </w:r>
      <w:r w:rsidR="00346416" w:rsidRPr="00DD7187">
        <w:rPr>
          <w:rFonts w:ascii="Times New Roman" w:hAnsi="Times New Roman" w:cs="Times New Roman"/>
          <w:lang w:val="en-US"/>
        </w:rPr>
        <w:t>: the 10 pure-horror books are precisely split between male and female authors, and it is the horror-terror mode which is most predictive of male authorship.</w:t>
      </w:r>
      <w:r w:rsidR="001A5413">
        <w:rPr>
          <w:rFonts w:ascii="Times New Roman" w:hAnsi="Times New Roman" w:cs="Times New Roman"/>
          <w:noProof/>
          <w:lang w:val="en-US"/>
        </w:rPr>
        <w:t xml:space="preserve"> </w:t>
      </w:r>
      <w:r w:rsidR="00CC292D">
        <w:rPr>
          <w:rFonts w:ascii="Times New Roman" w:hAnsi="Times New Roman" w:cs="Times New Roman"/>
          <w:noProof/>
          <w:lang w:val="en-US"/>
        </w:rPr>
        <w:t>It seems, then, that although the relative popularity of the two schools accords with our expectations based on Tracy, our</w:t>
      </w:r>
      <w:r>
        <w:rPr>
          <w:rFonts w:ascii="Times New Roman" w:hAnsi="Times New Roman" w:cs="Times New Roman"/>
          <w:noProof/>
          <w:lang w:val="en-US"/>
        </w:rPr>
        <w:t xml:space="preserve"> critical identification of terror and horror does not have a basis in gendered patterns of use.</w:t>
      </w:r>
    </w:p>
    <w:p w14:paraId="73FD9E8B" w14:textId="6465DD64" w:rsidR="00346416" w:rsidRPr="00DD7187" w:rsidRDefault="006E4307" w:rsidP="001A54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autoSpaceDE w:val="0"/>
        <w:autoSpaceDN w:val="0"/>
        <w:adjustRightInd w:val="0"/>
        <w:spacing w:line="480" w:lineRule="auto"/>
        <w:ind w:firstLine="700"/>
        <w:jc w:val="both"/>
        <w:rPr>
          <w:rFonts w:ascii="Times New Roman" w:hAnsi="Times New Roman" w:cs="Times New Roman"/>
          <w:noProof/>
          <w:lang w:val="en-US"/>
        </w:rPr>
      </w:pPr>
      <w:r>
        <w:rPr>
          <w:rFonts w:ascii="Times New Roman" w:hAnsi="Times New Roman" w:cs="Times New Roman"/>
          <w:noProof/>
          <w:lang w:val="en-US"/>
        </w:rPr>
        <mc:AlternateContent>
          <mc:Choice Requires="wps">
            <w:drawing>
              <wp:anchor distT="0" distB="0" distL="114300" distR="114300" simplePos="0" relativeHeight="251709440" behindDoc="0" locked="0" layoutInCell="1" allowOverlap="1" wp14:anchorId="43289E2C" wp14:editId="2440216D">
                <wp:simplePos x="0" y="0"/>
                <wp:positionH relativeFrom="page">
                  <wp:posOffset>3543300</wp:posOffset>
                </wp:positionH>
                <wp:positionV relativeFrom="page">
                  <wp:posOffset>5486400</wp:posOffset>
                </wp:positionV>
                <wp:extent cx="3314700" cy="571500"/>
                <wp:effectExtent l="0" t="0" r="0" b="12700"/>
                <wp:wrapThrough wrapText="bothSides">
                  <wp:wrapPolygon edited="0">
                    <wp:start x="166" y="0"/>
                    <wp:lineTo x="166" y="21120"/>
                    <wp:lineTo x="21186" y="21120"/>
                    <wp:lineTo x="21186" y="0"/>
                    <wp:lineTo x="166" y="0"/>
                  </wp:wrapPolygon>
                </wp:wrapThrough>
                <wp:docPr id="15" name="Text Box 15"/>
                <wp:cNvGraphicFramePr/>
                <a:graphic xmlns:a="http://schemas.openxmlformats.org/drawingml/2006/main">
                  <a:graphicData uri="http://schemas.microsoft.com/office/word/2010/wordprocessingShape">
                    <wps:wsp>
                      <wps:cNvSpPr txBox="1"/>
                      <wps:spPr>
                        <a:xfrm>
                          <a:off x="0" y="0"/>
                          <a:ext cx="3314700" cy="571500"/>
                        </a:xfrm>
                        <a:prstGeom prst="rect">
                          <a:avLst/>
                        </a:prstGeom>
                        <a:noFill/>
                        <a:ln>
                          <a:noFill/>
                        </a:ln>
                        <a:effectLst/>
                        <a:extLst>
                          <a:ext uri="{C572A759-6A51-4108-AA02-DFA0A04FC94B}">
                            <ma14:wrappingTextBoxFlag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35A21991" w14:textId="6D2D381C" w:rsidR="006E4307" w:rsidRPr="006E4307" w:rsidRDefault="006E4307" w:rsidP="006E4307">
                            <w:pPr>
                              <w:rPr>
                                <w:rFonts w:ascii="Times New Roman" w:hAnsi="Times New Roman" w:cs="Times New Roman"/>
                                <w:sz w:val="20"/>
                                <w:szCs w:val="20"/>
                              </w:rPr>
                            </w:pPr>
                            <w:r w:rsidRPr="006E4307">
                              <w:rPr>
                                <w:rFonts w:ascii="Times New Roman" w:hAnsi="Times New Roman" w:cs="Times New Roman"/>
                                <w:b/>
                                <w:sz w:val="20"/>
                                <w:szCs w:val="20"/>
                              </w:rPr>
                              <w:t>Figure 9</w:t>
                            </w:r>
                            <w:r>
                              <w:rPr>
                                <w:rFonts w:ascii="Times New Roman" w:hAnsi="Times New Roman" w:cs="Times New Roman"/>
                                <w:b/>
                                <w:sz w:val="20"/>
                                <w:szCs w:val="20"/>
                              </w:rPr>
                              <w:t>8</w:t>
                            </w:r>
                            <w:bookmarkStart w:id="0" w:name="_GoBack"/>
                            <w:bookmarkEnd w:id="0"/>
                            <w:r w:rsidRPr="006E4307">
                              <w:rPr>
                                <w:rFonts w:ascii="Times New Roman" w:hAnsi="Times New Roman" w:cs="Times New Roman"/>
                                <w:sz w:val="20"/>
                                <w:szCs w:val="20"/>
                              </w:rPr>
                              <w:t xml:space="preserve">: </w:t>
                            </w:r>
                            <w:r>
                              <w:rPr>
                                <w:rFonts w:ascii="Times New Roman" w:hAnsi="Times New Roman" w:cs="Times New Roman"/>
                                <w:sz w:val="20"/>
                                <w:szCs w:val="20"/>
                              </w:rPr>
                              <w:t xml:space="preserve">Gendered authorship of works identified as Radcliffean and those either imitating </w:t>
                            </w:r>
                            <w:r w:rsidRPr="006E4307">
                              <w:rPr>
                                <w:rFonts w:ascii="Times New Roman" w:hAnsi="Times New Roman" w:cs="Times New Roman"/>
                                <w:i/>
                                <w:sz w:val="20"/>
                                <w:szCs w:val="20"/>
                              </w:rPr>
                              <w:t>The Monk</w:t>
                            </w:r>
                            <w:r>
                              <w:rPr>
                                <w:rFonts w:ascii="Times New Roman" w:hAnsi="Times New Roman" w:cs="Times New Roman"/>
                                <w:sz w:val="20"/>
                                <w:szCs w:val="20"/>
                              </w:rPr>
                              <w:t xml:space="preserve"> or identified as monastic shockers.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36" type="#_x0000_t202" style="position:absolute;left:0;text-align:left;margin-left:279pt;margin-top:6in;width:261pt;height:45pt;z-index:251709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" mv:complextextbox="1" filled="f" stroked="f">
                <v:textbox>
                  <w:txbxContent>
                    <w:p w14:paraId="35A21991" w14:textId="6D2D381C" w:rsidR="006E4307" w:rsidRPr="006E4307" w:rsidRDefault="006E4307" w:rsidP="006E4307">
                      <w:pPr>
                        <w:rPr>
                          <w:rFonts w:ascii="Times New Roman" w:hAnsi="Times New Roman" w:cs="Times New Roman"/>
                          <w:sz w:val="20"/>
                          <w:szCs w:val="20"/>
                        </w:rPr>
                      </w:pPr>
                      <w:r w:rsidRPr="006E4307">
                        <w:rPr>
                          <w:rFonts w:ascii="Times New Roman" w:hAnsi="Times New Roman" w:cs="Times New Roman"/>
                          <w:b/>
                          <w:sz w:val="20"/>
                          <w:szCs w:val="20"/>
                        </w:rPr>
                        <w:t>Figure 9</w:t>
                      </w:r>
                      <w:r>
                        <w:rPr>
                          <w:rFonts w:ascii="Times New Roman" w:hAnsi="Times New Roman" w:cs="Times New Roman"/>
                          <w:b/>
                          <w:sz w:val="20"/>
                          <w:szCs w:val="20"/>
                        </w:rPr>
                        <w:t>8</w:t>
                      </w:r>
                      <w:bookmarkStart w:id="1" w:name="_GoBack"/>
                      <w:bookmarkEnd w:id="1"/>
                      <w:r w:rsidRPr="006E4307">
                        <w:rPr>
                          <w:rFonts w:ascii="Times New Roman" w:hAnsi="Times New Roman" w:cs="Times New Roman"/>
                          <w:sz w:val="20"/>
                          <w:szCs w:val="20"/>
                        </w:rPr>
                        <w:t xml:space="preserve">: </w:t>
                      </w:r>
                      <w:r>
                        <w:rPr>
                          <w:rFonts w:ascii="Times New Roman" w:hAnsi="Times New Roman" w:cs="Times New Roman"/>
                          <w:sz w:val="20"/>
                          <w:szCs w:val="20"/>
                        </w:rPr>
                        <w:t xml:space="preserve">Gendered authorship of works identified as Radcliffean and those either imitating </w:t>
                      </w:r>
                      <w:r w:rsidRPr="006E4307">
                        <w:rPr>
                          <w:rFonts w:ascii="Times New Roman" w:hAnsi="Times New Roman" w:cs="Times New Roman"/>
                          <w:i/>
                          <w:sz w:val="20"/>
                          <w:szCs w:val="20"/>
                        </w:rPr>
                        <w:t>The Monk</w:t>
                      </w:r>
                      <w:r>
                        <w:rPr>
                          <w:rFonts w:ascii="Times New Roman" w:hAnsi="Times New Roman" w:cs="Times New Roman"/>
                          <w:sz w:val="20"/>
                          <w:szCs w:val="20"/>
                        </w:rPr>
                        <w:t xml:space="preserve"> or identified as monastic shockers.</w:t>
                      </w:r>
                    </w:p>
                  </w:txbxContent>
                </v:textbox>
                <w10:wrap type="through" anchorx="page" anchory="page"/>
              </v:shape>
            </w:pict>
          </mc:Fallback>
        </mc:AlternateContent>
      </w:r>
      <w:r w:rsidRPr="00DD7187">
        <w:rPr>
          <w:rFonts w:ascii="Times New Roman" w:hAnsi="Times New Roman" w:cs="Times New Roman"/>
          <w:noProof/>
          <w:lang w:val="en-US"/>
        </w:rPr>
        <w:drawing>
          <wp:anchor distT="0" distB="0" distL="114300" distR="114300" simplePos="0" relativeHeight="251660288" behindDoc="0" locked="0" layoutInCell="1" allowOverlap="1" wp14:anchorId="4DE006E3" wp14:editId="23066045">
            <wp:simplePos x="0" y="0"/>
            <wp:positionH relativeFrom="page">
              <wp:posOffset>3543300</wp:posOffset>
            </wp:positionH>
            <wp:positionV relativeFrom="page">
              <wp:posOffset>4450715</wp:posOffset>
            </wp:positionV>
            <wp:extent cx="3291840" cy="1035685"/>
            <wp:effectExtent l="0" t="0" r="10160" b="5715"/>
            <wp:wrapSquare wrapText="bothSides"/>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cliffe-Lewis-binary.png"/>
                    <pic:cNvPicPr/>
                  </pic:nvPicPr>
                  <pic:blipFill>
                    <a:blip r:embed="rId18">
                      <a:extLst>
                        <a:ext uri="{28A0092B-C50C-407E-A947-70E740481C1C}">
                          <a14:useLocalDpi xmlns:a14="http://schemas.microsoft.com/office/drawing/2010/main" val="0"/>
                        </a:ext>
                      </a:extLst>
                    </a:blip>
                    <a:stretch>
                      <a:fillRect/>
                    </a:stretch>
                  </pic:blipFill>
                  <pic:spPr>
                    <a:xfrm>
                      <a:off x="0" y="0"/>
                      <a:ext cx="3291840" cy="1035685"/>
                    </a:xfrm>
                    <a:prstGeom prst="rect">
                      <a:avLst/>
                    </a:prstGeom>
                  </pic:spPr>
                </pic:pic>
              </a:graphicData>
            </a:graphic>
            <wp14:sizeRelH relativeFrom="page">
              <wp14:pctWidth>0</wp14:pctWidth>
            </wp14:sizeRelH>
            <wp14:sizeRelV relativeFrom="page">
              <wp14:pctHeight>0</wp14:pctHeight>
            </wp14:sizeRelV>
          </wp:anchor>
        </w:drawing>
      </w:r>
      <w:r w:rsidR="00346416" w:rsidRPr="00DD7187">
        <w:rPr>
          <w:rFonts w:ascii="Times New Roman" w:hAnsi="Times New Roman" w:cs="Times New Roman"/>
          <w:lang w:val="en-US"/>
        </w:rPr>
        <w:t>And yet, it seems that the Radclif</w:t>
      </w:r>
      <w:r w:rsidR="005D7ACA" w:rsidRPr="00DD7187">
        <w:rPr>
          <w:rFonts w:ascii="Times New Roman" w:hAnsi="Times New Roman" w:cs="Times New Roman"/>
          <w:lang w:val="en-US"/>
        </w:rPr>
        <w:t>fean novel, as a category</w:t>
      </w:r>
      <w:r w:rsidR="00346416" w:rsidRPr="00DD7187">
        <w:rPr>
          <w:rFonts w:ascii="Times New Roman" w:hAnsi="Times New Roman" w:cs="Times New Roman"/>
          <w:lang w:val="en-US"/>
        </w:rPr>
        <w:t xml:space="preserve">, </w:t>
      </w:r>
      <w:r w:rsidR="00346416" w:rsidRPr="00DD7187">
        <w:rPr>
          <w:rFonts w:ascii="Times New Roman" w:hAnsi="Times New Roman" w:cs="Times New Roman"/>
          <w:i/>
          <w:iCs/>
          <w:lang w:val="en-US"/>
        </w:rPr>
        <w:t>does</w:t>
      </w:r>
      <w:r w:rsidR="00346416" w:rsidRPr="00DD7187">
        <w:rPr>
          <w:rFonts w:ascii="Times New Roman" w:hAnsi="Times New Roman" w:cs="Times New Roman"/>
          <w:lang w:val="en-US"/>
        </w:rPr>
        <w:t xml:space="preserve"> bear scrutiny as a gendered tradition. Frank identifies twelve novels as explicit imitations of Radcliffe; the “Radcliffe” tag includes those twelve, and Radcliffe’s own six novels — and every book included is by a woman. Radcliffe’s opposite in this binary is the “</w:t>
      </w:r>
      <w:r w:rsidR="00346416" w:rsidRPr="00DD7187">
        <w:rPr>
          <w:rFonts w:ascii="Times New Roman" w:hAnsi="Times New Roman" w:cs="Times New Roman"/>
          <w:i/>
          <w:iCs/>
          <w:lang w:val="en-US"/>
        </w:rPr>
        <w:t>Monk</w:t>
      </w:r>
      <w:r w:rsidR="00346416" w:rsidRPr="00DD7187">
        <w:rPr>
          <w:rFonts w:ascii="Times New Roman" w:hAnsi="Times New Roman" w:cs="Times New Roman"/>
          <w:lang w:val="en-US"/>
        </w:rPr>
        <w:t xml:space="preserve"> / monastic” tag; no works were identified as imitations of Lewis himself, but nine (including </w:t>
      </w:r>
      <w:r w:rsidR="00346416" w:rsidRPr="00DD7187">
        <w:rPr>
          <w:rFonts w:ascii="Times New Roman" w:hAnsi="Times New Roman" w:cs="Times New Roman"/>
          <w:i/>
          <w:iCs/>
          <w:lang w:val="en-US"/>
        </w:rPr>
        <w:t>The Monk</w:t>
      </w:r>
      <w:r w:rsidR="00346416" w:rsidRPr="00DD7187">
        <w:rPr>
          <w:rFonts w:ascii="Times New Roman" w:hAnsi="Times New Roman" w:cs="Times New Roman"/>
          <w:lang w:val="en-US"/>
        </w:rPr>
        <w:t xml:space="preserve"> itself) are identified as an imitation of </w:t>
      </w:r>
      <w:r w:rsidR="00346416" w:rsidRPr="00DD7187">
        <w:rPr>
          <w:rFonts w:ascii="Times New Roman" w:hAnsi="Times New Roman" w:cs="Times New Roman"/>
          <w:i/>
          <w:iCs/>
          <w:lang w:val="en-US"/>
        </w:rPr>
        <w:t>The Monk</w:t>
      </w:r>
      <w:r w:rsidR="00346416" w:rsidRPr="00DD7187">
        <w:rPr>
          <w:rFonts w:ascii="Times New Roman" w:hAnsi="Times New Roman" w:cs="Times New Roman"/>
          <w:lang w:val="en-US"/>
        </w:rPr>
        <w:t>, a “monastic shocker,” or both. Of these nine, seven are by men. The ‘school of Radcliffe’ does thus appear to be a female-dominated school which stands in contrast to a smaller, less-distinct but male-dominated ‘school of Lewis’ — which raises the question of why neither Tracy’s motifs nor Frank’s horror and terror Gothic types showed evidence of these schools.</w:t>
      </w:r>
    </w:p>
    <w:p w14:paraId="63B83ED1" w14:textId="183F7F84" w:rsidR="00346416" w:rsidRPr="00DD7187" w:rsidRDefault="00346416" w:rsidP="002C60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autoSpaceDE w:val="0"/>
        <w:autoSpaceDN w:val="0"/>
        <w:adjustRightInd w:val="0"/>
        <w:spacing w:line="480" w:lineRule="auto"/>
        <w:ind w:firstLine="700"/>
        <w:jc w:val="both"/>
        <w:rPr>
          <w:rFonts w:ascii="Times New Roman" w:hAnsi="Times New Roman" w:cs="Times New Roman"/>
          <w:lang w:val="en-US"/>
        </w:rPr>
      </w:pPr>
      <w:r w:rsidRPr="00DD7187">
        <w:rPr>
          <w:rFonts w:ascii="Times New Roman" w:hAnsi="Times New Roman" w:cs="Times New Roman"/>
          <w:lang w:val="en-US"/>
        </w:rPr>
        <w:t>An answer is suggested by a broader look at the tags be</w:t>
      </w:r>
      <w:r w:rsidR="001F37E3" w:rsidRPr="00DD7187">
        <w:rPr>
          <w:rFonts w:ascii="Times New Roman" w:hAnsi="Times New Roman" w:cs="Times New Roman"/>
          <w:lang w:val="en-US"/>
        </w:rPr>
        <w:t xml:space="preserve">yond horror and terror which </w:t>
      </w:r>
      <w:r w:rsidR="00E81923">
        <w:rPr>
          <w:rFonts w:ascii="Times New Roman" w:hAnsi="Times New Roman" w:cs="Times New Roman"/>
          <w:lang w:val="en-US"/>
        </w:rPr>
        <w:t>appear most often in</w:t>
      </w:r>
      <w:r w:rsidR="001F37E3" w:rsidRPr="00DD7187">
        <w:rPr>
          <w:rFonts w:ascii="Times New Roman" w:hAnsi="Times New Roman" w:cs="Times New Roman"/>
          <w:lang w:val="en-US"/>
        </w:rPr>
        <w:t xml:space="preserve"> Frank’s Gothic types</w:t>
      </w:r>
      <w:r w:rsidRPr="00DD7187">
        <w:rPr>
          <w:rFonts w:ascii="Times New Roman" w:hAnsi="Times New Roman" w:cs="Times New Roman"/>
          <w:lang w:val="en-US"/>
        </w:rPr>
        <w:t xml:space="preserve">. Mingled in with our Radcliffean and Monk-ian </w:t>
      </w:r>
      <w:r w:rsidRPr="00DD7187">
        <w:rPr>
          <w:rFonts w:ascii="Times New Roman" w:hAnsi="Times New Roman" w:cs="Times New Roman"/>
          <w:lang w:val="en-US"/>
        </w:rPr>
        <w:lastRenderedPageBreak/>
        <w:t>novels are all kinds of schools not generally accorded particular importance for the field as a whole; the eleven tags which correspond to at least nine novels and their respective prevalence are, from most popular to least popular, as follows: “high Gothic” (63); “terror” (62); “history” (29); “domestic” (27); “horror” (24); “sentimental” (24); “Radcliffe” (18); “chapbook” (17); “naturalized,” which refers to “natural Gothic,” “documentary Gothic,” and “explained supernatural” novels which consist of entirely explained or non-supernatural elements, including those based on authentic contemporary murders (11); “Schauerromantik” (10); and “</w:t>
      </w:r>
      <w:r w:rsidRPr="00DD7187">
        <w:rPr>
          <w:rFonts w:ascii="Times New Roman" w:hAnsi="Times New Roman" w:cs="Times New Roman"/>
          <w:i/>
          <w:iCs/>
          <w:lang w:val="en-US"/>
        </w:rPr>
        <w:t>Monk</w:t>
      </w:r>
      <w:r w:rsidRPr="00DD7187">
        <w:rPr>
          <w:rFonts w:ascii="Times New Roman" w:hAnsi="Times New Roman" w:cs="Times New Roman"/>
          <w:lang w:val="en-US"/>
        </w:rPr>
        <w:t xml:space="preserve"> imit</w:t>
      </w:r>
      <w:r w:rsidR="00227EB8" w:rsidRPr="00DD7187">
        <w:rPr>
          <w:rFonts w:ascii="Times New Roman" w:hAnsi="Times New Roman" w:cs="Times New Roman"/>
          <w:lang w:val="en-US"/>
        </w:rPr>
        <w:t xml:space="preserve">ation / monastic shocker” (9). </w:t>
      </w:r>
      <w:r w:rsidRPr="00DD7187">
        <w:rPr>
          <w:rFonts w:ascii="Times New Roman" w:hAnsi="Times New Roman" w:cs="Times New Roman"/>
          <w:lang w:val="en-US"/>
        </w:rPr>
        <w:t>This variety of ‘types’ suggests a different picture of the main threads of the Gothic, which doesn’t function via b</w:t>
      </w:r>
      <w:r w:rsidR="00227EB8" w:rsidRPr="00DD7187">
        <w:rPr>
          <w:rFonts w:ascii="Times New Roman" w:hAnsi="Times New Roman" w:cs="Times New Roman"/>
          <w:lang w:val="en-US"/>
        </w:rPr>
        <w:t>inaries at all, and remains mainly non-gendered.</w:t>
      </w:r>
      <w:r w:rsidRPr="00DD7187">
        <w:rPr>
          <w:rFonts w:ascii="Times New Roman" w:hAnsi="Times New Roman" w:cs="Times New Roman"/>
          <w:lang w:val="en-US"/>
        </w:rPr>
        <w:t xml:space="preserve"> However, the bright yellow rectangles of ‘Radcliffe’ and ‘sentimental’ together suggest that the problem, while hunting for the Female Gothic among Tracy’s motifs, was not a lack of a female-dominated tradition — the problem was the method. The particular deformation of the motif-charts allowed my model to be sensitive only to certain types of information, but the gendered trend suggested by Frank’s gothic types is not defined by individual plot-devices like skulls and incest. Instead, the emerging ‘school of Radcliffe’ suggested here is deeply tied to the sentimental novel. </w:t>
      </w:r>
    </w:p>
    <w:p w14:paraId="2E4ECFBD" w14:textId="142BC5AB" w:rsidR="00346416" w:rsidRPr="00DD7187" w:rsidRDefault="00346416" w:rsidP="002C60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autoSpaceDE w:val="0"/>
        <w:autoSpaceDN w:val="0"/>
        <w:adjustRightInd w:val="0"/>
        <w:spacing w:line="480" w:lineRule="auto"/>
        <w:ind w:firstLine="700"/>
        <w:jc w:val="both"/>
        <w:rPr>
          <w:rFonts w:ascii="Times New Roman" w:hAnsi="Times New Roman" w:cs="Times New Roman"/>
          <w:lang w:val="en-US"/>
        </w:rPr>
      </w:pPr>
      <w:r w:rsidRPr="00DD7187">
        <w:rPr>
          <w:rFonts w:ascii="Times New Roman" w:hAnsi="Times New Roman" w:cs="Times New Roman"/>
          <w:lang w:val="en-US"/>
        </w:rPr>
        <w:t>To be precise about th</w:t>
      </w:r>
      <w:r w:rsidR="00227EB8" w:rsidRPr="00DD7187">
        <w:rPr>
          <w:rFonts w:ascii="Times New Roman" w:hAnsi="Times New Roman" w:cs="Times New Roman"/>
          <w:lang w:val="en-US"/>
        </w:rPr>
        <w:t>e nature of this connection, I made several pivot tables along the same principles of predictive utility</w:t>
      </w:r>
      <w:r w:rsidRPr="00DD7187">
        <w:rPr>
          <w:rFonts w:ascii="Times New Roman" w:hAnsi="Times New Roman" w:cs="Times New Roman"/>
          <w:lang w:val="en-US"/>
        </w:rPr>
        <w:t xml:space="preserve"> that structured my examination of Tracy’s motifs. Approaching from one direction, 50% of Radcliffean novels are also high gothic. If you know a book is Radcliffean, you know it is probably high Gothic, terror mode, and sentimental, in that order. Approaching from the other direction, 25% of sentimental novels are also Radcliffean. Gothic types which are likely to include Radcliffean novels are sentimental, naturalized or explained, and high Gothic, </w:t>
      </w:r>
      <w:r w:rsidR="00227EB8" w:rsidRPr="00DD7187">
        <w:rPr>
          <w:rFonts w:ascii="Times New Roman" w:hAnsi="Times New Roman" w:cs="Times New Roman"/>
          <w:lang w:val="en-US"/>
        </w:rPr>
        <w:t>in that order. This particular picture of the Female Gothic</w:t>
      </w:r>
      <w:r w:rsidRPr="00DD7187">
        <w:rPr>
          <w:rFonts w:ascii="Times New Roman" w:hAnsi="Times New Roman" w:cs="Times New Roman"/>
          <w:lang w:val="en-US"/>
        </w:rPr>
        <w:t xml:space="preserve"> may </w:t>
      </w:r>
      <w:r w:rsidRPr="00DD7187">
        <w:rPr>
          <w:rFonts w:ascii="Times New Roman" w:hAnsi="Times New Roman" w:cs="Times New Roman"/>
          <w:lang w:val="en-US"/>
        </w:rPr>
        <w:lastRenderedPageBreak/>
        <w:t xml:space="preserve">explain the comparison of </w:t>
      </w:r>
      <w:r w:rsidRPr="00DD7187">
        <w:rPr>
          <w:rFonts w:ascii="Times New Roman" w:hAnsi="Times New Roman" w:cs="Times New Roman"/>
          <w:i/>
          <w:iCs/>
          <w:lang w:val="en-US"/>
        </w:rPr>
        <w:t>Udolpho</w:t>
      </w:r>
      <w:r w:rsidRPr="00DD7187">
        <w:rPr>
          <w:rFonts w:ascii="Times New Roman" w:hAnsi="Times New Roman" w:cs="Times New Roman"/>
          <w:lang w:val="en-US"/>
        </w:rPr>
        <w:t xml:space="preserve"> to Inchbald’s</w:t>
      </w:r>
      <w:r w:rsidRPr="00DD7187">
        <w:rPr>
          <w:rFonts w:ascii="Times New Roman" w:hAnsi="Times New Roman" w:cs="Times New Roman"/>
          <w:i/>
          <w:iCs/>
          <w:lang w:val="en-US"/>
        </w:rPr>
        <w:t xml:space="preserve"> A Simple Story</w:t>
      </w:r>
      <w:r w:rsidRPr="00DD7187">
        <w:rPr>
          <w:rFonts w:ascii="Times New Roman" w:hAnsi="Times New Roman" w:cs="Times New Roman"/>
          <w:lang w:val="en-US"/>
        </w:rPr>
        <w:t xml:space="preserve"> which so puzzled Clara McIntyre</w:t>
      </w:r>
      <w:r w:rsidR="00227EB8" w:rsidRPr="00DD7187">
        <w:rPr>
          <w:rFonts w:ascii="Times New Roman" w:hAnsi="Times New Roman" w:cs="Times New Roman"/>
          <w:lang w:val="en-US"/>
        </w:rPr>
        <w:t xml:space="preserve"> in </w:t>
      </w:r>
      <w:r w:rsidR="00227EB8" w:rsidRPr="00DD7187">
        <w:rPr>
          <w:rFonts w:ascii="Times New Roman" w:hAnsi="Times New Roman" w:cs="Times New Roman"/>
          <w:i/>
          <w:lang w:val="en-US"/>
        </w:rPr>
        <w:t>Ann Radcliff in Relation to Her Time</w:t>
      </w:r>
      <w:r w:rsidRPr="00DD7187">
        <w:rPr>
          <w:rFonts w:ascii="Times New Roman" w:hAnsi="Times New Roman" w:cs="Times New Roman"/>
          <w:lang w:val="en-US"/>
        </w:rPr>
        <w:t xml:space="preserve">. In response to a review which </w:t>
      </w:r>
      <w:r w:rsidR="00C17FD8" w:rsidRPr="00DD7187">
        <w:rPr>
          <w:rFonts w:ascii="Times New Roman" w:hAnsi="Times New Roman" w:cs="Times New Roman"/>
          <w:lang w:val="en-US"/>
        </w:rPr>
        <w:t>declared</w:t>
      </w:r>
      <w:r w:rsidRPr="00DD7187">
        <w:rPr>
          <w:rFonts w:ascii="Times New Roman" w:hAnsi="Times New Roman" w:cs="Times New Roman"/>
          <w:lang w:val="en-US"/>
        </w:rPr>
        <w:t xml:space="preserve"> Udolpho to be “the best composition of this kind since Mrs. Inchbald’s</w:t>
      </w:r>
      <w:r w:rsidRPr="00DD7187">
        <w:rPr>
          <w:rFonts w:ascii="Times New Roman" w:hAnsi="Times New Roman" w:cs="Times New Roman"/>
          <w:i/>
          <w:iCs/>
          <w:lang w:val="en-US"/>
        </w:rPr>
        <w:t xml:space="preserve"> Simple Story,</w:t>
      </w:r>
      <w:r w:rsidRPr="00DD7187">
        <w:rPr>
          <w:rFonts w:ascii="Times New Roman" w:hAnsi="Times New Roman" w:cs="Times New Roman"/>
          <w:lang w:val="en-US"/>
        </w:rPr>
        <w:t>” McIntyre is taken aback by the expression “</w:t>
      </w:r>
      <w:r w:rsidR="007C77FE" w:rsidRPr="00DD7187">
        <w:rPr>
          <w:rFonts w:ascii="Times New Roman" w:hAnsi="Times New Roman" w:cs="Times New Roman"/>
          <w:lang w:val="en-US"/>
        </w:rPr>
        <w:t xml:space="preserve">of </w:t>
      </w:r>
      <w:r w:rsidRPr="00DD7187">
        <w:rPr>
          <w:rFonts w:ascii="Times New Roman" w:hAnsi="Times New Roman" w:cs="Times New Roman"/>
          <w:lang w:val="en-US"/>
        </w:rPr>
        <w:t xml:space="preserve">this kind” (94). She says, “The reviewer must surely be thinking of fiction in general, for, except that they are both fiction, two compositions could hardly be more unlike than </w:t>
      </w:r>
      <w:r w:rsidRPr="00DD7187">
        <w:rPr>
          <w:rFonts w:ascii="Times New Roman" w:hAnsi="Times New Roman" w:cs="Times New Roman"/>
          <w:i/>
          <w:iCs/>
          <w:lang w:val="en-US"/>
        </w:rPr>
        <w:t>The Mysteries of Udolpho</w:t>
      </w:r>
      <w:r w:rsidRPr="00DD7187">
        <w:rPr>
          <w:rFonts w:ascii="Times New Roman" w:hAnsi="Times New Roman" w:cs="Times New Roman"/>
          <w:lang w:val="en-US"/>
        </w:rPr>
        <w:t xml:space="preserve"> and </w:t>
      </w:r>
      <w:r w:rsidRPr="00DD7187">
        <w:rPr>
          <w:rFonts w:ascii="Times New Roman" w:hAnsi="Times New Roman" w:cs="Times New Roman"/>
          <w:i/>
          <w:iCs/>
          <w:lang w:val="en-US"/>
        </w:rPr>
        <w:t>A Simple Story</w:t>
      </w:r>
      <w:r w:rsidRPr="00DD7187">
        <w:rPr>
          <w:rFonts w:ascii="Times New Roman" w:hAnsi="Times New Roman" w:cs="Times New Roman"/>
          <w:lang w:val="en-US"/>
        </w:rPr>
        <w:t xml:space="preserve">” (94). McIntyre begins to draw a connection based on “the ethical purpose of the book,” which in Inchbald is “rather too obvious for successful art,” but decides that although Radcliffe’s writing “it is true, was strictly moral,” Radcliffe’s “main interest” does not lie in moralizing, and </w:t>
      </w:r>
      <w:r w:rsidRPr="00DD7187">
        <w:rPr>
          <w:rFonts w:ascii="Times New Roman" w:hAnsi="Times New Roman" w:cs="Times New Roman"/>
          <w:i/>
          <w:iCs/>
          <w:lang w:val="en-US"/>
        </w:rPr>
        <w:t>Udolpho</w:t>
      </w:r>
      <w:r w:rsidRPr="00DD7187">
        <w:rPr>
          <w:rFonts w:ascii="Times New Roman" w:hAnsi="Times New Roman" w:cs="Times New Roman"/>
          <w:lang w:val="en-US"/>
        </w:rPr>
        <w:t>’s project is al</w:t>
      </w:r>
      <w:r w:rsidR="00C512B6" w:rsidRPr="00DD7187">
        <w:rPr>
          <w:rFonts w:ascii="Times New Roman" w:hAnsi="Times New Roman" w:cs="Times New Roman"/>
          <w:lang w:val="en-US"/>
        </w:rPr>
        <w:t xml:space="preserve">ong a different line. </w:t>
      </w:r>
      <w:r w:rsidR="00C512B6" w:rsidRPr="00DD7187">
        <w:rPr>
          <w:rFonts w:ascii="Times New Roman" w:hAnsi="Times New Roman" w:cs="Times New Roman"/>
          <w:highlight w:val="cyan"/>
          <w:lang w:val="en-US"/>
        </w:rPr>
        <w:t xml:space="preserve">However, </w:t>
      </w:r>
      <w:r w:rsidRPr="00DD7187">
        <w:rPr>
          <w:rFonts w:ascii="Times New Roman" w:hAnsi="Times New Roman" w:cs="Times New Roman"/>
          <w:highlight w:val="cyan"/>
          <w:lang w:val="en-US"/>
        </w:rPr>
        <w:t>McIntyre overlooks the</w:t>
      </w:r>
      <w:r w:rsidR="00C512B6" w:rsidRPr="00DD7187">
        <w:rPr>
          <w:rFonts w:ascii="Times New Roman" w:hAnsi="Times New Roman" w:cs="Times New Roman"/>
          <w:highlight w:val="cyan"/>
          <w:lang w:val="en-US"/>
        </w:rPr>
        <w:t xml:space="preserve"> importance of moral sentiment.</w:t>
      </w:r>
    </w:p>
    <w:p w14:paraId="15E9C688" w14:textId="7E56F02A" w:rsidR="00904B37" w:rsidRPr="00DD7187" w:rsidRDefault="006E4307" w:rsidP="002C60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autoSpaceDE w:val="0"/>
        <w:autoSpaceDN w:val="0"/>
        <w:adjustRightInd w:val="0"/>
        <w:spacing w:line="480" w:lineRule="auto"/>
        <w:ind w:firstLine="700"/>
        <w:jc w:val="both"/>
        <w:rPr>
          <w:rFonts w:ascii="Times New Roman" w:hAnsi="Times New Roman" w:cs="Times New Roman"/>
          <w:lang w:val="en-US"/>
        </w:rPr>
      </w:pPr>
      <w:r w:rsidRPr="00DD7187">
        <w:rPr>
          <w:rFonts w:ascii="Times New Roman" w:hAnsi="Times New Roman" w:cs="Times New Roman"/>
          <w:noProof/>
          <w:lang w:val="en-US"/>
        </w:rPr>
        <w:drawing>
          <wp:anchor distT="0" distB="0" distL="114300" distR="114300" simplePos="0" relativeHeight="251661312" behindDoc="0" locked="0" layoutInCell="1" allowOverlap="1" wp14:anchorId="25B27BEE" wp14:editId="68487DEE">
            <wp:simplePos x="0" y="0"/>
            <wp:positionH relativeFrom="page">
              <wp:posOffset>1257300</wp:posOffset>
            </wp:positionH>
            <wp:positionV relativeFrom="page">
              <wp:posOffset>1714500</wp:posOffset>
            </wp:positionV>
            <wp:extent cx="3291840" cy="3872230"/>
            <wp:effectExtent l="0" t="0" r="10160" b="0"/>
            <wp:wrapSquare wrapText="bothSides"/>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l-types.png"/>
                    <pic:cNvPicPr/>
                  </pic:nvPicPr>
                  <pic:blipFill>
                    <a:blip r:embed="rId19">
                      <a:extLst>
                        <a:ext uri="{28A0092B-C50C-407E-A947-70E740481C1C}">
                          <a14:useLocalDpi xmlns:a14="http://schemas.microsoft.com/office/drawing/2010/main" val="0"/>
                        </a:ext>
                      </a:extLst>
                    </a:blip>
                    <a:stretch>
                      <a:fillRect/>
                    </a:stretch>
                  </pic:blipFill>
                  <pic:spPr>
                    <a:xfrm>
                      <a:off x="0" y="0"/>
                      <a:ext cx="3291840" cy="3872230"/>
                    </a:xfrm>
                    <a:prstGeom prst="rect">
                      <a:avLst/>
                    </a:prstGeom>
                  </pic:spPr>
                </pic:pic>
              </a:graphicData>
            </a:graphic>
            <wp14:sizeRelH relativeFrom="page">
              <wp14:pctWidth>0</wp14:pctWidth>
            </wp14:sizeRelH>
            <wp14:sizeRelV relativeFrom="page">
              <wp14:pctHeight>0</wp14:pctHeight>
            </wp14:sizeRelV>
          </wp:anchor>
        </w:drawing>
      </w:r>
    </w:p>
    <w:p w14:paraId="447202CF" w14:textId="61D1406D" w:rsidR="00904B37" w:rsidRPr="00DD7187" w:rsidRDefault="00904B37" w:rsidP="002C60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autoSpaceDE w:val="0"/>
        <w:autoSpaceDN w:val="0"/>
        <w:adjustRightInd w:val="0"/>
        <w:spacing w:line="480" w:lineRule="auto"/>
        <w:ind w:firstLine="700"/>
        <w:jc w:val="center"/>
        <w:rPr>
          <w:rFonts w:ascii="Times New Roman" w:hAnsi="Times New Roman" w:cs="Times New Roman"/>
          <w:i/>
          <w:lang w:val="en-US"/>
        </w:rPr>
      </w:pPr>
      <w:r w:rsidRPr="00DD7187">
        <w:rPr>
          <w:rFonts w:ascii="Times New Roman" w:hAnsi="Times New Roman" w:cs="Times New Roman"/>
          <w:i/>
          <w:lang w:val="en-US"/>
        </w:rPr>
        <w:t>The Sentimental Novel</w:t>
      </w:r>
    </w:p>
    <w:p w14:paraId="20844A26" w14:textId="3C1DEB68" w:rsidR="00346416" w:rsidRPr="00DD7187" w:rsidRDefault="00346416" w:rsidP="002C60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autoSpaceDE w:val="0"/>
        <w:autoSpaceDN w:val="0"/>
        <w:adjustRightInd w:val="0"/>
        <w:spacing w:line="480" w:lineRule="auto"/>
        <w:ind w:firstLine="700"/>
        <w:jc w:val="both"/>
        <w:rPr>
          <w:rFonts w:ascii="Times New Roman" w:hAnsi="Times New Roman" w:cs="Times New Roman"/>
          <w:lang w:val="en-US"/>
        </w:rPr>
      </w:pPr>
      <w:r w:rsidRPr="00DD7187">
        <w:rPr>
          <w:rFonts w:ascii="Times New Roman" w:hAnsi="Times New Roman" w:cs="Times New Roman"/>
          <w:lang w:val="en-US"/>
        </w:rPr>
        <w:t xml:space="preserve">My results here suggest a call back to an older school of criticism, which saw French sentimental novels— rather than German horror stories— as the forbears of the Gothic. Ernest Baker, for example, argues that “[t]he sources of Gothic romance… are to be sought in the </w:t>
      </w:r>
      <w:r w:rsidRPr="00DD7187">
        <w:rPr>
          <w:rFonts w:ascii="Times New Roman" w:hAnsi="Times New Roman" w:cs="Times New Roman"/>
          <w:lang w:val="en-US"/>
        </w:rPr>
        <w:lastRenderedPageBreak/>
        <w:t>popular variant of the fiction of sensibility evolved by the Abbé Prévost and elaborated later on by Baculard d’Arnaud. The exciting adventures, the violent emotions, the gloomy scenes, forests, and antres, castles, dungeons, and graveyards, in the abbé’s novels and the plays and stories of Baculard, were to be the distinctive features of Gothic romance throughout its course. It was all a derivative of the cult of emotion” (175).</w:t>
      </w:r>
      <w:r w:rsidR="00C512B6" w:rsidRPr="00DD7187">
        <w:rPr>
          <w:rFonts w:ascii="Times New Roman" w:hAnsi="Times New Roman" w:cs="Times New Roman"/>
          <w:lang w:val="en-US"/>
        </w:rPr>
        <w:t xml:space="preserve"> In this history of the genre, </w:t>
      </w:r>
      <w:r w:rsidRPr="00DD7187">
        <w:rPr>
          <w:rFonts w:ascii="Times New Roman" w:hAnsi="Times New Roman" w:cs="Times New Roman"/>
          <w:lang w:val="en-US"/>
        </w:rPr>
        <w:t>German influences are superficial set-dressing ra</w:t>
      </w:r>
      <w:r w:rsidR="00C512B6" w:rsidRPr="00DD7187">
        <w:rPr>
          <w:rFonts w:ascii="Times New Roman" w:hAnsi="Times New Roman" w:cs="Times New Roman"/>
          <w:lang w:val="en-US"/>
        </w:rPr>
        <w:t>ther than inherent to the genre</w:t>
      </w:r>
      <w:r w:rsidRPr="00DD7187">
        <w:rPr>
          <w:rFonts w:ascii="Times New Roman" w:hAnsi="Times New Roman" w:cs="Times New Roman"/>
          <w:lang w:val="en-US"/>
        </w:rPr>
        <w:t xml:space="preserve">: “Some novelists sought only to conjure up a witching atmosphere of awe and vague apprehension; others employed the most violent shocks of physical anguish and fear. They all dabbled in the supernatural, either playing upon or playing with feelings of superstition; and, later on, those who had become acquainted with German folk-lore and its ghosts and elves and goblins found their account in satiating the greediest appetites for crime, diabolism, and </w:t>
      </w:r>
      <w:r w:rsidR="00C512B6" w:rsidRPr="00DD7187">
        <w:rPr>
          <w:rFonts w:ascii="Times New Roman" w:hAnsi="Times New Roman" w:cs="Times New Roman"/>
          <w:lang w:val="en-US"/>
        </w:rPr>
        <w:t xml:space="preserve">nameless horrors” (Baker 176). </w:t>
      </w:r>
      <w:r w:rsidRPr="00DD7187">
        <w:rPr>
          <w:rFonts w:ascii="Times New Roman" w:hAnsi="Times New Roman" w:cs="Times New Roman"/>
          <w:lang w:val="en-US"/>
        </w:rPr>
        <w:t>Even the supernatural is relevant primarily because it allows authors to manipulate readers’ “feelings of superstition” in service</w:t>
      </w:r>
      <w:r w:rsidR="00C512B6" w:rsidRPr="00DD7187">
        <w:rPr>
          <w:rFonts w:ascii="Times New Roman" w:hAnsi="Times New Roman" w:cs="Times New Roman"/>
          <w:lang w:val="en-US"/>
        </w:rPr>
        <w:t xml:space="preserve"> of varying gradations of fear. </w:t>
      </w:r>
      <w:r w:rsidRPr="00DD7187">
        <w:rPr>
          <w:rFonts w:ascii="Times New Roman" w:hAnsi="Times New Roman" w:cs="Times New Roman"/>
          <w:lang w:val="en-US"/>
        </w:rPr>
        <w:t>What Baker is sensiti</w:t>
      </w:r>
      <w:r w:rsidR="00C512B6" w:rsidRPr="00DD7187">
        <w:rPr>
          <w:rFonts w:ascii="Times New Roman" w:hAnsi="Times New Roman" w:cs="Times New Roman"/>
          <w:lang w:val="en-US"/>
        </w:rPr>
        <w:t>ve to is the emotional content.</w:t>
      </w:r>
    </w:p>
    <w:p w14:paraId="1461258A" w14:textId="4A685EC1" w:rsidR="00346416" w:rsidRPr="00DD7187" w:rsidRDefault="00C512B6" w:rsidP="002C60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autoSpaceDE w:val="0"/>
        <w:autoSpaceDN w:val="0"/>
        <w:adjustRightInd w:val="0"/>
        <w:spacing w:line="480" w:lineRule="auto"/>
        <w:ind w:firstLine="700"/>
        <w:jc w:val="both"/>
        <w:rPr>
          <w:rFonts w:ascii="Times New Roman" w:hAnsi="Times New Roman" w:cs="Times New Roman"/>
          <w:lang w:val="en-US"/>
        </w:rPr>
      </w:pPr>
      <w:r w:rsidRPr="00DD7187">
        <w:rPr>
          <w:rFonts w:ascii="Times New Roman" w:hAnsi="Times New Roman" w:cs="Times New Roman"/>
          <w:lang w:val="en-US"/>
        </w:rPr>
        <w:t>Emotional response</w:t>
      </w:r>
      <w:r w:rsidR="00346416" w:rsidRPr="00DD7187">
        <w:rPr>
          <w:rFonts w:ascii="Times New Roman" w:hAnsi="Times New Roman" w:cs="Times New Roman"/>
          <w:lang w:val="en-US"/>
        </w:rPr>
        <w:t xml:space="preserve"> is salient as a distinguishing factor because Baker, like many of his contemporaries, writes from the teleological assumption that the history of the novel must be the history of the </w:t>
      </w:r>
      <w:r w:rsidR="00346416" w:rsidRPr="00DD7187">
        <w:rPr>
          <w:rFonts w:ascii="Times New Roman" w:hAnsi="Times New Roman" w:cs="Times New Roman"/>
          <w:i/>
          <w:iCs/>
          <w:lang w:val="en-US"/>
        </w:rPr>
        <w:t>realist</w:t>
      </w:r>
      <w:r w:rsidRPr="00DD7187">
        <w:rPr>
          <w:rFonts w:ascii="Times New Roman" w:hAnsi="Times New Roman" w:cs="Times New Roman"/>
          <w:lang w:val="en-US"/>
        </w:rPr>
        <w:t xml:space="preserve"> novel. </w:t>
      </w:r>
      <w:r w:rsidR="00346416" w:rsidRPr="00DD7187">
        <w:rPr>
          <w:rFonts w:ascii="Times New Roman" w:hAnsi="Times New Roman" w:cs="Times New Roman"/>
          <w:lang w:val="en-US"/>
        </w:rPr>
        <w:t xml:space="preserve">Baker’s approach to the Gothic is not so obviously mediated as Tracy’s or Frank’s; </w:t>
      </w:r>
      <w:r w:rsidR="001F37E3" w:rsidRPr="00DD7187">
        <w:rPr>
          <w:rFonts w:ascii="Times New Roman" w:hAnsi="Times New Roman" w:cs="Times New Roman"/>
          <w:lang w:val="en-US"/>
        </w:rPr>
        <w:t>as we would expect, Baker makes no</w:t>
      </w:r>
      <w:r w:rsidR="00346416" w:rsidRPr="00DD7187">
        <w:rPr>
          <w:rFonts w:ascii="Times New Roman" w:hAnsi="Times New Roman" w:cs="Times New Roman"/>
          <w:lang w:val="en-US"/>
        </w:rPr>
        <w:t xml:space="preserve"> </w:t>
      </w:r>
      <w:r w:rsidR="001F37E3" w:rsidRPr="00DD7187">
        <w:rPr>
          <w:rFonts w:ascii="Times New Roman" w:hAnsi="Times New Roman" w:cs="Times New Roman"/>
          <w:lang w:val="en-US"/>
        </w:rPr>
        <w:t>explicitly deformative moves, but</w:t>
      </w:r>
      <w:r w:rsidR="00346416" w:rsidRPr="00DD7187">
        <w:rPr>
          <w:rFonts w:ascii="Times New Roman" w:hAnsi="Times New Roman" w:cs="Times New Roman"/>
          <w:lang w:val="en-US"/>
        </w:rPr>
        <w:t xml:space="preserve"> proc</w:t>
      </w:r>
      <w:r w:rsidRPr="00DD7187">
        <w:rPr>
          <w:rFonts w:ascii="Times New Roman" w:hAnsi="Times New Roman" w:cs="Times New Roman"/>
          <w:lang w:val="en-US"/>
        </w:rPr>
        <w:t xml:space="preserve">eeds </w:t>
      </w:r>
      <w:r w:rsidR="00346416" w:rsidRPr="00DD7187">
        <w:rPr>
          <w:rFonts w:ascii="Times New Roman" w:hAnsi="Times New Roman" w:cs="Times New Roman"/>
          <w:lang w:val="en-US"/>
        </w:rPr>
        <w:t xml:space="preserve">by </w:t>
      </w:r>
      <w:r w:rsidRPr="00DD7187">
        <w:rPr>
          <w:rFonts w:ascii="Times New Roman" w:hAnsi="Times New Roman" w:cs="Times New Roman"/>
          <w:lang w:val="en-US"/>
        </w:rPr>
        <w:t>discussing</w:t>
      </w:r>
      <w:r w:rsidR="00346416" w:rsidRPr="00DD7187">
        <w:rPr>
          <w:rFonts w:ascii="Times New Roman" w:hAnsi="Times New Roman" w:cs="Times New Roman"/>
          <w:lang w:val="en-US"/>
        </w:rPr>
        <w:t xml:space="preserve"> to the text</w:t>
      </w:r>
      <w:r w:rsidRPr="00DD7187">
        <w:rPr>
          <w:rFonts w:ascii="Times New Roman" w:hAnsi="Times New Roman" w:cs="Times New Roman"/>
          <w:lang w:val="en-US"/>
        </w:rPr>
        <w:t>s themselves in their entirety</w:t>
      </w:r>
      <w:r w:rsidR="00346416" w:rsidRPr="00DD7187">
        <w:rPr>
          <w:rFonts w:ascii="Times New Roman" w:hAnsi="Times New Roman" w:cs="Times New Roman"/>
          <w:lang w:val="en-US"/>
        </w:rPr>
        <w:t>. However, as Leah Price observes, it is impossible for human memory to hold an entire novel at once, let alone</w:t>
      </w:r>
      <w:r w:rsidR="001F37E3" w:rsidRPr="00DD7187">
        <w:rPr>
          <w:rFonts w:ascii="Times New Roman" w:hAnsi="Times New Roman" w:cs="Times New Roman"/>
          <w:lang w:val="en-US"/>
        </w:rPr>
        <w:t xml:space="preserve"> the whole history of the novel.</w:t>
      </w:r>
      <w:r w:rsidRPr="00DD7187">
        <w:rPr>
          <w:rFonts w:ascii="Times New Roman" w:hAnsi="Times New Roman" w:cs="Times New Roman"/>
          <w:lang w:val="en-US"/>
        </w:rPr>
        <w:t xml:space="preserve"> Baker, like any scholar, must </w:t>
      </w:r>
      <w:r w:rsidR="00346416" w:rsidRPr="00DD7187">
        <w:rPr>
          <w:rFonts w:ascii="Times New Roman" w:hAnsi="Times New Roman" w:cs="Times New Roman"/>
          <w:lang w:val="en-US"/>
        </w:rPr>
        <w:t>mentally abridge th</w:t>
      </w:r>
      <w:r w:rsidRPr="00DD7187">
        <w:rPr>
          <w:rFonts w:ascii="Times New Roman" w:hAnsi="Times New Roman" w:cs="Times New Roman"/>
          <w:lang w:val="en-US"/>
        </w:rPr>
        <w:t xml:space="preserve">e novels as he writes about them, </w:t>
      </w:r>
      <w:r w:rsidR="00346416" w:rsidRPr="00DD7187">
        <w:rPr>
          <w:rFonts w:ascii="Times New Roman" w:hAnsi="Times New Roman" w:cs="Times New Roman"/>
          <w:lang w:val="en-US"/>
        </w:rPr>
        <w:t>and his abridgements take for granted the idea that the ‘goal’ of the no</w:t>
      </w:r>
      <w:r w:rsidRPr="00DD7187">
        <w:rPr>
          <w:rFonts w:ascii="Times New Roman" w:hAnsi="Times New Roman" w:cs="Times New Roman"/>
          <w:lang w:val="en-US"/>
        </w:rPr>
        <w:t xml:space="preserve">vel itself is to become realist. </w:t>
      </w:r>
      <w:r w:rsidR="00346416" w:rsidRPr="00DD7187">
        <w:rPr>
          <w:rFonts w:ascii="Times New Roman" w:hAnsi="Times New Roman" w:cs="Times New Roman"/>
          <w:lang w:val="en-US"/>
        </w:rPr>
        <w:t>Because Baker</w:t>
      </w:r>
      <w:r w:rsidRPr="00DD7187">
        <w:rPr>
          <w:rFonts w:ascii="Times New Roman" w:hAnsi="Times New Roman" w:cs="Times New Roman"/>
          <w:lang w:val="en-US"/>
        </w:rPr>
        <w:t>’s criticism</w:t>
      </w:r>
      <w:r w:rsidR="00346416" w:rsidRPr="00DD7187">
        <w:rPr>
          <w:rFonts w:ascii="Times New Roman" w:hAnsi="Times New Roman" w:cs="Times New Roman"/>
          <w:lang w:val="en-US"/>
        </w:rPr>
        <w:t xml:space="preserve"> does not “[bare] its devices” (Samuels and McGann </w:t>
      </w:r>
      <w:r w:rsidR="00346416" w:rsidRPr="00DD7187">
        <w:rPr>
          <w:rFonts w:ascii="Times New Roman" w:hAnsi="Times New Roman" w:cs="Times New Roman"/>
          <w:lang w:val="en-US"/>
        </w:rPr>
        <w:lastRenderedPageBreak/>
        <w:t xml:space="preserve">49), </w:t>
      </w:r>
      <w:r w:rsidR="001F37E3" w:rsidRPr="00DD7187">
        <w:rPr>
          <w:rFonts w:ascii="Times New Roman" w:hAnsi="Times New Roman" w:cs="Times New Roman"/>
          <w:lang w:val="en-US"/>
        </w:rPr>
        <w:t>his</w:t>
      </w:r>
      <w:r w:rsidR="00346416" w:rsidRPr="00DD7187">
        <w:rPr>
          <w:rFonts w:ascii="Times New Roman" w:hAnsi="Times New Roman" w:cs="Times New Roman"/>
          <w:lang w:val="en-US"/>
        </w:rPr>
        <w:t xml:space="preserve"> </w:t>
      </w:r>
      <w:r w:rsidR="001F37E3" w:rsidRPr="00DD7187">
        <w:rPr>
          <w:rFonts w:ascii="Times New Roman" w:hAnsi="Times New Roman" w:cs="Times New Roman"/>
          <w:lang w:val="en-US"/>
        </w:rPr>
        <w:t>assumptions remain</w:t>
      </w:r>
      <w:r w:rsidR="00346416" w:rsidRPr="00DD7187">
        <w:rPr>
          <w:rFonts w:ascii="Times New Roman" w:hAnsi="Times New Roman" w:cs="Times New Roman"/>
          <w:lang w:val="en-US"/>
        </w:rPr>
        <w:t xml:space="preserve"> implicit in the moralizin</w:t>
      </w:r>
      <w:r w:rsidRPr="00DD7187">
        <w:rPr>
          <w:rFonts w:ascii="Times New Roman" w:hAnsi="Times New Roman" w:cs="Times New Roman"/>
          <w:lang w:val="en-US"/>
        </w:rPr>
        <w:t xml:space="preserve">g </w:t>
      </w:r>
      <w:r w:rsidR="00C17FD8" w:rsidRPr="00DD7187">
        <w:rPr>
          <w:rFonts w:ascii="Times New Roman" w:hAnsi="Times New Roman" w:cs="Times New Roman"/>
          <w:lang w:val="en-US"/>
        </w:rPr>
        <w:t>judgments</w:t>
      </w:r>
      <w:r w:rsidRPr="00DD7187">
        <w:rPr>
          <w:rFonts w:ascii="Times New Roman" w:hAnsi="Times New Roman" w:cs="Times New Roman"/>
          <w:lang w:val="en-US"/>
        </w:rPr>
        <w:t xml:space="preserve"> throughout his work.</w:t>
      </w:r>
      <w:r w:rsidR="00346416" w:rsidRPr="00DD7187">
        <w:rPr>
          <w:rFonts w:ascii="Times New Roman" w:hAnsi="Times New Roman" w:cs="Times New Roman"/>
          <w:lang w:val="en-US"/>
        </w:rPr>
        <w:t xml:space="preserve">  Baker’s excoriation of “that amoral person [Laurence] Sterne” for being a “debauched sentimentalist” who “fondled his sensibility,” “aware of his vice, and voluptuously enjoying all its sweetness” (95), for example, evaluates </w:t>
      </w:r>
      <w:r w:rsidR="00346416" w:rsidRPr="00DD7187">
        <w:rPr>
          <w:rFonts w:ascii="Times New Roman" w:hAnsi="Times New Roman" w:cs="Times New Roman"/>
          <w:i/>
          <w:iCs/>
          <w:lang w:val="en-US"/>
        </w:rPr>
        <w:t>Tristram Shandy</w:t>
      </w:r>
      <w:r w:rsidR="00346416" w:rsidRPr="00DD7187">
        <w:rPr>
          <w:rFonts w:ascii="Times New Roman" w:hAnsi="Times New Roman" w:cs="Times New Roman"/>
          <w:lang w:val="en-US"/>
        </w:rPr>
        <w:t xml:space="preserve"> along markedly different lines than would n</w:t>
      </w:r>
      <w:r w:rsidRPr="00DD7187">
        <w:rPr>
          <w:rFonts w:ascii="Times New Roman" w:hAnsi="Times New Roman" w:cs="Times New Roman"/>
          <w:lang w:val="en-US"/>
        </w:rPr>
        <w:t>ow be considered fruitful; his research into the particular connections between works and schools of writing</w:t>
      </w:r>
      <w:r w:rsidR="00346416" w:rsidRPr="00DD7187">
        <w:rPr>
          <w:rFonts w:ascii="Times New Roman" w:hAnsi="Times New Roman" w:cs="Times New Roman"/>
          <w:lang w:val="en-US"/>
        </w:rPr>
        <w:t xml:space="preserve"> is not easily divorced from</w:t>
      </w:r>
      <w:r w:rsidRPr="00DD7187">
        <w:rPr>
          <w:rFonts w:ascii="Times New Roman" w:hAnsi="Times New Roman" w:cs="Times New Roman"/>
          <w:lang w:val="en-US"/>
        </w:rPr>
        <w:t xml:space="preserve"> its foundations</w:t>
      </w:r>
      <w:r w:rsidR="00346416" w:rsidRPr="00DD7187">
        <w:rPr>
          <w:rFonts w:ascii="Times New Roman" w:hAnsi="Times New Roman" w:cs="Times New Roman"/>
          <w:lang w:val="en-US"/>
        </w:rPr>
        <w:t xml:space="preserve">. J.M.S. </w:t>
      </w:r>
      <w:r w:rsidR="00C17FD8" w:rsidRPr="00DD7187">
        <w:rPr>
          <w:rFonts w:ascii="Times New Roman" w:hAnsi="Times New Roman" w:cs="Times New Roman"/>
          <w:lang w:val="en-US"/>
        </w:rPr>
        <w:t>Tompkins</w:t>
      </w:r>
      <w:r w:rsidRPr="00DD7187">
        <w:rPr>
          <w:rFonts w:ascii="Times New Roman" w:hAnsi="Times New Roman" w:cs="Times New Roman"/>
          <w:lang w:val="en-US"/>
        </w:rPr>
        <w:t xml:space="preserve">, too, dismisses the Gothic </w:t>
      </w:r>
      <w:r w:rsidR="00346416" w:rsidRPr="00DD7187">
        <w:rPr>
          <w:rFonts w:ascii="Times New Roman" w:hAnsi="Times New Roman" w:cs="Times New Roman"/>
          <w:lang w:val="en-US"/>
        </w:rPr>
        <w:t>on the basi</w:t>
      </w:r>
      <w:r w:rsidRPr="00DD7187">
        <w:rPr>
          <w:rFonts w:ascii="Times New Roman" w:hAnsi="Times New Roman" w:cs="Times New Roman"/>
          <w:lang w:val="en-US"/>
        </w:rPr>
        <w:t>s of these kinds of assumptions</w:t>
      </w:r>
      <w:r w:rsidR="00346416" w:rsidRPr="00DD7187">
        <w:rPr>
          <w:rFonts w:ascii="Times New Roman" w:hAnsi="Times New Roman" w:cs="Times New Roman"/>
          <w:lang w:val="en-US"/>
        </w:rPr>
        <w:t>: with the rise of the Gothic, she says, “the average novelist paid, on the whole, very little attention to the probable, and the novel in consequence slipped farther away from reality, as though a window on to the other world had been changed to a magic lante</w:t>
      </w:r>
      <w:r w:rsidRPr="00DD7187">
        <w:rPr>
          <w:rFonts w:ascii="Times New Roman" w:hAnsi="Times New Roman" w:cs="Times New Roman"/>
          <w:lang w:val="en-US"/>
        </w:rPr>
        <w:t xml:space="preserve">rn" (57). </w:t>
      </w:r>
      <w:r w:rsidR="00346416" w:rsidRPr="00DD7187">
        <w:rPr>
          <w:rFonts w:ascii="Times New Roman" w:hAnsi="Times New Roman" w:cs="Times New Roman"/>
          <w:lang w:val="en-US"/>
        </w:rPr>
        <w:t>Both critics model the novel itself as a training-ground for the mind, through which habits of thought are established, and which therefore ought to inculcate</w:t>
      </w:r>
      <w:r w:rsidRPr="00DD7187">
        <w:rPr>
          <w:rFonts w:ascii="Times New Roman" w:hAnsi="Times New Roman" w:cs="Times New Roman"/>
          <w:lang w:val="en-US"/>
        </w:rPr>
        <w:t xml:space="preserve"> the ‘right’ mode of thought. </w:t>
      </w:r>
      <w:r w:rsidR="00346416" w:rsidRPr="00DD7187">
        <w:rPr>
          <w:rFonts w:ascii="Times New Roman" w:hAnsi="Times New Roman" w:cs="Times New Roman"/>
          <w:lang w:val="en-US"/>
        </w:rPr>
        <w:t>Accordingly, both model the Gothic as a dangerously emotional and disordered mode of thought, notable not for its plots or sets or even the kinds of emotions induced, but f</w:t>
      </w:r>
      <w:r w:rsidRPr="00DD7187">
        <w:rPr>
          <w:rFonts w:ascii="Times New Roman" w:hAnsi="Times New Roman" w:cs="Times New Roman"/>
          <w:lang w:val="en-US"/>
        </w:rPr>
        <w:t xml:space="preserve">or the overpowering </w:t>
      </w:r>
      <w:r w:rsidR="00152854" w:rsidRPr="00DD7187">
        <w:rPr>
          <w:rFonts w:ascii="Times New Roman" w:hAnsi="Times New Roman" w:cs="Times New Roman"/>
          <w:lang w:val="en-US"/>
        </w:rPr>
        <w:t xml:space="preserve">nature of the reading </w:t>
      </w:r>
      <w:r w:rsidRPr="00DD7187">
        <w:rPr>
          <w:rFonts w:ascii="Times New Roman" w:hAnsi="Times New Roman" w:cs="Times New Roman"/>
          <w:lang w:val="en-US"/>
        </w:rPr>
        <w:t>experience.</w:t>
      </w:r>
    </w:p>
    <w:p w14:paraId="6DE9CF4F" w14:textId="360E43F6" w:rsidR="00346416" w:rsidRPr="00DD7187" w:rsidRDefault="00346416" w:rsidP="002C60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autoSpaceDE w:val="0"/>
        <w:autoSpaceDN w:val="0"/>
        <w:adjustRightInd w:val="0"/>
        <w:spacing w:line="480" w:lineRule="auto"/>
        <w:ind w:firstLine="700"/>
        <w:jc w:val="both"/>
        <w:rPr>
          <w:rFonts w:ascii="Times New Roman" w:hAnsi="Times New Roman" w:cs="Times New Roman"/>
          <w:lang w:val="en-US"/>
        </w:rPr>
      </w:pPr>
      <w:r w:rsidRPr="00DD7187">
        <w:rPr>
          <w:rFonts w:ascii="Times New Roman" w:hAnsi="Times New Roman" w:cs="Times New Roman"/>
          <w:lang w:val="en-US"/>
        </w:rPr>
        <w:t xml:space="preserve">In </w:t>
      </w:r>
      <w:r w:rsidRPr="00DD7187">
        <w:rPr>
          <w:rFonts w:ascii="Times New Roman" w:hAnsi="Times New Roman" w:cs="Times New Roman"/>
          <w:highlight w:val="cyan"/>
          <w:lang w:val="en-US"/>
        </w:rPr>
        <w:t>this</w:t>
      </w:r>
      <w:r w:rsidRPr="00DD7187">
        <w:rPr>
          <w:rFonts w:ascii="Times New Roman" w:hAnsi="Times New Roman" w:cs="Times New Roman"/>
          <w:lang w:val="en-US"/>
        </w:rPr>
        <w:t xml:space="preserve"> model, the Gothic is defined as a spectrum of sentiment, sensation, and sensibility — all of which, Baker argues, are distinguished from each other only by “intensification”, and not in terms of fundamental type (120). </w:t>
      </w:r>
      <w:r w:rsidR="00C17FD8" w:rsidRPr="00DD7187">
        <w:rPr>
          <w:rFonts w:ascii="Times New Roman" w:hAnsi="Times New Roman" w:cs="Times New Roman"/>
          <w:lang w:val="en-US"/>
        </w:rPr>
        <w:t>Tompkins</w:t>
      </w:r>
      <w:r w:rsidRPr="00DD7187">
        <w:rPr>
          <w:rFonts w:ascii="Times New Roman" w:hAnsi="Times New Roman" w:cs="Times New Roman"/>
          <w:lang w:val="en-US"/>
        </w:rPr>
        <w:t>, too, argues that ‘fantastic’ plot elements did not render the Gothic a fundamentally different sort of story than those which preceded it: in the Gothic, she argues, "the accepted themes were repeated in a shallower tone and overlaid with all the romantic incidents of disguise, abduction, lost heirs and mistaken identity, which had been for hundreds of years the story-teller's stock in trade”</w:t>
      </w:r>
      <w:r w:rsidR="00C512B6" w:rsidRPr="00DD7187">
        <w:rPr>
          <w:rFonts w:ascii="Times New Roman" w:hAnsi="Times New Roman" w:cs="Times New Roman"/>
          <w:lang w:val="en-US"/>
        </w:rPr>
        <w:t xml:space="preserve"> (57), rendering these stories </w:t>
      </w:r>
      <w:r w:rsidRPr="00DD7187">
        <w:rPr>
          <w:rFonts w:ascii="Times New Roman" w:hAnsi="Times New Roman" w:cs="Times New Roman"/>
          <w:lang w:val="en-US"/>
        </w:rPr>
        <w:t>functionally the same as what s</w:t>
      </w:r>
      <w:r w:rsidR="00C512B6" w:rsidRPr="00DD7187">
        <w:rPr>
          <w:rFonts w:ascii="Times New Roman" w:hAnsi="Times New Roman" w:cs="Times New Roman"/>
          <w:lang w:val="en-US"/>
        </w:rPr>
        <w:t xml:space="preserve">he terms the sensational novel. </w:t>
      </w:r>
      <w:r w:rsidRPr="00DD7187">
        <w:rPr>
          <w:rFonts w:ascii="Times New Roman" w:hAnsi="Times New Roman" w:cs="Times New Roman"/>
          <w:lang w:val="en-US"/>
        </w:rPr>
        <w:t>We can reject their realist teleology without rejecting this sen</w:t>
      </w:r>
      <w:r w:rsidR="00C512B6" w:rsidRPr="00DD7187">
        <w:rPr>
          <w:rFonts w:ascii="Times New Roman" w:hAnsi="Times New Roman" w:cs="Times New Roman"/>
          <w:lang w:val="en-US"/>
        </w:rPr>
        <w:t xml:space="preserve">sitivity to emotional response. </w:t>
      </w:r>
      <w:r w:rsidRPr="00DD7187">
        <w:rPr>
          <w:rFonts w:ascii="Times New Roman" w:hAnsi="Times New Roman" w:cs="Times New Roman"/>
          <w:lang w:val="en-US"/>
        </w:rPr>
        <w:t xml:space="preserve">Doing so allows us to better place the Gothic in </w:t>
      </w:r>
      <w:r w:rsidRPr="00DD7187">
        <w:rPr>
          <w:rFonts w:ascii="Times New Roman" w:hAnsi="Times New Roman" w:cs="Times New Roman"/>
          <w:lang w:val="en-US"/>
        </w:rPr>
        <w:lastRenderedPageBreak/>
        <w:t>context with oth</w:t>
      </w:r>
      <w:r w:rsidR="00152854" w:rsidRPr="00DD7187">
        <w:rPr>
          <w:rFonts w:ascii="Times New Roman" w:hAnsi="Times New Roman" w:cs="Times New Roman"/>
          <w:lang w:val="en-US"/>
        </w:rPr>
        <w:t xml:space="preserve">er eighteenth century works, such that the Gothic </w:t>
      </w:r>
      <w:r w:rsidRPr="00DD7187">
        <w:rPr>
          <w:rFonts w:ascii="Times New Roman" w:hAnsi="Times New Roman" w:cs="Times New Roman"/>
          <w:lang w:val="en-US"/>
        </w:rPr>
        <w:t xml:space="preserve">participates directly in </w:t>
      </w:r>
      <w:r w:rsidR="00C17FD8" w:rsidRPr="00DD7187">
        <w:rPr>
          <w:rFonts w:ascii="Times New Roman" w:hAnsi="Times New Roman" w:cs="Times New Roman"/>
          <w:lang w:val="en-US"/>
        </w:rPr>
        <w:t>Enlightenment</w:t>
      </w:r>
      <w:r w:rsidRPr="00DD7187">
        <w:rPr>
          <w:rFonts w:ascii="Times New Roman" w:hAnsi="Times New Roman" w:cs="Times New Roman"/>
          <w:lang w:val="en-US"/>
        </w:rPr>
        <w:t xml:space="preserve"> conversations abou</w:t>
      </w:r>
      <w:r w:rsidR="00C512B6" w:rsidRPr="00DD7187">
        <w:rPr>
          <w:rFonts w:ascii="Times New Roman" w:hAnsi="Times New Roman" w:cs="Times New Roman"/>
          <w:lang w:val="en-US"/>
        </w:rPr>
        <w:t xml:space="preserve">t human nature and rationality. </w:t>
      </w:r>
      <w:r w:rsidRPr="00DD7187">
        <w:rPr>
          <w:rFonts w:ascii="Times New Roman" w:hAnsi="Times New Roman" w:cs="Times New Roman"/>
          <w:lang w:val="en-US"/>
        </w:rPr>
        <w:t>It also allows us to see the ‘school of Radcliffe’ in a new light, returning to Clara McIntyre’s assessment that “</w:t>
      </w:r>
      <w:r w:rsidR="00152854" w:rsidRPr="00DD7187">
        <w:rPr>
          <w:rFonts w:ascii="Times New Roman" w:hAnsi="Times New Roman" w:cs="Times New Roman"/>
          <w:lang w:val="en-US"/>
        </w:rPr>
        <w:t>[Radcliffe’s]</w:t>
      </w:r>
      <w:r w:rsidRPr="00DD7187">
        <w:rPr>
          <w:rFonts w:ascii="Times New Roman" w:hAnsi="Times New Roman" w:cs="Times New Roman"/>
          <w:lang w:val="en-US"/>
        </w:rPr>
        <w:t xml:space="preserve"> most important contribution is a matter not of theme, but of structure” (77), </w:t>
      </w:r>
      <w:r w:rsidR="00C512B6" w:rsidRPr="00DD7187">
        <w:rPr>
          <w:rFonts w:ascii="Times New Roman" w:hAnsi="Times New Roman" w:cs="Times New Roman"/>
          <w:lang w:val="en-US"/>
        </w:rPr>
        <w:t>in her development of suspense.</w:t>
      </w:r>
    </w:p>
    <w:p w14:paraId="5C51FD6C" w14:textId="5073F5E5" w:rsidR="00152854" w:rsidRPr="00DD7187" w:rsidRDefault="00152854" w:rsidP="002C60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autoSpaceDE w:val="0"/>
        <w:autoSpaceDN w:val="0"/>
        <w:adjustRightInd w:val="0"/>
        <w:spacing w:line="480" w:lineRule="auto"/>
        <w:ind w:firstLine="700"/>
        <w:jc w:val="both"/>
        <w:rPr>
          <w:rFonts w:ascii="Times New Roman" w:hAnsi="Times New Roman" w:cs="Times New Roman"/>
          <w:lang w:val="en-US"/>
        </w:rPr>
      </w:pPr>
      <w:r w:rsidRPr="00DD7187">
        <w:rPr>
          <w:rFonts w:ascii="Times New Roman" w:hAnsi="Times New Roman" w:cs="Times New Roman"/>
          <w:highlight w:val="cyan"/>
          <w:lang w:val="en-US"/>
        </w:rPr>
        <w:t>[It would be REALLY good to have some more examples here of what all this actually means.]</w:t>
      </w:r>
    </w:p>
    <w:p w14:paraId="4ADB7278" w14:textId="15A43EB6" w:rsidR="00E3729F" w:rsidRDefault="00346416" w:rsidP="00E372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autoSpaceDE w:val="0"/>
        <w:autoSpaceDN w:val="0"/>
        <w:adjustRightInd w:val="0"/>
        <w:spacing w:line="480" w:lineRule="auto"/>
        <w:ind w:firstLine="700"/>
        <w:jc w:val="both"/>
        <w:rPr>
          <w:rFonts w:ascii="Times New Roman" w:hAnsi="Times New Roman" w:cs="Times New Roman"/>
          <w:lang w:val="en-US"/>
        </w:rPr>
      </w:pPr>
      <w:r w:rsidRPr="00DD7187">
        <w:rPr>
          <w:rFonts w:ascii="Times New Roman" w:hAnsi="Times New Roman" w:cs="Times New Roman"/>
          <w:lang w:val="en-US"/>
        </w:rPr>
        <w:t>My method has been, in its assumptions, necessarily historicist — sensitive not to retroactive critical distinctions, but attempting to describe a body of</w:t>
      </w:r>
      <w:r w:rsidR="00C512B6" w:rsidRPr="00DD7187">
        <w:rPr>
          <w:rFonts w:ascii="Times New Roman" w:hAnsi="Times New Roman" w:cs="Times New Roman"/>
          <w:lang w:val="en-US"/>
        </w:rPr>
        <w:t xml:space="preserve"> works as it relates to itself. </w:t>
      </w:r>
      <w:r w:rsidRPr="00DD7187">
        <w:rPr>
          <w:rFonts w:ascii="Times New Roman" w:hAnsi="Times New Roman" w:cs="Times New Roman"/>
          <w:lang w:val="en-US"/>
        </w:rPr>
        <w:t>I have chosen not to ask what qualities will cause a novel to be categorized by my bibliographers as ‘Gothic,’ but rather what constit</w:t>
      </w:r>
      <w:r w:rsidR="00C512B6" w:rsidRPr="00DD7187">
        <w:rPr>
          <w:rFonts w:ascii="Times New Roman" w:hAnsi="Times New Roman" w:cs="Times New Roman"/>
          <w:lang w:val="en-US"/>
        </w:rPr>
        <w:t xml:space="preserve">utes ‘normal’ within this pool. </w:t>
      </w:r>
      <w:r w:rsidRPr="00DD7187">
        <w:rPr>
          <w:rFonts w:ascii="Times New Roman" w:hAnsi="Times New Roman" w:cs="Times New Roman"/>
          <w:lang w:val="en-US"/>
        </w:rPr>
        <w:t xml:space="preserve">In doing so, I have found evidence at various points of both a Male Gothic and a Female Gothic that are in keeping </w:t>
      </w:r>
      <w:r w:rsidR="00C512B6" w:rsidRPr="00DD7187">
        <w:rPr>
          <w:rFonts w:ascii="Times New Roman" w:hAnsi="Times New Roman" w:cs="Times New Roman"/>
          <w:lang w:val="en-US"/>
        </w:rPr>
        <w:t xml:space="preserve">with some critical conceptions. </w:t>
      </w:r>
      <w:r w:rsidRPr="00DD7187">
        <w:rPr>
          <w:rFonts w:ascii="Times New Roman" w:hAnsi="Times New Roman" w:cs="Times New Roman"/>
          <w:lang w:val="en-US"/>
        </w:rPr>
        <w:t>However, I remain persuaded that the most striking result is the large body of works that fall into neither category, and the unbalanced or awkwardly non-parallel nature of any binary disti</w:t>
      </w:r>
      <w:r w:rsidR="00C512B6" w:rsidRPr="00DD7187">
        <w:rPr>
          <w:rFonts w:ascii="Times New Roman" w:hAnsi="Times New Roman" w:cs="Times New Roman"/>
          <w:lang w:val="en-US"/>
        </w:rPr>
        <w:t xml:space="preserve">nctions one might wish to draw. </w:t>
      </w:r>
      <w:r w:rsidRPr="00DD7187">
        <w:rPr>
          <w:rFonts w:ascii="Times New Roman" w:hAnsi="Times New Roman" w:cs="Times New Roman"/>
          <w:lang w:val="en-US"/>
        </w:rPr>
        <w:t xml:space="preserve">McCarty argues that “a good model can be fruitful in two ways: either by fulfilling our expectations, and so strengthening its theoretical basis, or by violating them, and so bringing that basis into question” — of these, he says, </w:t>
      </w:r>
      <w:commentRangeStart w:id="2"/>
      <w:r w:rsidRPr="00DD7187">
        <w:rPr>
          <w:rFonts w:ascii="Times New Roman" w:hAnsi="Times New Roman" w:cs="Times New Roman"/>
          <w:lang w:val="en-US"/>
        </w:rPr>
        <w:t xml:space="preserve">“failure to give us what we expect is by far the more important result” </w:t>
      </w:r>
      <w:commentRangeEnd w:id="2"/>
      <w:r w:rsidR="00152854" w:rsidRPr="00DD7187">
        <w:rPr>
          <w:rStyle w:val="CommentReference"/>
          <w:rFonts w:ascii="Times New Roman" w:hAnsi="Times New Roman" w:cs="Times New Roman"/>
        </w:rPr>
        <w:commentReference w:id="2"/>
      </w:r>
      <w:r w:rsidRPr="00DD7187">
        <w:rPr>
          <w:rFonts w:ascii="Times New Roman" w:hAnsi="Times New Roman" w:cs="Times New Roman"/>
          <w:lang w:val="en-US"/>
        </w:rPr>
        <w:t>(</w:t>
      </w:r>
      <w:r w:rsidR="00C512B6" w:rsidRPr="00DD7187">
        <w:rPr>
          <w:rFonts w:ascii="Times New Roman" w:hAnsi="Times New Roman" w:cs="Times New Roman"/>
          <w:lang w:val="en-US"/>
        </w:rPr>
        <w:t xml:space="preserve">McCarty). </w:t>
      </w:r>
      <w:r w:rsidRPr="00DD7187">
        <w:rPr>
          <w:rFonts w:ascii="Times New Roman" w:hAnsi="Times New Roman" w:cs="Times New Roman"/>
          <w:lang w:val="en-US"/>
        </w:rPr>
        <w:t>Accordingly, my failure to find a an obvious or stable gender divide within the Gothic is valuable as evidence that in the broadest context of the Gothic, the conversati</w:t>
      </w:r>
      <w:r w:rsidR="00C512B6" w:rsidRPr="00DD7187">
        <w:rPr>
          <w:rFonts w:ascii="Times New Roman" w:hAnsi="Times New Roman" w:cs="Times New Roman"/>
          <w:lang w:val="en-US"/>
        </w:rPr>
        <w:t>on occurring between novels is not driven by</w:t>
      </w:r>
      <w:r w:rsidR="003C4F9E" w:rsidRPr="00DD7187">
        <w:rPr>
          <w:rFonts w:ascii="Times New Roman" w:hAnsi="Times New Roman" w:cs="Times New Roman"/>
          <w:lang w:val="en-US"/>
        </w:rPr>
        <w:t xml:space="preserve"> authorial</w:t>
      </w:r>
      <w:r w:rsidR="00C512B6" w:rsidRPr="00DD7187">
        <w:rPr>
          <w:rFonts w:ascii="Times New Roman" w:hAnsi="Times New Roman" w:cs="Times New Roman"/>
          <w:lang w:val="en-US"/>
        </w:rPr>
        <w:t xml:space="preserve"> gender.</w:t>
      </w:r>
    </w:p>
    <w:p w14:paraId="6013B512" w14:textId="649E88E8" w:rsidR="004176EF" w:rsidRPr="00DD7187" w:rsidRDefault="00E3729F" w:rsidP="000175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autoSpaceDE w:val="0"/>
        <w:autoSpaceDN w:val="0"/>
        <w:adjustRightInd w:val="0"/>
        <w:spacing w:line="480" w:lineRule="auto"/>
        <w:ind w:firstLine="700"/>
        <w:jc w:val="center"/>
        <w:rPr>
          <w:rFonts w:ascii="Times New Roman" w:hAnsi="Times New Roman" w:cs="Times New Roman"/>
          <w:lang w:val="en-US"/>
        </w:rPr>
      </w:pPr>
      <w:r>
        <w:rPr>
          <w:rFonts w:ascii="Times New Roman" w:hAnsi="Times New Roman" w:cs="Times New Roman"/>
          <w:b/>
          <w:lang w:val="en-US"/>
        </w:rPr>
        <w:br w:type="page"/>
      </w:r>
      <w:r w:rsidR="004176EF" w:rsidRPr="00DD7187">
        <w:rPr>
          <w:rFonts w:ascii="Times New Roman" w:hAnsi="Times New Roman" w:cs="Times New Roman"/>
          <w:b/>
          <w:lang w:val="en-US"/>
        </w:rPr>
        <w:lastRenderedPageBreak/>
        <w:t>Works Cited</w:t>
      </w:r>
    </w:p>
    <w:p w14:paraId="6F166FB1" w14:textId="77777777" w:rsidR="00346416" w:rsidRPr="00DD7187" w:rsidRDefault="00346416" w:rsidP="002C60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autoSpaceDE w:val="0"/>
        <w:autoSpaceDN w:val="0"/>
        <w:adjustRightInd w:val="0"/>
        <w:spacing w:line="480" w:lineRule="auto"/>
        <w:ind w:left="720" w:hanging="720"/>
        <w:jc w:val="both"/>
        <w:rPr>
          <w:rFonts w:ascii="Times New Roman" w:hAnsi="Times New Roman" w:cs="Times New Roman"/>
          <w:lang w:val="en-US"/>
        </w:rPr>
      </w:pPr>
      <w:r w:rsidRPr="00DD7187">
        <w:rPr>
          <w:rFonts w:ascii="Times New Roman" w:hAnsi="Times New Roman" w:cs="Times New Roman"/>
          <w:lang w:val="en-US"/>
        </w:rPr>
        <w:t xml:space="preserve">Baker, Ernest A. </w:t>
      </w:r>
      <w:r w:rsidRPr="00DD7187">
        <w:rPr>
          <w:rFonts w:ascii="Times New Roman" w:hAnsi="Times New Roman" w:cs="Times New Roman"/>
          <w:i/>
          <w:iCs/>
          <w:lang w:val="en-US"/>
        </w:rPr>
        <w:t>The History of the English Novel: Volume V, The Novel of Sentiment and the Gothic Romance</w:t>
      </w:r>
      <w:r w:rsidRPr="00DD7187">
        <w:rPr>
          <w:rFonts w:ascii="Times New Roman" w:hAnsi="Times New Roman" w:cs="Times New Roman"/>
          <w:lang w:val="en-US"/>
        </w:rPr>
        <w:t>. 1929. New York: Barnes &amp; Noble, 1950. Print.</w:t>
      </w:r>
    </w:p>
    <w:p w14:paraId="4AC7D8AE" w14:textId="77777777" w:rsidR="00346416" w:rsidRPr="00DD7187" w:rsidRDefault="00346416" w:rsidP="002C60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autoSpaceDE w:val="0"/>
        <w:autoSpaceDN w:val="0"/>
        <w:adjustRightInd w:val="0"/>
        <w:spacing w:line="480" w:lineRule="auto"/>
        <w:ind w:left="720" w:hanging="720"/>
        <w:jc w:val="both"/>
        <w:rPr>
          <w:rFonts w:ascii="Times New Roman" w:hAnsi="Times New Roman" w:cs="Times New Roman"/>
          <w:lang w:val="en-US"/>
        </w:rPr>
      </w:pPr>
      <w:r w:rsidRPr="00DD7187">
        <w:rPr>
          <w:rFonts w:ascii="Times New Roman" w:hAnsi="Times New Roman" w:cs="Times New Roman"/>
          <w:lang w:val="en-US"/>
        </w:rPr>
        <w:t>Drucker, Joanna. "Humanities Approaches to Graphical Display."</w:t>
      </w:r>
      <w:r w:rsidRPr="00DD7187">
        <w:rPr>
          <w:rFonts w:ascii="Times New Roman" w:hAnsi="Times New Roman" w:cs="Times New Roman"/>
          <w:i/>
          <w:iCs/>
          <w:lang w:val="en-US"/>
        </w:rPr>
        <w:t xml:space="preserve"> Digital Humanities Quarterly</w:t>
      </w:r>
      <w:r w:rsidRPr="00DD7187">
        <w:rPr>
          <w:rFonts w:ascii="Times New Roman" w:hAnsi="Times New Roman" w:cs="Times New Roman"/>
          <w:lang w:val="en-US"/>
        </w:rPr>
        <w:t xml:space="preserve"> 5.1 (2011): n. pag. Web. 17 March 2014.</w:t>
      </w:r>
    </w:p>
    <w:p w14:paraId="6FD05CF5" w14:textId="77777777" w:rsidR="00346416" w:rsidRPr="00DD7187" w:rsidRDefault="00346416" w:rsidP="002C60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autoSpaceDE w:val="0"/>
        <w:autoSpaceDN w:val="0"/>
        <w:adjustRightInd w:val="0"/>
        <w:spacing w:line="480" w:lineRule="auto"/>
        <w:ind w:left="720" w:hanging="720"/>
        <w:jc w:val="both"/>
        <w:rPr>
          <w:rFonts w:ascii="Times New Roman" w:hAnsi="Times New Roman" w:cs="Times New Roman"/>
          <w:lang w:val="en-US"/>
        </w:rPr>
      </w:pPr>
      <w:r w:rsidRPr="00DD7187">
        <w:rPr>
          <w:rFonts w:ascii="Times New Roman" w:hAnsi="Times New Roman" w:cs="Times New Roman"/>
          <w:lang w:val="en-US"/>
        </w:rPr>
        <w:t xml:space="preserve">Fleenor, Juliann E., ed. </w:t>
      </w:r>
      <w:r w:rsidRPr="00DD7187">
        <w:rPr>
          <w:rFonts w:ascii="Times New Roman" w:hAnsi="Times New Roman" w:cs="Times New Roman"/>
          <w:i/>
          <w:iCs/>
          <w:lang w:val="en-US"/>
        </w:rPr>
        <w:t>The Female Gothic</w:t>
      </w:r>
      <w:r w:rsidRPr="00DD7187">
        <w:rPr>
          <w:rFonts w:ascii="Times New Roman" w:hAnsi="Times New Roman" w:cs="Times New Roman"/>
          <w:lang w:val="en-US"/>
        </w:rPr>
        <w:t>. Montreal and London: Eden Press, 1983. Print.</w:t>
      </w:r>
    </w:p>
    <w:p w14:paraId="278B035D" w14:textId="77777777" w:rsidR="00346416" w:rsidRPr="00DD7187" w:rsidRDefault="00346416" w:rsidP="002C60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autoSpaceDE w:val="0"/>
        <w:autoSpaceDN w:val="0"/>
        <w:adjustRightInd w:val="0"/>
        <w:spacing w:line="480" w:lineRule="auto"/>
        <w:ind w:left="720" w:hanging="720"/>
        <w:jc w:val="both"/>
        <w:rPr>
          <w:rFonts w:ascii="Times New Roman" w:hAnsi="Times New Roman" w:cs="Times New Roman"/>
          <w:lang w:val="en-US"/>
        </w:rPr>
      </w:pPr>
      <w:r w:rsidRPr="00DD7187">
        <w:rPr>
          <w:rFonts w:ascii="Times New Roman" w:hAnsi="Times New Roman" w:cs="Times New Roman"/>
          <w:lang w:val="en-US"/>
        </w:rPr>
        <w:t>Frank, Frederick S. </w:t>
      </w:r>
      <w:r w:rsidRPr="00DD7187">
        <w:rPr>
          <w:rFonts w:ascii="Times New Roman" w:hAnsi="Times New Roman" w:cs="Times New Roman"/>
          <w:i/>
          <w:iCs/>
          <w:lang w:val="en-US"/>
        </w:rPr>
        <w:t>The First Gothics: A Critical Guide to the English Gothic Novel</w:t>
      </w:r>
      <w:r w:rsidRPr="00DD7187">
        <w:rPr>
          <w:rFonts w:ascii="Times New Roman" w:hAnsi="Times New Roman" w:cs="Times New Roman"/>
          <w:lang w:val="en-US"/>
        </w:rPr>
        <w:t>. New York: Garland, 1987. Print.</w:t>
      </w:r>
    </w:p>
    <w:p w14:paraId="1B0CD10B" w14:textId="77777777" w:rsidR="00346416" w:rsidRPr="00DD7187" w:rsidRDefault="00346416" w:rsidP="002C60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autoSpaceDE w:val="0"/>
        <w:autoSpaceDN w:val="0"/>
        <w:adjustRightInd w:val="0"/>
        <w:spacing w:line="480" w:lineRule="auto"/>
        <w:ind w:left="720" w:hanging="720"/>
        <w:jc w:val="both"/>
        <w:rPr>
          <w:rFonts w:ascii="Times New Roman" w:hAnsi="Times New Roman" w:cs="Times New Roman"/>
          <w:lang w:val="en-US"/>
        </w:rPr>
      </w:pPr>
      <w:r w:rsidRPr="00DD7187">
        <w:rPr>
          <w:rFonts w:ascii="Times New Roman" w:hAnsi="Times New Roman" w:cs="Times New Roman"/>
          <w:lang w:val="en-US"/>
        </w:rPr>
        <w:t xml:space="preserve">Frow, John. </w:t>
      </w:r>
      <w:r w:rsidRPr="00DD7187">
        <w:rPr>
          <w:rFonts w:ascii="Times New Roman" w:hAnsi="Times New Roman" w:cs="Times New Roman"/>
          <w:i/>
          <w:iCs/>
          <w:lang w:val="en-US"/>
        </w:rPr>
        <w:t>Genre</w:t>
      </w:r>
      <w:r w:rsidRPr="00DD7187">
        <w:rPr>
          <w:rFonts w:ascii="Times New Roman" w:hAnsi="Times New Roman" w:cs="Times New Roman"/>
          <w:lang w:val="en-US"/>
        </w:rPr>
        <w:t>. London and New York: Routledge, 2006. Print.</w:t>
      </w:r>
    </w:p>
    <w:p w14:paraId="55BC46B2" w14:textId="77777777" w:rsidR="00346416" w:rsidRPr="00DD7187" w:rsidRDefault="00346416" w:rsidP="002C60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autoSpaceDE w:val="0"/>
        <w:autoSpaceDN w:val="0"/>
        <w:adjustRightInd w:val="0"/>
        <w:spacing w:line="480" w:lineRule="auto"/>
        <w:ind w:left="720" w:hanging="720"/>
        <w:jc w:val="both"/>
        <w:rPr>
          <w:rFonts w:ascii="Times New Roman" w:hAnsi="Times New Roman" w:cs="Times New Roman"/>
          <w:lang w:val="en-US"/>
        </w:rPr>
      </w:pPr>
      <w:r w:rsidRPr="00DD7187">
        <w:rPr>
          <w:rFonts w:ascii="Times New Roman" w:hAnsi="Times New Roman" w:cs="Times New Roman"/>
          <w:lang w:val="en-US"/>
        </w:rPr>
        <w:t xml:space="preserve">Jones, Stephanie. </w:t>
      </w:r>
      <w:r w:rsidRPr="00DD7187">
        <w:rPr>
          <w:rFonts w:ascii="Times New Roman" w:hAnsi="Times New Roman" w:cs="Times New Roman"/>
          <w:i/>
          <w:iCs/>
          <w:lang w:val="en-US"/>
        </w:rPr>
        <w:t>Exploring Gothic Fiction: A Corpus-Based Analysis</w:t>
      </w:r>
      <w:r w:rsidRPr="00DD7187">
        <w:rPr>
          <w:rFonts w:ascii="Times New Roman" w:hAnsi="Times New Roman" w:cs="Times New Roman"/>
          <w:lang w:val="en-US"/>
        </w:rPr>
        <w:t>. Thesis, University of Edinburgh. Edinburgh: Edinburgh Research Archive, 2010. Web. 7 June 2014.</w:t>
      </w:r>
    </w:p>
    <w:p w14:paraId="32F1013E" w14:textId="77777777" w:rsidR="00346416" w:rsidRPr="00DD7187" w:rsidRDefault="00346416" w:rsidP="002C60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autoSpaceDE w:val="0"/>
        <w:autoSpaceDN w:val="0"/>
        <w:adjustRightInd w:val="0"/>
        <w:spacing w:line="480" w:lineRule="auto"/>
        <w:ind w:left="720" w:hanging="720"/>
        <w:jc w:val="both"/>
        <w:rPr>
          <w:rFonts w:ascii="Times New Roman" w:hAnsi="Times New Roman" w:cs="Times New Roman"/>
          <w:lang w:val="en-US"/>
        </w:rPr>
      </w:pPr>
      <w:r w:rsidRPr="00DD7187">
        <w:rPr>
          <w:rFonts w:ascii="Times New Roman" w:hAnsi="Times New Roman" w:cs="Times New Roman"/>
          <w:lang w:val="en-US"/>
        </w:rPr>
        <w:t xml:space="preserve">McCarty, Willard. “Knowing: Modeling in Literary Studies.” </w:t>
      </w:r>
      <w:r w:rsidRPr="00DD7187">
        <w:rPr>
          <w:rFonts w:ascii="Times New Roman" w:hAnsi="Times New Roman" w:cs="Times New Roman"/>
          <w:i/>
          <w:iCs/>
          <w:lang w:val="en-US"/>
        </w:rPr>
        <w:t>A Companion to Digital Literary Studies</w:t>
      </w:r>
      <w:r w:rsidRPr="00DD7187">
        <w:rPr>
          <w:rFonts w:ascii="Times New Roman" w:hAnsi="Times New Roman" w:cs="Times New Roman"/>
          <w:lang w:val="en-US"/>
        </w:rPr>
        <w:t>, ed. Susan Schreibman and Ray Siemens. Oxford: Blackwell, 2008. N. pag. Web. 27 Jan. 2014.</w:t>
      </w:r>
    </w:p>
    <w:p w14:paraId="62C9748C" w14:textId="77777777" w:rsidR="00346416" w:rsidRPr="00DD7187" w:rsidRDefault="00346416" w:rsidP="002C60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autoSpaceDE w:val="0"/>
        <w:autoSpaceDN w:val="0"/>
        <w:adjustRightInd w:val="0"/>
        <w:spacing w:line="480" w:lineRule="auto"/>
        <w:ind w:left="720" w:hanging="720"/>
        <w:jc w:val="both"/>
        <w:rPr>
          <w:rFonts w:ascii="Times New Roman" w:hAnsi="Times New Roman" w:cs="Times New Roman"/>
          <w:lang w:val="en-US"/>
        </w:rPr>
      </w:pPr>
      <w:r w:rsidRPr="00DD7187">
        <w:rPr>
          <w:rFonts w:ascii="Times New Roman" w:hAnsi="Times New Roman" w:cs="Times New Roman"/>
          <w:lang w:val="en-US"/>
        </w:rPr>
        <w:t xml:space="preserve">McIntyre, Clara. </w:t>
      </w:r>
      <w:r w:rsidRPr="00DD7187">
        <w:rPr>
          <w:rFonts w:ascii="Times New Roman" w:hAnsi="Times New Roman" w:cs="Times New Roman"/>
          <w:i/>
          <w:iCs/>
          <w:lang w:val="en-US"/>
        </w:rPr>
        <w:t>Ann Radcliffe in Relation to Her Time</w:t>
      </w:r>
      <w:r w:rsidRPr="00DD7187">
        <w:rPr>
          <w:rFonts w:ascii="Times New Roman" w:hAnsi="Times New Roman" w:cs="Times New Roman"/>
          <w:lang w:val="en-US"/>
        </w:rPr>
        <w:t>. New Haven: Yale UP, 1920. Photocopy. Ann Arbor: University Microfilms, 1967. Print.</w:t>
      </w:r>
    </w:p>
    <w:p w14:paraId="65891492" w14:textId="77777777" w:rsidR="00346416" w:rsidRPr="00DD7187" w:rsidRDefault="00346416" w:rsidP="002C60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autoSpaceDE w:val="0"/>
        <w:autoSpaceDN w:val="0"/>
        <w:adjustRightInd w:val="0"/>
        <w:spacing w:line="480" w:lineRule="auto"/>
        <w:ind w:left="720" w:hanging="720"/>
        <w:jc w:val="both"/>
        <w:rPr>
          <w:rFonts w:ascii="Times New Roman" w:hAnsi="Times New Roman" w:cs="Times New Roman"/>
          <w:lang w:val="en-US"/>
        </w:rPr>
      </w:pPr>
      <w:r w:rsidRPr="00DD7187">
        <w:rPr>
          <w:rFonts w:ascii="Times New Roman" w:hAnsi="Times New Roman" w:cs="Times New Roman"/>
          <w:lang w:val="en-US"/>
        </w:rPr>
        <w:t xml:space="preserve">Miles, Robert. “‘Mother Radcliffe’: Ann Radcliffe and the Female Gothic.” </w:t>
      </w:r>
      <w:r w:rsidRPr="00DD7187">
        <w:rPr>
          <w:rFonts w:ascii="Times New Roman" w:hAnsi="Times New Roman" w:cs="Times New Roman"/>
          <w:i/>
          <w:iCs/>
          <w:lang w:val="en-US"/>
        </w:rPr>
        <w:t>The Female Gothic: New Directions</w:t>
      </w:r>
      <w:r w:rsidRPr="00DD7187">
        <w:rPr>
          <w:rFonts w:ascii="Times New Roman" w:hAnsi="Times New Roman" w:cs="Times New Roman"/>
          <w:lang w:val="en-US"/>
        </w:rPr>
        <w:t>. Ed. Diana Wallace and Andrew Smith. Basingstroke: Palgrave Macmillan, 2009. 42-59. Print.</w:t>
      </w:r>
    </w:p>
    <w:p w14:paraId="56E70C97" w14:textId="77777777" w:rsidR="00346416" w:rsidRPr="00DD7187" w:rsidRDefault="00346416" w:rsidP="002C60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autoSpaceDE w:val="0"/>
        <w:autoSpaceDN w:val="0"/>
        <w:adjustRightInd w:val="0"/>
        <w:spacing w:line="480" w:lineRule="auto"/>
        <w:ind w:left="720" w:hanging="720"/>
        <w:jc w:val="both"/>
        <w:rPr>
          <w:rFonts w:ascii="Times New Roman" w:hAnsi="Times New Roman" w:cs="Times New Roman"/>
          <w:lang w:val="en-US"/>
        </w:rPr>
      </w:pPr>
      <w:r w:rsidRPr="00DD7187">
        <w:rPr>
          <w:rFonts w:ascii="Times New Roman" w:hAnsi="Times New Roman" w:cs="Times New Roman"/>
          <w:lang w:val="en-US"/>
        </w:rPr>
        <w:t xml:space="preserve">Price, Leah. </w:t>
      </w:r>
      <w:r w:rsidRPr="00DD7187">
        <w:rPr>
          <w:rFonts w:ascii="Times New Roman" w:hAnsi="Times New Roman" w:cs="Times New Roman"/>
          <w:i/>
          <w:iCs/>
          <w:lang w:val="en-US"/>
        </w:rPr>
        <w:t>The Anthology and the Rise of the Novel: From Richardson to George Eliot</w:t>
      </w:r>
      <w:r w:rsidRPr="00DD7187">
        <w:rPr>
          <w:rFonts w:ascii="Times New Roman" w:hAnsi="Times New Roman" w:cs="Times New Roman"/>
          <w:lang w:val="en-US"/>
        </w:rPr>
        <w:t>. Cambridge: Cambridge UP, 2000. Print.</w:t>
      </w:r>
    </w:p>
    <w:p w14:paraId="78DAD7BE" w14:textId="77777777" w:rsidR="00346416" w:rsidRPr="00DD7187" w:rsidRDefault="00346416" w:rsidP="002C60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autoSpaceDE w:val="0"/>
        <w:autoSpaceDN w:val="0"/>
        <w:adjustRightInd w:val="0"/>
        <w:spacing w:line="480" w:lineRule="auto"/>
        <w:ind w:left="720" w:hanging="720"/>
        <w:jc w:val="both"/>
        <w:rPr>
          <w:rFonts w:ascii="Times New Roman" w:hAnsi="Times New Roman" w:cs="Times New Roman"/>
          <w:lang w:val="en-US"/>
        </w:rPr>
      </w:pPr>
      <w:r w:rsidRPr="00DD7187">
        <w:rPr>
          <w:rFonts w:ascii="Times New Roman" w:hAnsi="Times New Roman" w:cs="Times New Roman"/>
          <w:lang w:val="en-US"/>
        </w:rPr>
        <w:t xml:space="preserve">Punter, David. </w:t>
      </w:r>
      <w:r w:rsidRPr="00DD7187">
        <w:rPr>
          <w:rFonts w:ascii="Times New Roman" w:hAnsi="Times New Roman" w:cs="Times New Roman"/>
          <w:i/>
          <w:iCs/>
          <w:lang w:val="en-US"/>
        </w:rPr>
        <w:t>The Literature of Terror: A History of Gothic Fictions from 1765 to the Present Day</w:t>
      </w:r>
      <w:r w:rsidRPr="00DD7187">
        <w:rPr>
          <w:rFonts w:ascii="Times New Roman" w:hAnsi="Times New Roman" w:cs="Times New Roman"/>
          <w:lang w:val="en-US"/>
        </w:rPr>
        <w:t>. London: Longmans, 1980. Print.</w:t>
      </w:r>
    </w:p>
    <w:p w14:paraId="7E937A86" w14:textId="77777777" w:rsidR="00346416" w:rsidRPr="00DD7187" w:rsidRDefault="00346416" w:rsidP="002C60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autoSpaceDE w:val="0"/>
        <w:autoSpaceDN w:val="0"/>
        <w:adjustRightInd w:val="0"/>
        <w:spacing w:line="480" w:lineRule="auto"/>
        <w:ind w:left="720" w:hanging="720"/>
        <w:jc w:val="both"/>
        <w:rPr>
          <w:rFonts w:ascii="Times New Roman" w:hAnsi="Times New Roman" w:cs="Times New Roman"/>
          <w:lang w:val="en-US"/>
        </w:rPr>
      </w:pPr>
      <w:r w:rsidRPr="00DD7187">
        <w:rPr>
          <w:rFonts w:ascii="Times New Roman" w:hAnsi="Times New Roman" w:cs="Times New Roman"/>
          <w:lang w:val="en-US"/>
        </w:rPr>
        <w:lastRenderedPageBreak/>
        <w:t xml:space="preserve">Samuels, Lisa and Jerome McGann. “Deformance and Interpretation.” </w:t>
      </w:r>
      <w:r w:rsidRPr="00DD7187">
        <w:rPr>
          <w:rFonts w:ascii="Times New Roman" w:hAnsi="Times New Roman" w:cs="Times New Roman"/>
          <w:i/>
          <w:iCs/>
          <w:lang w:val="en-US"/>
        </w:rPr>
        <w:t>Poetry &amp; Politics</w:t>
      </w:r>
      <w:r w:rsidRPr="00DD7187">
        <w:rPr>
          <w:rFonts w:ascii="Times New Roman" w:hAnsi="Times New Roman" w:cs="Times New Roman"/>
          <w:lang w:val="en-US"/>
        </w:rPr>
        <w:t xml:space="preserve">. Spec. issue of </w:t>
      </w:r>
      <w:r w:rsidRPr="00DD7187">
        <w:rPr>
          <w:rFonts w:ascii="Times New Roman" w:hAnsi="Times New Roman" w:cs="Times New Roman"/>
          <w:i/>
          <w:iCs/>
          <w:lang w:val="en-US"/>
        </w:rPr>
        <w:t>New Literary History</w:t>
      </w:r>
      <w:r w:rsidRPr="00DD7187">
        <w:rPr>
          <w:rFonts w:ascii="Times New Roman" w:hAnsi="Times New Roman" w:cs="Times New Roman"/>
          <w:lang w:val="en-US"/>
        </w:rPr>
        <w:t xml:space="preserve"> 30.1 (Winter 1999): 25-56. </w:t>
      </w:r>
      <w:r w:rsidRPr="00DD7187">
        <w:rPr>
          <w:rFonts w:ascii="Times New Roman" w:hAnsi="Times New Roman" w:cs="Times New Roman"/>
          <w:i/>
          <w:iCs/>
          <w:lang w:val="en-US"/>
        </w:rPr>
        <w:t>JSTOR</w:t>
      </w:r>
      <w:r w:rsidRPr="00DD7187">
        <w:rPr>
          <w:rFonts w:ascii="Times New Roman" w:hAnsi="Times New Roman" w:cs="Times New Roman"/>
          <w:lang w:val="en-US"/>
        </w:rPr>
        <w:t>. Web. 24 Feb 2014.</w:t>
      </w:r>
    </w:p>
    <w:p w14:paraId="7AD05319" w14:textId="77777777" w:rsidR="00346416" w:rsidRPr="00DD7187" w:rsidRDefault="00346416" w:rsidP="002C60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autoSpaceDE w:val="0"/>
        <w:autoSpaceDN w:val="0"/>
        <w:adjustRightInd w:val="0"/>
        <w:spacing w:line="480" w:lineRule="auto"/>
        <w:ind w:left="720" w:hanging="720"/>
        <w:jc w:val="both"/>
        <w:rPr>
          <w:rFonts w:ascii="Times New Roman" w:hAnsi="Times New Roman" w:cs="Times New Roman"/>
          <w:lang w:val="en-US"/>
        </w:rPr>
      </w:pPr>
      <w:r w:rsidRPr="00DD7187">
        <w:rPr>
          <w:rFonts w:ascii="Times New Roman" w:hAnsi="Times New Roman" w:cs="Times New Roman"/>
          <w:lang w:val="en-US"/>
        </w:rPr>
        <w:t xml:space="preserve">Tompkins, J.M.S. </w:t>
      </w:r>
      <w:r w:rsidRPr="00DD7187">
        <w:rPr>
          <w:rFonts w:ascii="Times New Roman" w:hAnsi="Times New Roman" w:cs="Times New Roman"/>
          <w:i/>
          <w:iCs/>
          <w:lang w:val="en-US"/>
        </w:rPr>
        <w:t>The popular novel in England, 1770-1800</w:t>
      </w:r>
      <w:r w:rsidRPr="00DD7187">
        <w:rPr>
          <w:rFonts w:ascii="Times New Roman" w:hAnsi="Times New Roman" w:cs="Times New Roman"/>
          <w:lang w:val="en-US"/>
        </w:rPr>
        <w:t>. Lincoln: University of Nebraska Press, 1961. Print.</w:t>
      </w:r>
    </w:p>
    <w:p w14:paraId="2510DFFE" w14:textId="77777777" w:rsidR="00346416" w:rsidRPr="00DD7187" w:rsidRDefault="00346416" w:rsidP="002C60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autoSpaceDE w:val="0"/>
        <w:autoSpaceDN w:val="0"/>
        <w:adjustRightInd w:val="0"/>
        <w:spacing w:line="480" w:lineRule="auto"/>
        <w:ind w:left="720" w:hanging="720"/>
        <w:jc w:val="both"/>
        <w:rPr>
          <w:rFonts w:ascii="Times New Roman" w:hAnsi="Times New Roman" w:cs="Times New Roman"/>
          <w:lang w:val="en-US"/>
        </w:rPr>
      </w:pPr>
      <w:r w:rsidRPr="00DD7187">
        <w:rPr>
          <w:rFonts w:ascii="Times New Roman" w:hAnsi="Times New Roman" w:cs="Times New Roman"/>
          <w:lang w:val="en-US"/>
        </w:rPr>
        <w:t>Tracy, Ann Blaisdell. </w:t>
      </w:r>
      <w:r w:rsidRPr="00DD7187">
        <w:rPr>
          <w:rFonts w:ascii="Times New Roman" w:hAnsi="Times New Roman" w:cs="Times New Roman"/>
          <w:i/>
          <w:iCs/>
          <w:lang w:val="en-US"/>
        </w:rPr>
        <w:t>The Gothic Novel, 1790-1830: Plot Summaries and Index to Motifs</w:t>
      </w:r>
      <w:r w:rsidRPr="00DD7187">
        <w:rPr>
          <w:rFonts w:ascii="Times New Roman" w:hAnsi="Times New Roman" w:cs="Times New Roman"/>
          <w:lang w:val="en-US"/>
        </w:rPr>
        <w:t>. Lexington: Kentucky UP, 1981. Print.</w:t>
      </w:r>
    </w:p>
    <w:p w14:paraId="136DDB22" w14:textId="77777777" w:rsidR="00346416" w:rsidRPr="00DD7187" w:rsidRDefault="00346416" w:rsidP="002C60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autoSpaceDE w:val="0"/>
        <w:autoSpaceDN w:val="0"/>
        <w:adjustRightInd w:val="0"/>
        <w:spacing w:line="480" w:lineRule="auto"/>
        <w:ind w:left="720" w:hanging="720"/>
        <w:jc w:val="both"/>
        <w:rPr>
          <w:rFonts w:ascii="Times New Roman" w:hAnsi="Times New Roman" w:cs="Times New Roman"/>
          <w:lang w:val="en-US"/>
        </w:rPr>
      </w:pPr>
      <w:r w:rsidRPr="00DD7187">
        <w:rPr>
          <w:rFonts w:ascii="Times New Roman" w:hAnsi="Times New Roman" w:cs="Times New Roman"/>
          <w:lang w:val="en-US"/>
        </w:rPr>
        <w:t xml:space="preserve">Wallace, Diana and Andrew Smith, eds. </w:t>
      </w:r>
      <w:r w:rsidRPr="00DD7187">
        <w:rPr>
          <w:rFonts w:ascii="Times New Roman" w:hAnsi="Times New Roman" w:cs="Times New Roman"/>
          <w:i/>
          <w:iCs/>
          <w:lang w:val="en-US"/>
        </w:rPr>
        <w:t>Female Gothic: New Directions</w:t>
      </w:r>
      <w:r w:rsidRPr="00DD7187">
        <w:rPr>
          <w:rFonts w:ascii="Times New Roman" w:hAnsi="Times New Roman" w:cs="Times New Roman"/>
          <w:lang w:val="en-US"/>
        </w:rPr>
        <w:t>. Basingstroke: Palgrave Macmillan, 2009. Print.</w:t>
      </w:r>
    </w:p>
    <w:p w14:paraId="6CD03B74" w14:textId="77777777" w:rsidR="00733D82" w:rsidRPr="00DD7187" w:rsidRDefault="00733D82" w:rsidP="002C60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autoSpaceDE w:val="0"/>
        <w:autoSpaceDN w:val="0"/>
        <w:adjustRightInd w:val="0"/>
        <w:spacing w:line="480" w:lineRule="auto"/>
        <w:ind w:left="720" w:hanging="720"/>
        <w:jc w:val="both"/>
        <w:rPr>
          <w:rFonts w:ascii="Times New Roman" w:hAnsi="Times New Roman" w:cs="Times New Roman"/>
          <w:lang w:val="en-US"/>
        </w:rPr>
      </w:pPr>
    </w:p>
    <w:p w14:paraId="0B85C548" w14:textId="106D7575" w:rsidR="00733D82" w:rsidRPr="00DD7187" w:rsidRDefault="00733D82" w:rsidP="002C60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autoSpaceDE w:val="0"/>
        <w:autoSpaceDN w:val="0"/>
        <w:adjustRightInd w:val="0"/>
        <w:spacing w:line="480" w:lineRule="auto"/>
        <w:ind w:left="720" w:hanging="720"/>
        <w:jc w:val="center"/>
        <w:rPr>
          <w:rFonts w:ascii="Times New Roman" w:hAnsi="Times New Roman" w:cs="Times New Roman"/>
          <w:b/>
          <w:lang w:val="en-US"/>
        </w:rPr>
      </w:pPr>
      <w:r w:rsidRPr="00DD7187">
        <w:rPr>
          <w:rFonts w:ascii="Times New Roman" w:hAnsi="Times New Roman" w:cs="Times New Roman"/>
          <w:b/>
          <w:lang w:val="en-US"/>
        </w:rPr>
        <w:t>Works Consulted</w:t>
      </w:r>
    </w:p>
    <w:p w14:paraId="55B7E018" w14:textId="71B98F41" w:rsidR="001A0BBC" w:rsidRPr="00DD7187" w:rsidRDefault="001A0BBC" w:rsidP="002C60CC">
      <w:pPr>
        <w:spacing w:line="480" w:lineRule="auto"/>
        <w:ind w:left="720" w:hanging="720"/>
        <w:rPr>
          <w:rFonts w:ascii="Times New Roman" w:hAnsi="Times New Roman" w:cs="Times New Roman"/>
        </w:rPr>
      </w:pPr>
      <w:r w:rsidRPr="00DD7187">
        <w:rPr>
          <w:rFonts w:ascii="Times New Roman" w:hAnsi="Times New Roman" w:cs="Times New Roman"/>
        </w:rPr>
        <w:t xml:space="preserve">Best, Stephen and Sharon Marcus. “Surface Reading: An Introduction.” </w:t>
      </w:r>
      <w:r w:rsidRPr="00DD7187">
        <w:rPr>
          <w:rFonts w:ascii="Times New Roman" w:hAnsi="Times New Roman" w:cs="Times New Roman"/>
          <w:i/>
        </w:rPr>
        <w:t>Representations</w:t>
      </w:r>
      <w:r w:rsidRPr="00DD7187">
        <w:rPr>
          <w:rFonts w:ascii="Times New Roman" w:hAnsi="Times New Roman" w:cs="Times New Roman"/>
        </w:rPr>
        <w:t xml:space="preserve"> 108.1 (Fall 2009): 1-21. </w:t>
      </w:r>
      <w:r w:rsidRPr="00DD7187">
        <w:rPr>
          <w:rFonts w:ascii="Times New Roman" w:hAnsi="Times New Roman" w:cs="Times New Roman"/>
          <w:i/>
        </w:rPr>
        <w:t>JSTOR</w:t>
      </w:r>
      <w:r w:rsidRPr="00DD7187">
        <w:rPr>
          <w:rFonts w:ascii="Times New Roman" w:hAnsi="Times New Roman" w:cs="Times New Roman"/>
        </w:rPr>
        <w:t>. Web. 17 Feb. 2014.</w:t>
      </w:r>
    </w:p>
    <w:p w14:paraId="4D1D0F89" w14:textId="245F6661" w:rsidR="001A0BBC" w:rsidRPr="00DD7187" w:rsidRDefault="001A0BBC" w:rsidP="002C60CC">
      <w:pPr>
        <w:spacing w:line="480" w:lineRule="auto"/>
        <w:ind w:left="720" w:hanging="720"/>
        <w:rPr>
          <w:rFonts w:ascii="Times New Roman" w:hAnsi="Times New Roman" w:cs="Times New Roman"/>
        </w:rPr>
      </w:pPr>
      <w:r w:rsidRPr="00DD7187">
        <w:rPr>
          <w:rFonts w:ascii="Times New Roman" w:hAnsi="Times New Roman" w:cs="Times New Roman"/>
        </w:rPr>
        <w:t xml:space="preserve">Bowker, Geoffrey C. and Susan Leigh Star. </w:t>
      </w:r>
      <w:r w:rsidRPr="00DD7187">
        <w:rPr>
          <w:rFonts w:ascii="Times New Roman" w:hAnsi="Times New Roman" w:cs="Times New Roman"/>
          <w:i/>
        </w:rPr>
        <w:t>Sorting Things Out: Classification and Its Consequences</w:t>
      </w:r>
      <w:r w:rsidRPr="00DD7187">
        <w:rPr>
          <w:rFonts w:ascii="Times New Roman" w:hAnsi="Times New Roman" w:cs="Times New Roman"/>
        </w:rPr>
        <w:t>. Cambridge, MA: MIT Press, 1999. PDF e-book.</w:t>
      </w:r>
    </w:p>
    <w:p w14:paraId="4C516D39" w14:textId="77777777" w:rsidR="00733D82" w:rsidRPr="00DD7187" w:rsidRDefault="00733D82" w:rsidP="002C60CC">
      <w:pPr>
        <w:spacing w:line="480" w:lineRule="auto"/>
        <w:ind w:left="720" w:hanging="720"/>
        <w:rPr>
          <w:rFonts w:ascii="Times New Roman" w:hAnsi="Times New Roman" w:cs="Times New Roman"/>
        </w:rPr>
      </w:pPr>
      <w:r w:rsidRPr="00DD7187">
        <w:rPr>
          <w:rFonts w:ascii="Times New Roman" w:hAnsi="Times New Roman" w:cs="Times New Roman"/>
        </w:rPr>
        <w:t xml:space="preserve">Clery, E.J. </w:t>
      </w:r>
      <w:r w:rsidRPr="00DD7187">
        <w:rPr>
          <w:rFonts w:ascii="Times New Roman" w:hAnsi="Times New Roman" w:cs="Times New Roman"/>
          <w:i/>
        </w:rPr>
        <w:t>The Rise of Supernatural Fiction 1762-1800</w:t>
      </w:r>
      <w:r w:rsidRPr="00DD7187">
        <w:rPr>
          <w:rFonts w:ascii="Times New Roman" w:hAnsi="Times New Roman" w:cs="Times New Roman"/>
        </w:rPr>
        <w:t>. Cambridge: Cambridge UP, 1995. Print.</w:t>
      </w:r>
    </w:p>
    <w:p w14:paraId="7CECE118" w14:textId="77777777" w:rsidR="00733D82" w:rsidRPr="00DD7187" w:rsidRDefault="00733D82" w:rsidP="002C60CC">
      <w:pPr>
        <w:spacing w:line="480" w:lineRule="auto"/>
        <w:ind w:left="720" w:hanging="720"/>
        <w:rPr>
          <w:rFonts w:ascii="Times New Roman" w:hAnsi="Times New Roman" w:cs="Times New Roman"/>
        </w:rPr>
      </w:pPr>
      <w:r w:rsidRPr="00DD7187">
        <w:rPr>
          <w:rFonts w:ascii="Times New Roman" w:hAnsi="Times New Roman" w:cs="Times New Roman"/>
        </w:rPr>
        <w:t xml:space="preserve">Cohen, Ralph. “Genre Theory, Literary History, and Historical Change.” </w:t>
      </w:r>
      <w:r w:rsidRPr="00DD7187">
        <w:rPr>
          <w:rFonts w:ascii="Times New Roman" w:hAnsi="Times New Roman" w:cs="Times New Roman"/>
          <w:i/>
        </w:rPr>
        <w:t>Theoretical Issues in Literary History</w:t>
      </w:r>
      <w:r w:rsidRPr="00DD7187">
        <w:rPr>
          <w:rFonts w:ascii="Times New Roman" w:hAnsi="Times New Roman" w:cs="Times New Roman"/>
        </w:rPr>
        <w:t xml:space="preserve">. Ed. David Perkins. Cambridge, MA: Harvard UP, 1991. 85-113. </w:t>
      </w:r>
      <w:r w:rsidRPr="00DD7187">
        <w:rPr>
          <w:rFonts w:ascii="Times New Roman" w:hAnsi="Times New Roman" w:cs="Times New Roman"/>
          <w:i/>
        </w:rPr>
        <w:t>Google Books</w:t>
      </w:r>
      <w:r w:rsidRPr="00DD7187">
        <w:rPr>
          <w:rFonts w:ascii="Times New Roman" w:hAnsi="Times New Roman" w:cs="Times New Roman"/>
        </w:rPr>
        <w:t>. Web. 30 January 2014.</w:t>
      </w:r>
    </w:p>
    <w:p w14:paraId="1A600FA8" w14:textId="72456EA1" w:rsidR="001A0BBC" w:rsidRPr="00DD7187" w:rsidRDefault="001A0BBC" w:rsidP="002C60CC">
      <w:pPr>
        <w:spacing w:line="480" w:lineRule="auto"/>
        <w:ind w:left="720" w:hanging="720"/>
        <w:rPr>
          <w:rFonts w:ascii="Times New Roman" w:hAnsi="Times New Roman" w:cs="Times New Roman"/>
        </w:rPr>
      </w:pPr>
      <w:r w:rsidRPr="00DD7187">
        <w:rPr>
          <w:rFonts w:ascii="Times New Roman" w:hAnsi="Times New Roman" w:cs="Times New Roman"/>
        </w:rPr>
        <w:t>Drucker, Johanna and Bethany Nowviskie. “</w:t>
      </w:r>
      <w:r w:rsidRPr="00DD7187">
        <w:rPr>
          <w:rFonts w:ascii="Times New Roman" w:hAnsi="Times New Roman" w:cs="Times New Roman"/>
          <w:bCs/>
          <w:lang w:val="en-GB"/>
        </w:rPr>
        <w:t xml:space="preserve">Speculative Computing: Aesthetic Provocations in Humanities Computing.” </w:t>
      </w:r>
      <w:r w:rsidRPr="00DD7187">
        <w:rPr>
          <w:rFonts w:ascii="Times New Roman" w:hAnsi="Times New Roman" w:cs="Times New Roman"/>
          <w:bCs/>
          <w:i/>
          <w:lang w:val="en-GB"/>
        </w:rPr>
        <w:t>A Companion to Digital Humanities</w:t>
      </w:r>
      <w:r w:rsidRPr="00DD7187">
        <w:rPr>
          <w:rFonts w:ascii="Times New Roman" w:hAnsi="Times New Roman" w:cs="Times New Roman"/>
          <w:bCs/>
          <w:lang w:val="en-GB"/>
        </w:rPr>
        <w:t>, ed. Susan Schreibman, Ray Siemens, John Unsworth. Oxford: Blackwell, 2008. Web. 27 Jan. 2014</w:t>
      </w:r>
    </w:p>
    <w:p w14:paraId="3DF80F72" w14:textId="77777777" w:rsidR="00733D82" w:rsidRPr="00DD7187" w:rsidRDefault="00733D82" w:rsidP="002C60CC">
      <w:pPr>
        <w:spacing w:line="480" w:lineRule="auto"/>
        <w:ind w:left="720" w:hanging="720"/>
        <w:rPr>
          <w:rFonts w:ascii="Times New Roman" w:hAnsi="Times New Roman" w:cs="Times New Roman"/>
        </w:rPr>
      </w:pPr>
      <w:r w:rsidRPr="00DD7187">
        <w:rPr>
          <w:rFonts w:ascii="Times New Roman" w:hAnsi="Times New Roman" w:cs="Times New Roman"/>
        </w:rPr>
        <w:lastRenderedPageBreak/>
        <w:t xml:space="preserve">Fitzgerald, Lauren. “Female Gothic and the Institutionalization of Gothic Studies.” </w:t>
      </w:r>
      <w:r w:rsidRPr="00DD7187">
        <w:rPr>
          <w:rFonts w:ascii="Times New Roman" w:hAnsi="Times New Roman" w:cs="Times New Roman"/>
          <w:i/>
        </w:rPr>
        <w:t>The Female Gothic: New Directions</w:t>
      </w:r>
      <w:r w:rsidRPr="00DD7187">
        <w:rPr>
          <w:rFonts w:ascii="Times New Roman" w:hAnsi="Times New Roman" w:cs="Times New Roman"/>
        </w:rPr>
        <w:t>. Ed. Diana Wallace and Andrew Smith. Basingstroke: Palgrave Macmillan, 2009. Print.</w:t>
      </w:r>
    </w:p>
    <w:p w14:paraId="103A3548" w14:textId="4C0F2EE7" w:rsidR="001A0BBC" w:rsidRPr="00DD7187" w:rsidRDefault="001A0BBC" w:rsidP="002C60CC">
      <w:pPr>
        <w:spacing w:line="480" w:lineRule="auto"/>
        <w:ind w:left="720" w:hanging="720"/>
        <w:rPr>
          <w:rFonts w:ascii="Times New Roman" w:hAnsi="Times New Roman" w:cs="Times New Roman"/>
        </w:rPr>
      </w:pPr>
      <w:r w:rsidRPr="00DD7187">
        <w:rPr>
          <w:rFonts w:ascii="Times New Roman" w:hAnsi="Times New Roman" w:cs="Times New Roman"/>
        </w:rPr>
        <w:t xml:space="preserve">Galey, Alan and Stan Rueker. “How a Prototype Argues.” </w:t>
      </w:r>
      <w:r w:rsidRPr="00DD7187">
        <w:rPr>
          <w:rFonts w:ascii="Times New Roman" w:hAnsi="Times New Roman" w:cs="Times New Roman"/>
          <w:i/>
        </w:rPr>
        <w:t>Literary and Linguistic Computing</w:t>
      </w:r>
      <w:r w:rsidRPr="00DD7187">
        <w:rPr>
          <w:rFonts w:ascii="Times New Roman" w:hAnsi="Times New Roman" w:cs="Times New Roman"/>
        </w:rPr>
        <w:t xml:space="preserve"> 25 (2010): 405-424. </w:t>
      </w:r>
      <w:r w:rsidRPr="00DD7187">
        <w:rPr>
          <w:rFonts w:ascii="Times New Roman" w:hAnsi="Times New Roman" w:cs="Times New Roman"/>
          <w:i/>
        </w:rPr>
        <w:t>Oxford Journals</w:t>
      </w:r>
      <w:r w:rsidRPr="00DD7187">
        <w:rPr>
          <w:rFonts w:ascii="Times New Roman" w:hAnsi="Times New Roman" w:cs="Times New Roman"/>
        </w:rPr>
        <w:t>. Web. 27 Jan. 2014.</w:t>
      </w:r>
    </w:p>
    <w:p w14:paraId="46327A4E" w14:textId="5A2C3A33" w:rsidR="001A0BBC" w:rsidRPr="00DD7187" w:rsidRDefault="001A0BBC" w:rsidP="002C60CC">
      <w:pPr>
        <w:spacing w:line="480" w:lineRule="auto"/>
        <w:ind w:left="720" w:hanging="720"/>
        <w:rPr>
          <w:rFonts w:ascii="Times New Roman" w:hAnsi="Times New Roman" w:cs="Times New Roman"/>
        </w:rPr>
      </w:pPr>
      <w:r w:rsidRPr="00DD7187">
        <w:rPr>
          <w:rFonts w:ascii="Times New Roman" w:hAnsi="Times New Roman" w:cs="Times New Roman"/>
        </w:rPr>
        <w:t>Garside, Peter, James Raven, Rainer Schöwerling, Antonia Forster, and Stephen Bending. </w:t>
      </w:r>
      <w:r w:rsidRPr="00DD7187">
        <w:rPr>
          <w:rFonts w:ascii="Times New Roman" w:hAnsi="Times New Roman" w:cs="Times New Roman"/>
          <w:i/>
          <w:iCs/>
        </w:rPr>
        <w:t>The English Novel 1770-1829: A Bibliographical Survey of Prose Fiction Published in the British Isles</w:t>
      </w:r>
      <w:r w:rsidRPr="00DD7187">
        <w:rPr>
          <w:rFonts w:ascii="Times New Roman" w:hAnsi="Times New Roman" w:cs="Times New Roman"/>
        </w:rPr>
        <w:t>. Oxford: Oxford UP, 2000. Print.</w:t>
      </w:r>
    </w:p>
    <w:p w14:paraId="641034B8" w14:textId="77777777" w:rsidR="00733D82" w:rsidRPr="00DD7187" w:rsidRDefault="00733D82" w:rsidP="002C60CC">
      <w:pPr>
        <w:spacing w:line="480" w:lineRule="auto"/>
        <w:ind w:left="720" w:hanging="720"/>
        <w:rPr>
          <w:rFonts w:ascii="Times New Roman" w:hAnsi="Times New Roman" w:cs="Times New Roman"/>
        </w:rPr>
      </w:pPr>
      <w:r w:rsidRPr="00DD7187">
        <w:rPr>
          <w:rFonts w:ascii="Times New Roman" w:hAnsi="Times New Roman" w:cs="Times New Roman"/>
        </w:rPr>
        <w:t xml:space="preserve">Jacobs, Edward. “Anonymous Signatures: Circulating Libraries, Conventionality, and the Production of Gothic Romances.” </w:t>
      </w:r>
      <w:r w:rsidRPr="00DD7187">
        <w:rPr>
          <w:rFonts w:ascii="Times New Roman" w:hAnsi="Times New Roman" w:cs="Times New Roman"/>
          <w:i/>
        </w:rPr>
        <w:t>English Literary History</w:t>
      </w:r>
      <w:r w:rsidRPr="00DD7187">
        <w:rPr>
          <w:rFonts w:ascii="Times New Roman" w:hAnsi="Times New Roman" w:cs="Times New Roman"/>
        </w:rPr>
        <w:t xml:space="preserve"> 62.3 (1995): 603-629. </w:t>
      </w:r>
      <w:r w:rsidRPr="00DD7187">
        <w:rPr>
          <w:rFonts w:ascii="Times New Roman" w:hAnsi="Times New Roman" w:cs="Times New Roman"/>
          <w:i/>
        </w:rPr>
        <w:t>Muse</w:t>
      </w:r>
      <w:r w:rsidRPr="00DD7187">
        <w:rPr>
          <w:rFonts w:ascii="Times New Roman" w:hAnsi="Times New Roman" w:cs="Times New Roman"/>
        </w:rPr>
        <w:t>. Web. 24 Jan 2014.</w:t>
      </w:r>
    </w:p>
    <w:p w14:paraId="51369EFB" w14:textId="6114F65B" w:rsidR="00733D82" w:rsidRPr="00DD7187" w:rsidRDefault="00733D82" w:rsidP="002C60CC">
      <w:pPr>
        <w:spacing w:line="480" w:lineRule="auto"/>
        <w:ind w:left="720" w:hanging="720"/>
        <w:rPr>
          <w:rFonts w:ascii="Times New Roman" w:hAnsi="Times New Roman" w:cs="Times New Roman"/>
        </w:rPr>
      </w:pPr>
      <w:r w:rsidRPr="00DD7187">
        <w:rPr>
          <w:rFonts w:ascii="Times New Roman" w:hAnsi="Times New Roman" w:cs="Times New Roman"/>
        </w:rPr>
        <w:t xml:space="preserve">Kiely, Robert. </w:t>
      </w:r>
      <w:r w:rsidRPr="00DD7187">
        <w:rPr>
          <w:rFonts w:ascii="Times New Roman" w:hAnsi="Times New Roman" w:cs="Times New Roman"/>
          <w:i/>
        </w:rPr>
        <w:t>The Romantic Novel in England</w:t>
      </w:r>
      <w:r w:rsidR="00CF6A39" w:rsidRPr="00DD7187">
        <w:rPr>
          <w:rFonts w:ascii="Times New Roman" w:hAnsi="Times New Roman" w:cs="Times New Roman"/>
        </w:rPr>
        <w:t>. Cambridge, MA</w:t>
      </w:r>
      <w:r w:rsidRPr="00DD7187">
        <w:rPr>
          <w:rFonts w:ascii="Times New Roman" w:hAnsi="Times New Roman" w:cs="Times New Roman"/>
        </w:rPr>
        <w:t>: Harvard UP, 1972. Print.</w:t>
      </w:r>
    </w:p>
    <w:p w14:paraId="61F66261" w14:textId="59A3DA4C" w:rsidR="00030505" w:rsidRPr="00DD7187" w:rsidRDefault="00030505" w:rsidP="002C60CC">
      <w:pPr>
        <w:spacing w:line="480" w:lineRule="auto"/>
        <w:ind w:left="720" w:hanging="720"/>
        <w:rPr>
          <w:rFonts w:ascii="Times New Roman" w:hAnsi="Times New Roman" w:cs="Times New Roman"/>
          <w:b/>
          <w:bCs/>
          <w:lang w:val="en-GB"/>
        </w:rPr>
      </w:pPr>
      <w:r w:rsidRPr="00DD7187">
        <w:rPr>
          <w:rFonts w:ascii="Times New Roman" w:hAnsi="Times New Roman" w:cs="Times New Roman"/>
        </w:rPr>
        <w:t>Kraus, Kari. “</w:t>
      </w:r>
      <w:r w:rsidRPr="00DD7187">
        <w:rPr>
          <w:rFonts w:ascii="Times New Roman" w:hAnsi="Times New Roman" w:cs="Times New Roman"/>
          <w:bCs/>
          <w:lang w:val="en-GB"/>
        </w:rPr>
        <w:t xml:space="preserve">Conjectural Criticism: Computing Past and Future Texts.” </w:t>
      </w:r>
      <w:r w:rsidRPr="00DD7187">
        <w:rPr>
          <w:rFonts w:ascii="Times New Roman" w:hAnsi="Times New Roman" w:cs="Times New Roman"/>
          <w:bCs/>
          <w:i/>
          <w:lang w:val="en-GB"/>
        </w:rPr>
        <w:t>Digital Humanities Quarterly</w:t>
      </w:r>
      <w:r w:rsidRPr="00DD7187">
        <w:rPr>
          <w:rFonts w:ascii="Times New Roman" w:hAnsi="Times New Roman" w:cs="Times New Roman"/>
          <w:bCs/>
          <w:lang w:val="en-GB"/>
        </w:rPr>
        <w:t xml:space="preserve"> 3.4 (2009): n. pag. Web.</w:t>
      </w:r>
    </w:p>
    <w:p w14:paraId="5767A085" w14:textId="77777777" w:rsidR="00733D82" w:rsidRPr="00DD7187" w:rsidRDefault="00733D82" w:rsidP="002C60CC">
      <w:pPr>
        <w:spacing w:line="480" w:lineRule="auto"/>
        <w:ind w:left="720" w:hanging="720"/>
        <w:rPr>
          <w:rFonts w:ascii="Times New Roman" w:hAnsi="Times New Roman" w:cs="Times New Roman"/>
        </w:rPr>
      </w:pPr>
      <w:r w:rsidRPr="00DD7187">
        <w:rPr>
          <w:rFonts w:ascii="Times New Roman" w:hAnsi="Times New Roman" w:cs="Times New Roman"/>
        </w:rPr>
        <w:t xml:space="preserve">Miles, Robert. </w:t>
      </w:r>
      <w:r w:rsidRPr="00DD7187">
        <w:rPr>
          <w:rFonts w:ascii="Times New Roman" w:hAnsi="Times New Roman" w:cs="Times New Roman"/>
          <w:i/>
        </w:rPr>
        <w:t>Gothic Writing 1750-1820: A Genealogy</w:t>
      </w:r>
      <w:r w:rsidRPr="00DD7187">
        <w:rPr>
          <w:rFonts w:ascii="Times New Roman" w:hAnsi="Times New Roman" w:cs="Times New Roman"/>
        </w:rPr>
        <w:t>. Manchester and New York: Manchester UP, 2002. Print.</w:t>
      </w:r>
    </w:p>
    <w:p w14:paraId="61E923B9" w14:textId="77777777" w:rsidR="001A0BBC" w:rsidRPr="00DD7187" w:rsidRDefault="001A0BBC" w:rsidP="002C60CC">
      <w:pPr>
        <w:spacing w:line="480" w:lineRule="auto"/>
        <w:ind w:left="720" w:hanging="720"/>
        <w:rPr>
          <w:rFonts w:ascii="Times New Roman" w:hAnsi="Times New Roman" w:cs="Times New Roman"/>
        </w:rPr>
      </w:pPr>
      <w:r w:rsidRPr="00DD7187">
        <w:rPr>
          <w:rFonts w:ascii="Times New Roman" w:hAnsi="Times New Roman" w:cs="Times New Roman"/>
        </w:rPr>
        <w:t xml:space="preserve">Moretti, Franco. </w:t>
      </w:r>
      <w:r w:rsidRPr="00DD7187">
        <w:rPr>
          <w:rFonts w:ascii="Times New Roman" w:hAnsi="Times New Roman" w:cs="Times New Roman"/>
          <w:lang w:val="en-GB"/>
        </w:rPr>
        <w:t>“Conjectures on World Literature.” </w:t>
      </w:r>
      <w:r w:rsidRPr="00DD7187">
        <w:rPr>
          <w:rFonts w:ascii="Times New Roman" w:hAnsi="Times New Roman" w:cs="Times New Roman"/>
          <w:i/>
          <w:iCs/>
          <w:lang w:val="en-GB"/>
        </w:rPr>
        <w:t>New Left Review</w:t>
      </w:r>
      <w:r w:rsidRPr="00DD7187">
        <w:rPr>
          <w:rFonts w:ascii="Times New Roman" w:hAnsi="Times New Roman" w:cs="Times New Roman"/>
          <w:lang w:val="en-GB"/>
        </w:rPr>
        <w:t xml:space="preserve"> 1 (2000): 54-68. Web. 17 Feb. </w:t>
      </w:r>
      <w:r w:rsidRPr="00DD7187">
        <w:rPr>
          <w:rFonts w:ascii="Times New Roman" w:hAnsi="Times New Roman" w:cs="Times New Roman"/>
        </w:rPr>
        <w:t>2014</w:t>
      </w:r>
      <w:r w:rsidRPr="00DD7187">
        <w:rPr>
          <w:rFonts w:ascii="Times New Roman" w:hAnsi="Times New Roman" w:cs="Times New Roman"/>
          <w:lang w:val="en-GB"/>
        </w:rPr>
        <w:t>.</w:t>
      </w:r>
    </w:p>
    <w:p w14:paraId="555DFDAD" w14:textId="77777777" w:rsidR="001A0BBC" w:rsidRPr="00DD7187" w:rsidRDefault="001A0BBC" w:rsidP="002C60CC">
      <w:pPr>
        <w:spacing w:line="480" w:lineRule="auto"/>
        <w:ind w:left="720" w:hanging="720"/>
        <w:rPr>
          <w:rFonts w:ascii="Times New Roman" w:hAnsi="Times New Roman" w:cs="Times New Roman"/>
        </w:rPr>
      </w:pPr>
      <w:r w:rsidRPr="00DD7187">
        <w:rPr>
          <w:rFonts w:ascii="Times New Roman" w:hAnsi="Times New Roman" w:cs="Times New Roman"/>
        </w:rPr>
        <w:t>---. </w:t>
      </w:r>
      <w:r w:rsidRPr="00DD7187">
        <w:rPr>
          <w:rFonts w:ascii="Times New Roman" w:hAnsi="Times New Roman" w:cs="Times New Roman"/>
          <w:i/>
          <w:iCs/>
        </w:rPr>
        <w:t>Graphs, Maps, Trees: Abstract Models for a Literary History</w:t>
      </w:r>
      <w:r w:rsidRPr="00DD7187">
        <w:rPr>
          <w:rFonts w:ascii="Times New Roman" w:hAnsi="Times New Roman" w:cs="Times New Roman"/>
        </w:rPr>
        <w:t>. London: Verso, 2005. Print.</w:t>
      </w:r>
    </w:p>
    <w:p w14:paraId="31C51285" w14:textId="77777777" w:rsidR="001A0BBC" w:rsidRPr="00DD7187" w:rsidRDefault="001A0BBC" w:rsidP="002C60CC">
      <w:pPr>
        <w:spacing w:line="480" w:lineRule="auto"/>
        <w:ind w:left="720" w:hanging="720"/>
        <w:rPr>
          <w:rFonts w:ascii="Times New Roman" w:hAnsi="Times New Roman" w:cs="Times New Roman"/>
          <w:lang w:val="en-US"/>
        </w:rPr>
      </w:pPr>
      <w:r w:rsidRPr="00DD7187">
        <w:rPr>
          <w:rFonts w:ascii="Times New Roman" w:hAnsi="Times New Roman" w:cs="Times New Roman"/>
          <w:lang w:val="en-US"/>
        </w:rPr>
        <w:t xml:space="preserve">Potter, Franz J. </w:t>
      </w:r>
      <w:r w:rsidRPr="00DD7187">
        <w:rPr>
          <w:rFonts w:ascii="Times New Roman" w:hAnsi="Times New Roman" w:cs="Times New Roman"/>
          <w:i/>
          <w:lang w:val="en-US"/>
        </w:rPr>
        <w:t>The History of Gothic Publishing, 1800-1835: Exhuming the Trade</w:t>
      </w:r>
      <w:r w:rsidRPr="00DD7187">
        <w:rPr>
          <w:rFonts w:ascii="Times New Roman" w:hAnsi="Times New Roman" w:cs="Times New Roman"/>
          <w:lang w:val="en-US"/>
        </w:rPr>
        <w:t>. Basingstroke: Palgrave Macmillan, 2005. Print.</w:t>
      </w:r>
    </w:p>
    <w:p w14:paraId="29841E86" w14:textId="77777777" w:rsidR="001A0BBC" w:rsidRPr="00DD7187" w:rsidRDefault="001A0BBC" w:rsidP="002C60CC">
      <w:pPr>
        <w:spacing w:line="480" w:lineRule="auto"/>
        <w:ind w:left="720" w:hanging="720"/>
        <w:rPr>
          <w:rFonts w:ascii="Times New Roman" w:hAnsi="Times New Roman" w:cs="Times New Roman"/>
        </w:rPr>
      </w:pPr>
      <w:r w:rsidRPr="00DD7187">
        <w:rPr>
          <w:rFonts w:ascii="Times New Roman" w:hAnsi="Times New Roman" w:cs="Times New Roman"/>
        </w:rPr>
        <w:t xml:space="preserve">Ramsay, Stephen. “Algorithmic Criticism.” </w:t>
      </w:r>
      <w:r w:rsidRPr="00DD7187">
        <w:rPr>
          <w:rFonts w:ascii="Times New Roman" w:hAnsi="Times New Roman" w:cs="Times New Roman"/>
          <w:bCs/>
          <w:i/>
          <w:lang w:val="en-GB"/>
        </w:rPr>
        <w:t>A Companion to Digital Humanities</w:t>
      </w:r>
      <w:r w:rsidRPr="00DD7187">
        <w:rPr>
          <w:rFonts w:ascii="Times New Roman" w:hAnsi="Times New Roman" w:cs="Times New Roman"/>
          <w:bCs/>
          <w:lang w:val="en-GB"/>
        </w:rPr>
        <w:t>, ed. Susan Schreibman, Ray Siemens, John Unsworth. Oxford: Blackwell, 2008. Web. 27 Jan. 2014.</w:t>
      </w:r>
    </w:p>
    <w:p w14:paraId="555A5C1A" w14:textId="480D42C1" w:rsidR="00FD567E" w:rsidRPr="00DD7187" w:rsidRDefault="001A0BBC" w:rsidP="002C60CC">
      <w:pPr>
        <w:spacing w:line="480" w:lineRule="auto"/>
        <w:ind w:left="720" w:hanging="720"/>
        <w:rPr>
          <w:rFonts w:ascii="Times New Roman" w:hAnsi="Times New Roman" w:cs="Times New Roman"/>
        </w:rPr>
      </w:pPr>
      <w:r w:rsidRPr="00DD7187">
        <w:rPr>
          <w:rFonts w:ascii="Times New Roman" w:hAnsi="Times New Roman" w:cs="Times New Roman"/>
        </w:rPr>
        <w:lastRenderedPageBreak/>
        <w:t>Summers, Montague. </w:t>
      </w:r>
      <w:r w:rsidRPr="00DD7187">
        <w:rPr>
          <w:rFonts w:ascii="Times New Roman" w:hAnsi="Times New Roman" w:cs="Times New Roman"/>
          <w:i/>
          <w:iCs/>
        </w:rPr>
        <w:t>A Gothic Bibliography</w:t>
      </w:r>
      <w:r w:rsidRPr="00DD7187">
        <w:rPr>
          <w:rFonts w:ascii="Times New Roman" w:hAnsi="Times New Roman" w:cs="Times New Roman"/>
        </w:rPr>
        <w:t>. London: Fortune, 1941. Print.</w:t>
      </w:r>
      <w:r w:rsidR="00540B01" w:rsidRPr="00DD7187">
        <w:rPr>
          <w:rFonts w:ascii="Times New Roman" w:hAnsi="Times New Roman" w:cs="Times New Roman"/>
        </w:rPr>
        <w:t xml:space="preserve"> </w:t>
      </w:r>
    </w:p>
    <w:p w14:paraId="14A35FC5" w14:textId="2D711C49" w:rsidR="007E1D3B" w:rsidRPr="00DD7187" w:rsidRDefault="007E1D3B" w:rsidP="002C60CC">
      <w:pPr>
        <w:spacing w:line="480" w:lineRule="auto"/>
        <w:ind w:left="720" w:hanging="720"/>
        <w:rPr>
          <w:rFonts w:ascii="Times New Roman" w:hAnsi="Times New Roman" w:cs="Times New Roman"/>
        </w:rPr>
      </w:pPr>
      <w:r w:rsidRPr="00DD7187">
        <w:rPr>
          <w:rFonts w:ascii="Times New Roman" w:hAnsi="Times New Roman" w:cs="Times New Roman"/>
        </w:rPr>
        <w:t xml:space="preserve">Tufte, Edward R. </w:t>
      </w:r>
      <w:r w:rsidRPr="00DD7187">
        <w:rPr>
          <w:rFonts w:ascii="Times New Roman" w:hAnsi="Times New Roman" w:cs="Times New Roman"/>
          <w:i/>
        </w:rPr>
        <w:t>Visual Explanations: Images and Quantities, Evidence and Narrative</w:t>
      </w:r>
      <w:r w:rsidRPr="00DD7187">
        <w:rPr>
          <w:rFonts w:ascii="Times New Roman" w:hAnsi="Times New Roman" w:cs="Times New Roman"/>
        </w:rPr>
        <w:t xml:space="preserve">. </w:t>
      </w:r>
      <w:r w:rsidR="0010126B" w:rsidRPr="00DD7187">
        <w:rPr>
          <w:rFonts w:ascii="Times New Roman" w:hAnsi="Times New Roman" w:cs="Times New Roman"/>
        </w:rPr>
        <w:t>Cheshire, CT: Graphics Press. 1997. Print.</w:t>
      </w:r>
    </w:p>
    <w:sectPr w:rsidR="007E1D3B" w:rsidRPr="00DD7187" w:rsidSect="00F02DE1">
      <w:footerReference w:type="even" r:id="rId21"/>
      <w:footerReference w:type="default" r:id="rId2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Lawrence Evalyn" w:date="2015-05-16T14:36:00Z" w:initials="LE">
    <w:p w14:paraId="0BAD2DFB" w14:textId="28D663FB" w:rsidR="00CC292D" w:rsidRDefault="00CC292D">
      <w:pPr>
        <w:pStyle w:val="CommentText"/>
      </w:pPr>
      <w:r>
        <w:rPr>
          <w:rStyle w:val="CommentReference"/>
        </w:rPr>
        <w:annotationRef/>
      </w:r>
      <w:r>
        <w:t>The role of surprise, current surface reading research</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64AF1F" w14:textId="77777777" w:rsidR="00B76AAE" w:rsidRDefault="00B76AAE" w:rsidP="00335A39">
      <w:r>
        <w:separator/>
      </w:r>
    </w:p>
  </w:endnote>
  <w:endnote w:type="continuationSeparator" w:id="0">
    <w:p w14:paraId="45D99D5E" w14:textId="77777777" w:rsidR="00B76AAE" w:rsidRDefault="00B76AAE" w:rsidP="00335A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180241" w14:textId="77777777" w:rsidR="00CC292D" w:rsidRDefault="00CC292D" w:rsidP="00335A3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51B5D24" w14:textId="77777777" w:rsidR="00CC292D" w:rsidRDefault="00CC292D" w:rsidP="00335A3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DEABE4" w14:textId="77777777" w:rsidR="00CC292D" w:rsidRPr="00335A39" w:rsidRDefault="00CC292D" w:rsidP="00335A39">
    <w:pPr>
      <w:pStyle w:val="Footer"/>
      <w:framePr w:wrap="around" w:vAnchor="text" w:hAnchor="margin" w:xAlign="right" w:y="1"/>
      <w:rPr>
        <w:rStyle w:val="PageNumber"/>
        <w:rFonts w:ascii="Times New Roman" w:hAnsi="Times New Roman" w:cs="Times New Roman"/>
      </w:rPr>
    </w:pPr>
    <w:r w:rsidRPr="00335A39">
      <w:rPr>
        <w:rStyle w:val="PageNumber"/>
        <w:rFonts w:ascii="Times New Roman" w:hAnsi="Times New Roman" w:cs="Times New Roman"/>
      </w:rPr>
      <w:fldChar w:fldCharType="begin"/>
    </w:r>
    <w:r w:rsidRPr="00335A39">
      <w:rPr>
        <w:rStyle w:val="PageNumber"/>
        <w:rFonts w:ascii="Times New Roman" w:hAnsi="Times New Roman" w:cs="Times New Roman"/>
      </w:rPr>
      <w:instrText xml:space="preserve">PAGE  </w:instrText>
    </w:r>
    <w:r w:rsidRPr="00335A39">
      <w:rPr>
        <w:rStyle w:val="PageNumber"/>
        <w:rFonts w:ascii="Times New Roman" w:hAnsi="Times New Roman" w:cs="Times New Roman"/>
      </w:rPr>
      <w:fldChar w:fldCharType="separate"/>
    </w:r>
    <w:r w:rsidR="00B76AAE">
      <w:rPr>
        <w:rStyle w:val="PageNumber"/>
        <w:rFonts w:ascii="Times New Roman" w:hAnsi="Times New Roman" w:cs="Times New Roman"/>
      </w:rPr>
      <w:t>18</w:t>
    </w:r>
    <w:r w:rsidRPr="00335A39">
      <w:rPr>
        <w:rStyle w:val="PageNumber"/>
        <w:rFonts w:ascii="Times New Roman" w:hAnsi="Times New Roman" w:cs="Times New Roman"/>
      </w:rPr>
      <w:fldChar w:fldCharType="end"/>
    </w:r>
  </w:p>
  <w:p w14:paraId="1C755280" w14:textId="77777777" w:rsidR="00CC292D" w:rsidRPr="00335A39" w:rsidRDefault="00CC292D" w:rsidP="00335A39">
    <w:pPr>
      <w:pStyle w:val="Footer"/>
      <w:ind w:right="360"/>
      <w:rPr>
        <w:rFonts w:ascii="Times New Roman" w:hAnsi="Times New Roman" w:cs="Times New Roman"/>
      </w:rPr>
    </w:pPr>
    <w:r>
      <w:rPr>
        <w:rFonts w:ascii="Times New Roman" w:hAnsi="Times New Roman" w:cs="Times New Roman"/>
      </w:rPr>
      <w:t>Lawrence Evalyn</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55039B" w14:textId="77777777" w:rsidR="00B76AAE" w:rsidRDefault="00B76AAE" w:rsidP="00335A39">
      <w:r>
        <w:separator/>
      </w:r>
    </w:p>
  </w:footnote>
  <w:footnote w:type="continuationSeparator" w:id="0">
    <w:p w14:paraId="4FA5F0C2" w14:textId="77777777" w:rsidR="00B76AAE" w:rsidRDefault="00B76AAE" w:rsidP="00335A39">
      <w:r>
        <w:continuationSeparator/>
      </w:r>
    </w:p>
  </w:footnote>
  <w:footnote w:id="1">
    <w:p w14:paraId="3BFCA651" w14:textId="6A02D62E" w:rsidR="00CC292D" w:rsidRPr="00362B41" w:rsidRDefault="00CC292D">
      <w:pPr>
        <w:pStyle w:val="FootnoteText"/>
        <w:rPr>
          <w:rFonts w:ascii="Times New Roman" w:hAnsi="Times New Roman" w:cs="Times New Roman"/>
          <w:lang w:val="en-US"/>
        </w:rPr>
      </w:pPr>
      <w:r w:rsidRPr="00362B41">
        <w:rPr>
          <w:rStyle w:val="FootnoteReference"/>
          <w:rFonts w:ascii="Times New Roman" w:hAnsi="Times New Roman" w:cs="Times New Roman"/>
        </w:rPr>
        <w:footnoteRef/>
      </w:r>
      <w:r w:rsidRPr="00362B41">
        <w:rPr>
          <w:rFonts w:ascii="Times New Roman" w:hAnsi="Times New Roman" w:cs="Times New Roman"/>
        </w:rPr>
        <w:t xml:space="preserve"> </w:t>
      </w:r>
      <w:r w:rsidRPr="00362B41">
        <w:rPr>
          <w:rFonts w:ascii="Times New Roman" w:hAnsi="Times New Roman" w:cs="Times New Roman"/>
          <w:lang w:val="en-US"/>
        </w:rPr>
        <w:t>After much experimentation, I have opted not to pursue analysis of the words of any actual texts, whether literary or bibliographic. Certainly, the early Gothic is uncharted territory for computational stylometry; the one corpus-based analysis which I was able to discover, an MSc dissertation by Stephanie Jones (2010), begins its investigation in 1816, well past the Gothic’s first flourishing. However, full-text analysis relies on having full texts, which are readily available only for the most critically-examined novels. It is the nature of my project to rely on the work of my scholarly predecessors, but I did not wish to replicate this emphasis of attention.</w:t>
      </w:r>
    </w:p>
  </w:footnote>
  <w:footnote w:id="2">
    <w:p w14:paraId="5AB5B29A" w14:textId="6058D6A5" w:rsidR="00CC292D" w:rsidRPr="00362B41" w:rsidRDefault="00CC292D" w:rsidP="00C952FA">
      <w:pPr>
        <w:pStyle w:val="FootnoteText"/>
        <w:rPr>
          <w:rFonts w:ascii="Times New Roman" w:hAnsi="Times New Roman" w:cs="Times New Roman"/>
          <w:lang w:val="en-US"/>
        </w:rPr>
      </w:pPr>
      <w:r w:rsidRPr="00362B41">
        <w:rPr>
          <w:rStyle w:val="FootnoteReference"/>
          <w:rFonts w:ascii="Times New Roman" w:hAnsi="Times New Roman" w:cs="Times New Roman"/>
        </w:rPr>
        <w:footnoteRef/>
      </w:r>
      <w:r w:rsidRPr="00362B41">
        <w:rPr>
          <w:rFonts w:ascii="Times New Roman" w:hAnsi="Times New Roman" w:cs="Times New Roman"/>
        </w:rPr>
        <w:t xml:space="preserve"> </w:t>
      </w:r>
      <w:r w:rsidRPr="00362B41">
        <w:rPr>
          <w:rFonts w:ascii="Times New Roman" w:hAnsi="Times New Roman" w:cs="Times New Roman"/>
          <w:lang w:val="en-US"/>
        </w:rPr>
        <w:t>For a recognition of the methodologies of “ordinary ‘paper based’ literary criticism” (Ramsay), I could also have taken Stephen Ramsay’s “Algorithmic Criticism” as my foundation. Ramsay argues that “[a]ny reading of a text… relies on a heuristic of radical transformation” (Ramsay), noting that “[t]he critic who endeavors to put forth a ‘reading,’ puts forth not the text, but a new text in which the data has been paraphrased, elaborated, selected, truncated, and transduced” (Ramsay). However, Ramsay ultimately subordinates his computational experiments to “the grander rhetorical formations that constitute critical reading” (Ramsay). I take Samuels and McGann as my starting-place largely for their willingness to treat their created texts seriously as new and separate objects of interpretation.</w:t>
      </w:r>
    </w:p>
  </w:footnote>
  <w:footnote w:id="3">
    <w:p w14:paraId="14692E8F" w14:textId="432AC003" w:rsidR="00CC292D" w:rsidRPr="00362B41" w:rsidRDefault="00CC292D">
      <w:pPr>
        <w:pStyle w:val="FootnoteText"/>
        <w:rPr>
          <w:rFonts w:ascii="Times New Roman" w:hAnsi="Times New Roman" w:cs="Times New Roman"/>
          <w:lang w:val="en-US"/>
        </w:rPr>
      </w:pPr>
      <w:r w:rsidRPr="00362B41">
        <w:rPr>
          <w:rStyle w:val="FootnoteReference"/>
          <w:rFonts w:ascii="Times New Roman" w:hAnsi="Times New Roman" w:cs="Times New Roman"/>
        </w:rPr>
        <w:footnoteRef/>
      </w:r>
      <w:r w:rsidRPr="00362B41">
        <w:rPr>
          <w:rFonts w:ascii="Times New Roman" w:hAnsi="Times New Roman" w:cs="Times New Roman"/>
        </w:rPr>
        <w:t xml:space="preserve"> </w:t>
      </w:r>
      <w:r w:rsidRPr="00362B41">
        <w:rPr>
          <w:rFonts w:ascii="Times New Roman" w:hAnsi="Times New Roman" w:cs="Times New Roman"/>
          <w:lang w:val="en-US"/>
        </w:rPr>
        <w:t>In cases where a sub-category contains more than 20 novels in and of itself, I have graphed that sub-category as if it were its own motif. “Death,” for example, is divided into the sub-categories “emotionally induced,” “pre-nuptial,” and “sad and/or pious,” of which both “emotionally induced” and “sad/pious” include more than 20 novels. Accordingly, “Death” exists as three charts—“death (all subcategories),” “death, emotionally induced,” and “death, sad and/or pious.” Ultimately, the 70 key motifs generated 92 charts.</w:t>
      </w:r>
    </w:p>
  </w:footnote>
  <w:footnote w:id="4">
    <w:p w14:paraId="535B1A84" w14:textId="21D88D5F" w:rsidR="00CC292D" w:rsidRPr="00362B41" w:rsidRDefault="00CC292D">
      <w:pPr>
        <w:pStyle w:val="FootnoteText"/>
        <w:rPr>
          <w:rFonts w:ascii="Times New Roman" w:hAnsi="Times New Roman" w:cs="Times New Roman"/>
          <w:lang w:val="en-US"/>
        </w:rPr>
      </w:pPr>
      <w:r w:rsidRPr="00362B41">
        <w:rPr>
          <w:rStyle w:val="FootnoteReference"/>
          <w:rFonts w:ascii="Times New Roman" w:hAnsi="Times New Roman" w:cs="Times New Roman"/>
        </w:rPr>
        <w:footnoteRef/>
      </w:r>
      <w:r w:rsidRPr="00362B41">
        <w:rPr>
          <w:rFonts w:ascii="Times New Roman" w:hAnsi="Times New Roman" w:cs="Times New Roman"/>
        </w:rPr>
        <w:t xml:space="preserve"> </w:t>
      </w:r>
      <w:r w:rsidRPr="00362B41">
        <w:rPr>
          <w:rFonts w:ascii="Times New Roman" w:hAnsi="Times New Roman" w:cs="Times New Roman"/>
          <w:lang w:val="en-US"/>
        </w:rPr>
        <w:t>I interpret a motif to be “distinctly male” if 60% or more of its authors are male.</w:t>
      </w:r>
    </w:p>
  </w:footnote>
  <w:footnote w:id="5">
    <w:p w14:paraId="0081AEF8" w14:textId="4BBAB594" w:rsidR="00CC292D" w:rsidRPr="00362B41" w:rsidRDefault="00CC292D">
      <w:pPr>
        <w:pStyle w:val="FootnoteText"/>
        <w:rPr>
          <w:rFonts w:ascii="Times New Roman" w:hAnsi="Times New Roman" w:cs="Times New Roman"/>
          <w:lang w:val="en-US"/>
        </w:rPr>
      </w:pPr>
      <w:r w:rsidRPr="00362B41">
        <w:rPr>
          <w:rStyle w:val="FootnoteReference"/>
          <w:rFonts w:ascii="Times New Roman" w:hAnsi="Times New Roman" w:cs="Times New Roman"/>
        </w:rPr>
        <w:footnoteRef/>
      </w:r>
      <w:r w:rsidRPr="00362B41">
        <w:rPr>
          <w:rFonts w:ascii="Times New Roman" w:hAnsi="Times New Roman" w:cs="Times New Roman"/>
        </w:rPr>
        <w:t xml:space="preserve"> </w:t>
      </w:r>
      <w:r w:rsidRPr="00362B41">
        <w:rPr>
          <w:rFonts w:ascii="Times New Roman" w:hAnsi="Times New Roman" w:cs="Times New Roman"/>
          <w:lang w:val="en-US"/>
        </w:rPr>
        <w:t>Even the Radcliffean plot elements of subterranean passages (fig. 61), caves (fig. 59), and secret doors (fig. 71) turn out to be firmly correlated with male authors, not female. Moreover, if Radcliffe herself is temporarily excluded, and the gendered usage of those three motifs is evaluated based on the 101 other women in my sample, all three become more than two-thirds male-authored (figs. 71, 76, and 87).</w:t>
      </w:r>
    </w:p>
  </w:footnote>
  <w:footnote w:id="6">
    <w:p w14:paraId="5F41CC05" w14:textId="735A5951" w:rsidR="00CC292D" w:rsidRPr="00362B41" w:rsidRDefault="00CC292D">
      <w:pPr>
        <w:pStyle w:val="FootnoteText"/>
        <w:rPr>
          <w:rFonts w:ascii="Times New Roman" w:hAnsi="Times New Roman" w:cs="Times New Roman"/>
          <w:lang w:val="en-US"/>
        </w:rPr>
      </w:pPr>
      <w:r w:rsidRPr="00362B41">
        <w:rPr>
          <w:rStyle w:val="FootnoteReference"/>
          <w:rFonts w:ascii="Times New Roman" w:hAnsi="Times New Roman" w:cs="Times New Roman"/>
        </w:rPr>
        <w:footnoteRef/>
      </w:r>
      <w:r w:rsidRPr="00362B41">
        <w:rPr>
          <w:rFonts w:ascii="Times New Roman" w:hAnsi="Times New Roman" w:cs="Times New Roman"/>
        </w:rPr>
        <w:t xml:space="preserve"> </w:t>
      </w:r>
      <w:r w:rsidRPr="00362B41">
        <w:rPr>
          <w:rFonts w:ascii="Times New Roman" w:hAnsi="Times New Roman" w:cs="Times New Roman"/>
          <w:lang w:val="en-US"/>
        </w:rPr>
        <w:t>“Tag” here is a clumsy term for “column of a spreadsheet with Boolean entries.” I sought to treat each individual concept within Frank’s types the same way Tracy treated her motifs, breaking each of Frank’s strings into individual descriptors which could be tracked independently. For each word of a book’s description, I either tallied the book under an existing tag, created a new tag, or (in the case of words like “the” and “mode”) ignored the word. Given that my sample was miniscule in computational terms, I found it simpler to apply myself as a ‘human algorithm’ than to program a parser.</w:t>
      </w:r>
    </w:p>
  </w:footnote>
  <w:footnote w:id="7">
    <w:p w14:paraId="44E423F5" w14:textId="53CAF295" w:rsidR="00CC292D" w:rsidRPr="00362B41" w:rsidRDefault="00CC292D">
      <w:pPr>
        <w:pStyle w:val="FootnoteText"/>
        <w:rPr>
          <w:rFonts w:ascii="Times New Roman" w:hAnsi="Times New Roman" w:cs="Times New Roman"/>
          <w:lang w:val="en-US"/>
        </w:rPr>
      </w:pPr>
      <w:r w:rsidRPr="00362B41">
        <w:rPr>
          <w:rStyle w:val="FootnoteReference"/>
          <w:rFonts w:ascii="Times New Roman" w:hAnsi="Times New Roman" w:cs="Times New Roman"/>
        </w:rPr>
        <w:footnoteRef/>
      </w:r>
      <w:r>
        <w:rPr>
          <w:rFonts w:ascii="Times New Roman" w:hAnsi="Times New Roman" w:cs="Times New Roman"/>
          <w:lang w:val="en-US"/>
        </w:rPr>
        <w:t xml:space="preserve"> </w:t>
      </w:r>
      <w:r w:rsidRPr="00362B41">
        <w:rPr>
          <w:rFonts w:ascii="Times New Roman" w:hAnsi="Times New Roman" w:cs="Times New Roman"/>
          <w:lang w:val="en-US"/>
        </w:rPr>
        <w:t>Because each chart was specialized to a particular sub-question, each chart has its own slightly different procedure</w:t>
      </w:r>
      <w:r>
        <w:rPr>
          <w:rFonts w:ascii="Times New Roman" w:hAnsi="Times New Roman" w:cs="Times New Roman"/>
          <w:lang w:val="en-US"/>
        </w:rPr>
        <w:t>, designed in accordance with the questions that the chart is meant to answer. Across all the charts based on Frank’s information, s</w:t>
      </w:r>
      <w:r w:rsidRPr="00362B41">
        <w:rPr>
          <w:rFonts w:ascii="Times New Roman" w:hAnsi="Times New Roman" w:cs="Times New Roman"/>
          <w:lang w:val="en-US"/>
        </w:rPr>
        <w:t xml:space="preserve">tacked bar graphs let me </w:t>
      </w:r>
      <w:r>
        <w:rPr>
          <w:rFonts w:ascii="Times New Roman" w:hAnsi="Times New Roman" w:cs="Times New Roman"/>
          <w:lang w:val="en-US"/>
        </w:rPr>
        <w:t>compare varying numbers of elements</w:t>
      </w:r>
      <w:r w:rsidRPr="00362B41">
        <w:rPr>
          <w:rFonts w:ascii="Times New Roman" w:hAnsi="Times New Roman" w:cs="Times New Roman"/>
          <w:lang w:val="en-US"/>
        </w:rPr>
        <w:t xml:space="preserve">. Showing the raw counts, rather than </w:t>
      </w:r>
      <w:r>
        <w:rPr>
          <w:rFonts w:ascii="Times New Roman" w:hAnsi="Times New Roman" w:cs="Times New Roman"/>
          <w:lang w:val="en-US"/>
        </w:rPr>
        <w:t xml:space="preserve">scaled </w:t>
      </w:r>
      <w:r w:rsidRPr="00362B41">
        <w:rPr>
          <w:rFonts w:ascii="Times New Roman" w:hAnsi="Times New Roman" w:cs="Times New Roman"/>
          <w:lang w:val="en-US"/>
        </w:rPr>
        <w:t>percentages</w:t>
      </w:r>
      <w:r>
        <w:rPr>
          <w:rFonts w:ascii="Times New Roman" w:hAnsi="Times New Roman" w:cs="Times New Roman"/>
          <w:lang w:val="en-US"/>
        </w:rPr>
        <w:t>,</w:t>
      </w:r>
      <w:r w:rsidRPr="00362B41">
        <w:rPr>
          <w:rFonts w:ascii="Times New Roman" w:hAnsi="Times New Roman" w:cs="Times New Roman"/>
          <w:lang w:val="en-US"/>
        </w:rPr>
        <w:t xml:space="preserve"> allows the size of each bar to convey the relative prevalence of each tag</w:t>
      </w:r>
      <w:r>
        <w:rPr>
          <w:rFonts w:ascii="Times New Roman" w:hAnsi="Times New Roman" w:cs="Times New Roman"/>
          <w:lang w:val="en-US"/>
        </w:rPr>
        <w:t>. Although the limitations of Microsoft Excel meant that I had to eyeball the sizes, the width of one book in a bar graph is consistent across all the graphs, allowing them to be accurately compared to each other.</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revisionView w:markup="0"/>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6416"/>
    <w:rsid w:val="0001755B"/>
    <w:rsid w:val="00030505"/>
    <w:rsid w:val="00053E32"/>
    <w:rsid w:val="000A1ADB"/>
    <w:rsid w:val="000C4C8E"/>
    <w:rsid w:val="000E4217"/>
    <w:rsid w:val="0010126B"/>
    <w:rsid w:val="00104C76"/>
    <w:rsid w:val="00132325"/>
    <w:rsid w:val="00152854"/>
    <w:rsid w:val="0015341C"/>
    <w:rsid w:val="001A0BBC"/>
    <w:rsid w:val="001A5413"/>
    <w:rsid w:val="001D43BE"/>
    <w:rsid w:val="001F1DE5"/>
    <w:rsid w:val="001F37E3"/>
    <w:rsid w:val="002171BE"/>
    <w:rsid w:val="00227EB8"/>
    <w:rsid w:val="00247F47"/>
    <w:rsid w:val="00272B2A"/>
    <w:rsid w:val="00281910"/>
    <w:rsid w:val="002C60CC"/>
    <w:rsid w:val="002D6DD2"/>
    <w:rsid w:val="002E39F2"/>
    <w:rsid w:val="002E78AE"/>
    <w:rsid w:val="00303674"/>
    <w:rsid w:val="00335A39"/>
    <w:rsid w:val="00346416"/>
    <w:rsid w:val="00353641"/>
    <w:rsid w:val="00353DA8"/>
    <w:rsid w:val="00362B41"/>
    <w:rsid w:val="003A2212"/>
    <w:rsid w:val="003C2E58"/>
    <w:rsid w:val="003C4F9E"/>
    <w:rsid w:val="003E51A4"/>
    <w:rsid w:val="003F75F9"/>
    <w:rsid w:val="004176EF"/>
    <w:rsid w:val="004225FB"/>
    <w:rsid w:val="0046794F"/>
    <w:rsid w:val="004970DC"/>
    <w:rsid w:val="004A0DD1"/>
    <w:rsid w:val="004B749D"/>
    <w:rsid w:val="004E474D"/>
    <w:rsid w:val="00510A7C"/>
    <w:rsid w:val="00527524"/>
    <w:rsid w:val="00535A00"/>
    <w:rsid w:val="00540B01"/>
    <w:rsid w:val="005567F9"/>
    <w:rsid w:val="005B44C1"/>
    <w:rsid w:val="005D7ACA"/>
    <w:rsid w:val="005E49C8"/>
    <w:rsid w:val="00636B05"/>
    <w:rsid w:val="006831B4"/>
    <w:rsid w:val="006C58CC"/>
    <w:rsid w:val="006C7316"/>
    <w:rsid w:val="006E4307"/>
    <w:rsid w:val="006F4A07"/>
    <w:rsid w:val="0071092F"/>
    <w:rsid w:val="00714294"/>
    <w:rsid w:val="00733D82"/>
    <w:rsid w:val="007356F0"/>
    <w:rsid w:val="00744013"/>
    <w:rsid w:val="00744132"/>
    <w:rsid w:val="00782BBC"/>
    <w:rsid w:val="00790EE5"/>
    <w:rsid w:val="007A73D4"/>
    <w:rsid w:val="007B26AA"/>
    <w:rsid w:val="007C77FE"/>
    <w:rsid w:val="007E1D3B"/>
    <w:rsid w:val="00851276"/>
    <w:rsid w:val="008725AC"/>
    <w:rsid w:val="0089170A"/>
    <w:rsid w:val="008E4AC6"/>
    <w:rsid w:val="008E7ED4"/>
    <w:rsid w:val="00904B37"/>
    <w:rsid w:val="00942E4E"/>
    <w:rsid w:val="009D3C11"/>
    <w:rsid w:val="009F33A2"/>
    <w:rsid w:val="009F4FA7"/>
    <w:rsid w:val="00A00E18"/>
    <w:rsid w:val="00A27179"/>
    <w:rsid w:val="00AB4C81"/>
    <w:rsid w:val="00B005EE"/>
    <w:rsid w:val="00B0394C"/>
    <w:rsid w:val="00B43E84"/>
    <w:rsid w:val="00B53C23"/>
    <w:rsid w:val="00B737AE"/>
    <w:rsid w:val="00B76AAE"/>
    <w:rsid w:val="00B77284"/>
    <w:rsid w:val="00BC598E"/>
    <w:rsid w:val="00BF5F0E"/>
    <w:rsid w:val="00C0527E"/>
    <w:rsid w:val="00C068EE"/>
    <w:rsid w:val="00C17FD8"/>
    <w:rsid w:val="00C512B6"/>
    <w:rsid w:val="00C86184"/>
    <w:rsid w:val="00C952FA"/>
    <w:rsid w:val="00CA51DB"/>
    <w:rsid w:val="00CC08C3"/>
    <w:rsid w:val="00CC292D"/>
    <w:rsid w:val="00CD0292"/>
    <w:rsid w:val="00CF6585"/>
    <w:rsid w:val="00CF6A39"/>
    <w:rsid w:val="00D0648A"/>
    <w:rsid w:val="00D4576F"/>
    <w:rsid w:val="00D603F6"/>
    <w:rsid w:val="00D6289A"/>
    <w:rsid w:val="00D65CAB"/>
    <w:rsid w:val="00D976A0"/>
    <w:rsid w:val="00DC09E7"/>
    <w:rsid w:val="00DD19A4"/>
    <w:rsid w:val="00DD7187"/>
    <w:rsid w:val="00DF76FE"/>
    <w:rsid w:val="00E14E43"/>
    <w:rsid w:val="00E3729F"/>
    <w:rsid w:val="00E66AF5"/>
    <w:rsid w:val="00E81923"/>
    <w:rsid w:val="00EB7E37"/>
    <w:rsid w:val="00EC141F"/>
    <w:rsid w:val="00ED66B7"/>
    <w:rsid w:val="00EF1202"/>
    <w:rsid w:val="00EF7920"/>
    <w:rsid w:val="00F02DE1"/>
    <w:rsid w:val="00F74E3C"/>
    <w:rsid w:val="00F90B3D"/>
    <w:rsid w:val="00FD567E"/>
    <w:rsid w:val="00FE7D09"/>
    <w:rsid w:val="00FF0A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EDE07E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paragraph" w:styleId="Heading1">
    <w:name w:val="heading 1"/>
    <w:basedOn w:val="Normal"/>
    <w:next w:val="Normal"/>
    <w:link w:val="Heading1Char"/>
    <w:uiPriority w:val="9"/>
    <w:qFormat/>
    <w:rsid w:val="0003050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ssayParagraph">
    <w:name w:val="Essay Paragraph"/>
    <w:basedOn w:val="Normal"/>
    <w:qFormat/>
    <w:rsid w:val="003C2E58"/>
    <w:pPr>
      <w:spacing w:line="480" w:lineRule="auto"/>
      <w:ind w:firstLine="432"/>
    </w:pPr>
    <w:rPr>
      <w:rFonts w:ascii="Times New Roman" w:hAnsi="Times New Roman"/>
    </w:rPr>
  </w:style>
  <w:style w:type="paragraph" w:styleId="BalloonText">
    <w:name w:val="Balloon Text"/>
    <w:basedOn w:val="Normal"/>
    <w:link w:val="BalloonTextChar"/>
    <w:uiPriority w:val="99"/>
    <w:semiHidden/>
    <w:unhideWhenUsed/>
    <w:rsid w:val="0034641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46416"/>
    <w:rPr>
      <w:rFonts w:ascii="Lucida Grande" w:hAnsi="Lucida Grande" w:cs="Lucida Grande"/>
      <w:sz w:val="18"/>
      <w:szCs w:val="18"/>
      <w:lang w:val="en-CA"/>
    </w:rPr>
  </w:style>
  <w:style w:type="paragraph" w:styleId="Header">
    <w:name w:val="header"/>
    <w:basedOn w:val="Normal"/>
    <w:link w:val="HeaderChar"/>
    <w:uiPriority w:val="99"/>
    <w:unhideWhenUsed/>
    <w:rsid w:val="00335A39"/>
    <w:pPr>
      <w:tabs>
        <w:tab w:val="center" w:pos="4320"/>
        <w:tab w:val="right" w:pos="8640"/>
      </w:tabs>
    </w:pPr>
  </w:style>
  <w:style w:type="character" w:customStyle="1" w:styleId="HeaderChar">
    <w:name w:val="Header Char"/>
    <w:basedOn w:val="DefaultParagraphFont"/>
    <w:link w:val="Header"/>
    <w:uiPriority w:val="99"/>
    <w:rsid w:val="00335A39"/>
    <w:rPr>
      <w:lang w:val="en-CA"/>
    </w:rPr>
  </w:style>
  <w:style w:type="paragraph" w:styleId="Footer">
    <w:name w:val="footer"/>
    <w:basedOn w:val="Normal"/>
    <w:link w:val="FooterChar"/>
    <w:uiPriority w:val="99"/>
    <w:unhideWhenUsed/>
    <w:rsid w:val="00335A39"/>
    <w:pPr>
      <w:tabs>
        <w:tab w:val="center" w:pos="4320"/>
        <w:tab w:val="right" w:pos="8640"/>
      </w:tabs>
    </w:pPr>
  </w:style>
  <w:style w:type="character" w:customStyle="1" w:styleId="FooterChar">
    <w:name w:val="Footer Char"/>
    <w:basedOn w:val="DefaultParagraphFont"/>
    <w:link w:val="Footer"/>
    <w:uiPriority w:val="99"/>
    <w:rsid w:val="00335A39"/>
    <w:rPr>
      <w:lang w:val="en-CA"/>
    </w:rPr>
  </w:style>
  <w:style w:type="character" w:styleId="PageNumber">
    <w:name w:val="page number"/>
    <w:basedOn w:val="DefaultParagraphFont"/>
    <w:uiPriority w:val="99"/>
    <w:semiHidden/>
    <w:unhideWhenUsed/>
    <w:rsid w:val="00335A39"/>
  </w:style>
  <w:style w:type="character" w:styleId="CommentReference">
    <w:name w:val="annotation reference"/>
    <w:basedOn w:val="DefaultParagraphFont"/>
    <w:uiPriority w:val="99"/>
    <w:semiHidden/>
    <w:unhideWhenUsed/>
    <w:rsid w:val="003F75F9"/>
    <w:rPr>
      <w:sz w:val="18"/>
      <w:szCs w:val="18"/>
    </w:rPr>
  </w:style>
  <w:style w:type="paragraph" w:styleId="CommentText">
    <w:name w:val="annotation text"/>
    <w:basedOn w:val="Normal"/>
    <w:link w:val="CommentTextChar"/>
    <w:uiPriority w:val="99"/>
    <w:semiHidden/>
    <w:unhideWhenUsed/>
    <w:rsid w:val="003F75F9"/>
  </w:style>
  <w:style w:type="character" w:customStyle="1" w:styleId="CommentTextChar">
    <w:name w:val="Comment Text Char"/>
    <w:basedOn w:val="DefaultParagraphFont"/>
    <w:link w:val="CommentText"/>
    <w:uiPriority w:val="99"/>
    <w:semiHidden/>
    <w:rsid w:val="003F75F9"/>
    <w:rPr>
      <w:lang w:val="en-CA"/>
    </w:rPr>
  </w:style>
  <w:style w:type="paragraph" w:styleId="CommentSubject">
    <w:name w:val="annotation subject"/>
    <w:basedOn w:val="CommentText"/>
    <w:next w:val="CommentText"/>
    <w:link w:val="CommentSubjectChar"/>
    <w:uiPriority w:val="99"/>
    <w:semiHidden/>
    <w:unhideWhenUsed/>
    <w:rsid w:val="003F75F9"/>
    <w:rPr>
      <w:b/>
      <w:bCs/>
      <w:sz w:val="20"/>
      <w:szCs w:val="20"/>
    </w:rPr>
  </w:style>
  <w:style w:type="character" w:customStyle="1" w:styleId="CommentSubjectChar">
    <w:name w:val="Comment Subject Char"/>
    <w:basedOn w:val="CommentTextChar"/>
    <w:link w:val="CommentSubject"/>
    <w:uiPriority w:val="99"/>
    <w:semiHidden/>
    <w:rsid w:val="003F75F9"/>
    <w:rPr>
      <w:b/>
      <w:bCs/>
      <w:sz w:val="20"/>
      <w:szCs w:val="20"/>
      <w:lang w:val="en-CA"/>
    </w:rPr>
  </w:style>
  <w:style w:type="character" w:customStyle="1" w:styleId="Heading1Char">
    <w:name w:val="Heading 1 Char"/>
    <w:basedOn w:val="DefaultParagraphFont"/>
    <w:link w:val="Heading1"/>
    <w:uiPriority w:val="9"/>
    <w:rsid w:val="00030505"/>
    <w:rPr>
      <w:rFonts w:asciiTheme="majorHAnsi" w:eastAsiaTheme="majorEastAsia" w:hAnsiTheme="majorHAnsi" w:cstheme="majorBidi"/>
      <w:b/>
      <w:bCs/>
      <w:color w:val="345A8A" w:themeColor="accent1" w:themeShade="B5"/>
      <w:sz w:val="32"/>
      <w:szCs w:val="32"/>
      <w:lang w:val="en-CA"/>
    </w:rPr>
  </w:style>
  <w:style w:type="paragraph" w:styleId="Caption">
    <w:name w:val="caption"/>
    <w:basedOn w:val="Normal"/>
    <w:next w:val="Normal"/>
    <w:uiPriority w:val="35"/>
    <w:unhideWhenUsed/>
    <w:qFormat/>
    <w:rsid w:val="0015341C"/>
    <w:pPr>
      <w:spacing w:after="200"/>
    </w:pPr>
    <w:rPr>
      <w:b/>
      <w:bCs/>
      <w:color w:val="4F81BD" w:themeColor="accent1"/>
      <w:sz w:val="18"/>
      <w:szCs w:val="18"/>
    </w:rPr>
  </w:style>
  <w:style w:type="paragraph" w:styleId="FootnoteText">
    <w:name w:val="footnote text"/>
    <w:basedOn w:val="Normal"/>
    <w:link w:val="FootnoteTextChar"/>
    <w:uiPriority w:val="99"/>
    <w:unhideWhenUsed/>
    <w:rsid w:val="00CF6585"/>
  </w:style>
  <w:style w:type="character" w:customStyle="1" w:styleId="FootnoteTextChar">
    <w:name w:val="Footnote Text Char"/>
    <w:basedOn w:val="DefaultParagraphFont"/>
    <w:link w:val="FootnoteText"/>
    <w:uiPriority w:val="99"/>
    <w:rsid w:val="00CF6585"/>
    <w:rPr>
      <w:lang w:val="en-CA"/>
    </w:rPr>
  </w:style>
  <w:style w:type="character" w:styleId="FootnoteReference">
    <w:name w:val="footnote reference"/>
    <w:basedOn w:val="DefaultParagraphFont"/>
    <w:uiPriority w:val="99"/>
    <w:unhideWhenUsed/>
    <w:rsid w:val="00CF6585"/>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paragraph" w:styleId="Heading1">
    <w:name w:val="heading 1"/>
    <w:basedOn w:val="Normal"/>
    <w:next w:val="Normal"/>
    <w:link w:val="Heading1Char"/>
    <w:uiPriority w:val="9"/>
    <w:qFormat/>
    <w:rsid w:val="0003050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ssayParagraph">
    <w:name w:val="Essay Paragraph"/>
    <w:basedOn w:val="Normal"/>
    <w:qFormat/>
    <w:rsid w:val="003C2E58"/>
    <w:pPr>
      <w:spacing w:line="480" w:lineRule="auto"/>
      <w:ind w:firstLine="432"/>
    </w:pPr>
    <w:rPr>
      <w:rFonts w:ascii="Times New Roman" w:hAnsi="Times New Roman"/>
    </w:rPr>
  </w:style>
  <w:style w:type="paragraph" w:styleId="BalloonText">
    <w:name w:val="Balloon Text"/>
    <w:basedOn w:val="Normal"/>
    <w:link w:val="BalloonTextChar"/>
    <w:uiPriority w:val="99"/>
    <w:semiHidden/>
    <w:unhideWhenUsed/>
    <w:rsid w:val="0034641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46416"/>
    <w:rPr>
      <w:rFonts w:ascii="Lucida Grande" w:hAnsi="Lucida Grande" w:cs="Lucida Grande"/>
      <w:sz w:val="18"/>
      <w:szCs w:val="18"/>
      <w:lang w:val="en-CA"/>
    </w:rPr>
  </w:style>
  <w:style w:type="paragraph" w:styleId="Header">
    <w:name w:val="header"/>
    <w:basedOn w:val="Normal"/>
    <w:link w:val="HeaderChar"/>
    <w:uiPriority w:val="99"/>
    <w:unhideWhenUsed/>
    <w:rsid w:val="00335A39"/>
    <w:pPr>
      <w:tabs>
        <w:tab w:val="center" w:pos="4320"/>
        <w:tab w:val="right" w:pos="8640"/>
      </w:tabs>
    </w:pPr>
  </w:style>
  <w:style w:type="character" w:customStyle="1" w:styleId="HeaderChar">
    <w:name w:val="Header Char"/>
    <w:basedOn w:val="DefaultParagraphFont"/>
    <w:link w:val="Header"/>
    <w:uiPriority w:val="99"/>
    <w:rsid w:val="00335A39"/>
    <w:rPr>
      <w:lang w:val="en-CA"/>
    </w:rPr>
  </w:style>
  <w:style w:type="paragraph" w:styleId="Footer">
    <w:name w:val="footer"/>
    <w:basedOn w:val="Normal"/>
    <w:link w:val="FooterChar"/>
    <w:uiPriority w:val="99"/>
    <w:unhideWhenUsed/>
    <w:rsid w:val="00335A39"/>
    <w:pPr>
      <w:tabs>
        <w:tab w:val="center" w:pos="4320"/>
        <w:tab w:val="right" w:pos="8640"/>
      </w:tabs>
    </w:pPr>
  </w:style>
  <w:style w:type="character" w:customStyle="1" w:styleId="FooterChar">
    <w:name w:val="Footer Char"/>
    <w:basedOn w:val="DefaultParagraphFont"/>
    <w:link w:val="Footer"/>
    <w:uiPriority w:val="99"/>
    <w:rsid w:val="00335A39"/>
    <w:rPr>
      <w:lang w:val="en-CA"/>
    </w:rPr>
  </w:style>
  <w:style w:type="character" w:styleId="PageNumber">
    <w:name w:val="page number"/>
    <w:basedOn w:val="DefaultParagraphFont"/>
    <w:uiPriority w:val="99"/>
    <w:semiHidden/>
    <w:unhideWhenUsed/>
    <w:rsid w:val="00335A39"/>
  </w:style>
  <w:style w:type="character" w:styleId="CommentReference">
    <w:name w:val="annotation reference"/>
    <w:basedOn w:val="DefaultParagraphFont"/>
    <w:uiPriority w:val="99"/>
    <w:semiHidden/>
    <w:unhideWhenUsed/>
    <w:rsid w:val="003F75F9"/>
    <w:rPr>
      <w:sz w:val="18"/>
      <w:szCs w:val="18"/>
    </w:rPr>
  </w:style>
  <w:style w:type="paragraph" w:styleId="CommentText">
    <w:name w:val="annotation text"/>
    <w:basedOn w:val="Normal"/>
    <w:link w:val="CommentTextChar"/>
    <w:uiPriority w:val="99"/>
    <w:semiHidden/>
    <w:unhideWhenUsed/>
    <w:rsid w:val="003F75F9"/>
  </w:style>
  <w:style w:type="character" w:customStyle="1" w:styleId="CommentTextChar">
    <w:name w:val="Comment Text Char"/>
    <w:basedOn w:val="DefaultParagraphFont"/>
    <w:link w:val="CommentText"/>
    <w:uiPriority w:val="99"/>
    <w:semiHidden/>
    <w:rsid w:val="003F75F9"/>
    <w:rPr>
      <w:lang w:val="en-CA"/>
    </w:rPr>
  </w:style>
  <w:style w:type="paragraph" w:styleId="CommentSubject">
    <w:name w:val="annotation subject"/>
    <w:basedOn w:val="CommentText"/>
    <w:next w:val="CommentText"/>
    <w:link w:val="CommentSubjectChar"/>
    <w:uiPriority w:val="99"/>
    <w:semiHidden/>
    <w:unhideWhenUsed/>
    <w:rsid w:val="003F75F9"/>
    <w:rPr>
      <w:b/>
      <w:bCs/>
      <w:sz w:val="20"/>
      <w:szCs w:val="20"/>
    </w:rPr>
  </w:style>
  <w:style w:type="character" w:customStyle="1" w:styleId="CommentSubjectChar">
    <w:name w:val="Comment Subject Char"/>
    <w:basedOn w:val="CommentTextChar"/>
    <w:link w:val="CommentSubject"/>
    <w:uiPriority w:val="99"/>
    <w:semiHidden/>
    <w:rsid w:val="003F75F9"/>
    <w:rPr>
      <w:b/>
      <w:bCs/>
      <w:sz w:val="20"/>
      <w:szCs w:val="20"/>
      <w:lang w:val="en-CA"/>
    </w:rPr>
  </w:style>
  <w:style w:type="character" w:customStyle="1" w:styleId="Heading1Char">
    <w:name w:val="Heading 1 Char"/>
    <w:basedOn w:val="DefaultParagraphFont"/>
    <w:link w:val="Heading1"/>
    <w:uiPriority w:val="9"/>
    <w:rsid w:val="00030505"/>
    <w:rPr>
      <w:rFonts w:asciiTheme="majorHAnsi" w:eastAsiaTheme="majorEastAsia" w:hAnsiTheme="majorHAnsi" w:cstheme="majorBidi"/>
      <w:b/>
      <w:bCs/>
      <w:color w:val="345A8A" w:themeColor="accent1" w:themeShade="B5"/>
      <w:sz w:val="32"/>
      <w:szCs w:val="32"/>
      <w:lang w:val="en-CA"/>
    </w:rPr>
  </w:style>
  <w:style w:type="paragraph" w:styleId="Caption">
    <w:name w:val="caption"/>
    <w:basedOn w:val="Normal"/>
    <w:next w:val="Normal"/>
    <w:uiPriority w:val="35"/>
    <w:unhideWhenUsed/>
    <w:qFormat/>
    <w:rsid w:val="0015341C"/>
    <w:pPr>
      <w:spacing w:after="200"/>
    </w:pPr>
    <w:rPr>
      <w:b/>
      <w:bCs/>
      <w:color w:val="4F81BD" w:themeColor="accent1"/>
      <w:sz w:val="18"/>
      <w:szCs w:val="18"/>
    </w:rPr>
  </w:style>
  <w:style w:type="paragraph" w:styleId="FootnoteText">
    <w:name w:val="footnote text"/>
    <w:basedOn w:val="Normal"/>
    <w:link w:val="FootnoteTextChar"/>
    <w:uiPriority w:val="99"/>
    <w:unhideWhenUsed/>
    <w:rsid w:val="00CF6585"/>
  </w:style>
  <w:style w:type="character" w:customStyle="1" w:styleId="FootnoteTextChar">
    <w:name w:val="Footnote Text Char"/>
    <w:basedOn w:val="DefaultParagraphFont"/>
    <w:link w:val="FootnoteText"/>
    <w:uiPriority w:val="99"/>
    <w:rsid w:val="00CF6585"/>
    <w:rPr>
      <w:lang w:val="en-CA"/>
    </w:rPr>
  </w:style>
  <w:style w:type="character" w:styleId="FootnoteReference">
    <w:name w:val="footnote reference"/>
    <w:basedOn w:val="DefaultParagraphFont"/>
    <w:uiPriority w:val="99"/>
    <w:unhideWhenUsed/>
    <w:rsid w:val="00CF658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97747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comments" Target="comments.xml"/><Relationship Id="rId21" Type="http://schemas.openxmlformats.org/officeDocument/2006/relationships/footer" Target="footer1.xml"/><Relationship Id="rId22" Type="http://schemas.openxmlformats.org/officeDocument/2006/relationships/footer" Target="footer2.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27003B-A5F6-C24E-BB68-3D8A4B6E88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TotalTime>
  <Pages>27</Pages>
  <Words>6780</Words>
  <Characters>38646</Characters>
  <Application>Microsoft Macintosh Word</Application>
  <DocSecurity>0</DocSecurity>
  <Lines>322</Lines>
  <Paragraphs>90</Paragraphs>
  <ScaleCrop>false</ScaleCrop>
  <Company>University of Victoria</Company>
  <LinksUpToDate>false</LinksUpToDate>
  <CharactersWithSpaces>45336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Evalyn</dc:creator>
  <cp:keywords/>
  <dc:description/>
  <cp:lastModifiedBy>Lawrence Evalyn</cp:lastModifiedBy>
  <cp:revision>48</cp:revision>
  <cp:lastPrinted>2015-04-22T19:37:00Z</cp:lastPrinted>
  <dcterms:created xsi:type="dcterms:W3CDTF">2015-05-15T19:54:00Z</dcterms:created>
  <dcterms:modified xsi:type="dcterms:W3CDTF">2015-05-22T15:37:00Z</dcterms:modified>
</cp:coreProperties>
</file>