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B3" w:rsidRDefault="000E45B3" w:rsidP="000E45B3">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Print Politics in the Digital Archive, 1789-99</w:t>
      </w:r>
    </w:p>
    <w:p w:rsidR="000E45B3" w:rsidRDefault="000E45B3" w:rsidP="000E45B3">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Chapter 1: Introduction</w:t>
      </w:r>
    </w:p>
    <w:p w:rsidR="00000000" w:rsidRPr="008E31AB" w:rsidRDefault="005A05A8" w:rsidP="00256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1.  </w:t>
      </w:r>
      <w:r w:rsidR="00D829B0" w:rsidRPr="008E31AB">
        <w:rPr>
          <w:rFonts w:cs="Georgia"/>
          <w:b/>
          <w:bCs/>
          <w:sz w:val="26"/>
          <w:szCs w:val="26"/>
        </w:rPr>
        <w:t>Introduction</w:t>
      </w:r>
    </w:p>
    <w:p w:rsidR="00000000" w:rsidRPr="008E31AB" w:rsidRDefault="005A05A8" w:rsidP="000E45B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This dissertation in concerned with the mechanism by which texts do or don’t ‘enter’ into ‘canons’</w:t>
      </w:r>
      <w:r w:rsidRPr="008E31AB">
        <w:rPr>
          <w:rFonts w:ascii="Times New Roman" w:hAnsi="Times New Roman" w:cs="Times New Roman"/>
        </w:rPr>
        <w:t xml:space="preserve"> of writings, particularly in the heightened political environment of England in the 1790s. In service of this goal, this dissertation seeks to determine, in as minute detail as possible, what the print landscape in England 1789-99 was actually like. It al</w:t>
      </w:r>
      <w:r w:rsidRPr="008E31AB">
        <w:rPr>
          <w:rFonts w:ascii="Times New Roman" w:hAnsi="Times New Roman" w:cs="Times New Roman"/>
        </w:rPr>
        <w:t>so seeks to explain, in equally minute detail, why this task of historical recovery is, in fact, impossible. In the process, I show how our persistently perplexing questions about canons can be asked, and answered, in new ways with digital tools. Computati</w:t>
      </w:r>
      <w:r w:rsidRPr="008E31AB">
        <w:rPr>
          <w:rFonts w:ascii="Times New Roman" w:hAnsi="Times New Roman" w:cs="Times New Roman"/>
        </w:rPr>
        <w:t>onal methods, in their close association with ‘big data’, are often advertised as the solution to the problems of scale which are presumed to motivate the formation of selective canons. As my own computational experimentation will reveal, however, computat</w:t>
      </w:r>
      <w:r w:rsidRPr="008E31AB">
        <w:rPr>
          <w:rFonts w:ascii="Times New Roman" w:hAnsi="Times New Roman" w:cs="Times New Roman"/>
        </w:rPr>
        <w:t xml:space="preserve">ional study more commonly undertakes the same judgment and valuation of texts in ‘canon formation’ and displaces this process onto ‘corpus building.’ It is difficult, when faced with flawed and complex competing narratives, to resist the impulse to simply </w:t>
      </w:r>
      <w:r w:rsidRPr="008E31AB">
        <w:rPr>
          <w:rFonts w:ascii="Times New Roman" w:hAnsi="Times New Roman" w:cs="Times New Roman"/>
        </w:rPr>
        <w:t xml:space="preserve">critique and reject all options. If we may learn any lessons from the 1790s, however, surely one must be the danger of universal paranoia.These, then, are the three scholarly conversations to which this dissertation contributes: the digital humanities, as </w:t>
      </w:r>
      <w:r w:rsidRPr="008E31AB">
        <w:rPr>
          <w:rFonts w:ascii="Times New Roman" w:hAnsi="Times New Roman" w:cs="Times New Roman"/>
        </w:rPr>
        <w:t>an increasingly self-reflective set of practices; eighteenth century studies, and the challenges presented by the 1790s; and the frameworks of reparative reading within queer theory which seem to offer valuable resources for both. The remainder of this cha</w:t>
      </w:r>
      <w:r w:rsidRPr="008E31AB">
        <w:rPr>
          <w:rFonts w:ascii="Times New Roman" w:hAnsi="Times New Roman" w:cs="Times New Roman"/>
        </w:rPr>
        <w:t xml:space="preserve">pter will describe in more detail the relevant scholarship in all three fields, then discuss </w:t>
      </w:r>
      <w:r w:rsidRPr="008E31AB">
        <w:rPr>
          <w:rFonts w:ascii="Times New Roman" w:hAnsi="Times New Roman" w:cs="Times New Roman"/>
        </w:rPr>
        <w:lastRenderedPageBreak/>
        <w:t>the overlaps between them which enable my work. Finally, this chapter will conclude with a description of the two computational experiments which drive the dissert</w:t>
      </w:r>
      <w:r w:rsidRPr="008E31AB">
        <w:rPr>
          <w:rFonts w:ascii="Times New Roman" w:hAnsi="Times New Roman" w:cs="Times New Roman"/>
        </w:rPr>
        <w:t>ation as a whole, situating them within the three fields, and providing a sketch of their development across the dissertation.</w:t>
      </w:r>
    </w:p>
    <w:p w:rsidR="00000000" w:rsidRPr="000E45B3" w:rsidRDefault="005A05A8" w:rsidP="00256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1.1.  </w:t>
      </w:r>
      <w:r w:rsidR="001224F0">
        <w:rPr>
          <w:rFonts w:cs="Georgia"/>
          <w:b/>
          <w:bCs/>
          <w:i/>
          <w:iCs/>
          <w:sz w:val="26"/>
          <w:szCs w:val="26"/>
        </w:rPr>
        <w:t xml:space="preserve">The </w:t>
      </w:r>
      <w:r w:rsidR="002B6718" w:rsidRPr="000E45B3">
        <w:rPr>
          <w:rFonts w:cs="Georgia"/>
          <w:b/>
          <w:bCs/>
          <w:i/>
          <w:iCs/>
          <w:sz w:val="26"/>
          <w:szCs w:val="26"/>
        </w:rPr>
        <w:t>Digital Humanities</w:t>
      </w:r>
    </w:p>
    <w:p w:rsidR="00000000" w:rsidRPr="008E31AB" w:rsidRDefault="005A05A8" w:rsidP="002B67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0" w:name="many_definitions_of_DH"/>
      <w:r w:rsidRPr="008E31AB">
        <w:rPr>
          <w:rFonts w:ascii="Times New Roman" w:hAnsi="Times New Roman" w:cs="Times New Roman"/>
        </w:rPr>
        <w:t>The</w:t>
      </w:r>
      <w:bookmarkEnd w:id="0"/>
      <w:r w:rsidRPr="008E31AB">
        <w:rPr>
          <w:rFonts w:ascii="Times New Roman" w:hAnsi="Times New Roman" w:cs="Times New Roman"/>
        </w:rPr>
        <w:t xml:space="preserve"> field of “digital humanities,” now several scholarly generations i</w:t>
      </w:r>
      <w:r w:rsidRPr="008E31AB">
        <w:rPr>
          <w:rFonts w:ascii="Times New Roman" w:hAnsi="Times New Roman" w:cs="Times New Roman"/>
        </w:rPr>
        <w:t>nto its development, has entered the phase in which so many scholars are carrying out “DH” research that no universally-acceptable definition of “DH” can exist. Many definitions are fundamentally methodological. These definitions describe what might be cal</w:t>
      </w:r>
      <w:r w:rsidRPr="008E31AB">
        <w:rPr>
          <w:rFonts w:ascii="Times New Roman" w:hAnsi="Times New Roman" w:cs="Times New Roman"/>
        </w:rPr>
        <w:t xml:space="preserve">led a “computational humanities.” Other definitions take up the new importance of digitality in daily life. This kind of work is increasingly described as “digital cultural studies.” In positioning this work as a “DH” dissertation, I might at first glance </w:t>
      </w:r>
      <w:r w:rsidRPr="008E31AB">
        <w:rPr>
          <w:rFonts w:ascii="Times New Roman" w:hAnsi="Times New Roman" w:cs="Times New Roman"/>
        </w:rPr>
        <w:t>seem to belong squarely within the “computational humanities.” To be sure, much of this work is intended to apply existing computational methodologies to conduct otherwise old-fashioned literary research. Several of my contributions, too, are purely method</w:t>
      </w:r>
      <w:r w:rsidRPr="008E31AB">
        <w:rPr>
          <w:rFonts w:ascii="Times New Roman" w:hAnsi="Times New Roman" w:cs="Times New Roman"/>
        </w:rPr>
        <w:t>ological in nature, in the development of new code and new guidelines for computational research using particular digital resources. However, as a fuller discussion of Johanna Drucker’s distinction between “data” and “capta” will elucidate later in this ch</w:t>
      </w:r>
      <w:r w:rsidRPr="008E31AB">
        <w:rPr>
          <w:rFonts w:ascii="Times New Roman" w:hAnsi="Times New Roman" w:cs="Times New Roman"/>
        </w:rPr>
        <w:t>apter, no computational research exists separately from a specific, local, culturally-defined context. Accordingly, my computational research into eighteenth century literature and my development of new computational methodologies are both ine</w:t>
      </w:r>
      <w:bookmarkStart w:id="1" w:name="_GoBack"/>
      <w:bookmarkEnd w:id="1"/>
      <w:r w:rsidRPr="008E31AB">
        <w:rPr>
          <w:rFonts w:ascii="Times New Roman" w:hAnsi="Times New Roman" w:cs="Times New Roman"/>
        </w:rPr>
        <w:t xml:space="preserve">vitably tied </w:t>
      </w:r>
      <w:r w:rsidRPr="008E31AB">
        <w:rPr>
          <w:rFonts w:ascii="Times New Roman" w:hAnsi="Times New Roman" w:cs="Times New Roman"/>
        </w:rPr>
        <w:t>to “digital culture.” My results often have more to say about contemporary digital archives, and the history of literary record-keeping, than they do about the eighteenth century itself. I therefore rely on an extensive body of work in cultural digital stu</w:t>
      </w:r>
      <w:r w:rsidRPr="008E31AB">
        <w:rPr>
          <w:rFonts w:ascii="Times New Roman" w:hAnsi="Times New Roman" w:cs="Times New Roman"/>
        </w:rPr>
        <w:t>dies to examine not only the eighteenth century, but eighteenth century studies.</w:t>
      </w:r>
    </w:p>
    <w:p w:rsidR="000000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 w:name="many_histories_of_DH"/>
      <w:r w:rsidRPr="008E31AB">
        <w:rPr>
          <w:rFonts w:ascii="Times New Roman" w:hAnsi="Times New Roman" w:cs="Times New Roman"/>
        </w:rPr>
        <w:lastRenderedPageBreak/>
        <w:t>When</w:t>
      </w:r>
      <w:bookmarkEnd w:id="2"/>
      <w:r w:rsidRPr="008E31AB">
        <w:rPr>
          <w:rFonts w:ascii="Times New Roman" w:hAnsi="Times New Roman" w:cs="Times New Roman"/>
        </w:rPr>
        <w:t xml:space="preserve"> telling a history of “DH,” one has many histories to choose from, all freighted with different implications for contemporary prac</w:t>
      </w:r>
      <w:r w:rsidRPr="008E31AB">
        <w:rPr>
          <w:rFonts w:ascii="Times New Roman" w:hAnsi="Times New Roman" w:cs="Times New Roman"/>
        </w:rPr>
        <w:t xml:space="preserve">tice. Ted Underwood’s “Genealogy of Distant Reading” presents a history of “distant reading” which is not for the most part centrally concerned with computers, and therefore fundamentally distinct from concepts of “digital humanities”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&lt;citation&gt;&lt;priority&gt;0&lt;/priority&gt;&lt;uuid&gt;1FA74043-D869-47FE-8E56-D77F5D76C27E&lt;/uuid&gt;&lt;publications&gt;&lt;publication&gt;&lt;subtype&gt;0&lt;/subtype&gt;&lt;publisher&gt;University of Michigan Press&lt;/publisher&gt;&lt;title&gt;Traces of the Old, Uses of the New: The Emergence of Digital Literary Studies&lt;/title&gt;&lt;url&gt;digitalhumanities.org/dhq/vol/11/2/000317/000317.html&lt;/url&gt;&lt;volume&gt;11&lt;/volume&gt;&lt;publication_date&gt;99201700001200000000200000&lt;/publication_date&gt;&lt;uuid&gt;EBFBDE92-A852-4B6F-B950-61B62908327F&lt;/uuid&gt;&lt;type&gt;0&lt;/type&gt;&lt;number&gt;2&lt;/number&gt;&lt;citekey&gt;Underwood:2017uc&lt;/citekey&gt;&lt;doi&gt;10.3998/etlc.13455322.0001.001&lt;/doi&gt;&lt;authors&gt;&lt;author&gt;&lt;lastName&gt;Earhart&lt;/lastName&gt;&lt;firstName&gt;Amy&lt;/firstName&gt;&lt;middleNames&gt;E&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(Earhart)</w:t>
      </w:r>
      <w:r w:rsidR="00256E7A" w:rsidRPr="008E31AB">
        <w:rPr>
          <w:rFonts w:ascii="Times New Roman" w:hAnsi="Times New Roman" w:cs="Times New Roman"/>
        </w:rPr>
        <w:fldChar w:fldCharType="end"/>
      </w:r>
      <w:r w:rsidRPr="008E31AB">
        <w:rPr>
          <w:rFonts w:ascii="Times New Roman" w:hAnsi="Times New Roman" w:cs="Times New Roman"/>
        </w:rPr>
        <w:t xml:space="preserve">. </w:t>
      </w:r>
      <w:r w:rsidRPr="008E31AB">
        <w:rPr>
          <w:rFonts w:ascii="Times New Roman" w:hAnsi="Times New Roman" w:cs="Times New Roman"/>
        </w:rPr>
        <w:t>[FEMINIST HISTORY OF DH.]</w:t>
      </w:r>
      <w:r w:rsidRPr="008E31AB">
        <w:rPr>
          <w:rFonts w:ascii="Times New Roman" w:hAnsi="Times New Roman" w:cs="Times New Roman"/>
        </w:rPr>
        <w:t xml:space="preserve"> As these competing historiographies show, much more is at stake than mere description, when certain methodologies are named as “digital humanities.” </w:t>
      </w:r>
      <w:r w:rsidRPr="008E31AB">
        <w:rPr>
          <w:rFonts w:ascii="Times New Roman" w:hAnsi="Times New Roman" w:cs="Times New Roman"/>
        </w:rPr>
        <w:t>[CONCLUSION TO THIS PARAGRAPH.]</w:t>
      </w:r>
    </w:p>
    <w:p w:rsidR="000000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 w:name="my_methods"/>
      <w:r w:rsidRPr="008E31AB">
        <w:rPr>
          <w:rFonts w:ascii="Times New Roman" w:hAnsi="Times New Roman" w:cs="Times New Roman"/>
        </w:rPr>
        <w:t>This</w:t>
      </w:r>
      <w:bookmarkEnd w:id="3"/>
      <w:r w:rsidRPr="008E31AB">
        <w:rPr>
          <w:rFonts w:ascii="Times New Roman" w:hAnsi="Times New Roman" w:cs="Times New Roman"/>
        </w:rPr>
        <w:t xml:space="preserve"> dissertation will, </w:t>
      </w:r>
      <w:r w:rsidRPr="008E31AB">
        <w:rPr>
          <w:rFonts w:ascii="Times New Roman" w:hAnsi="Times New Roman" w:cs="Times New Roman"/>
        </w:rPr>
        <w:t>nonetheless, make use of algorithms, “data”, and data visualizations to carry out its inquiry. At every possible point, however, the underlying methodology will be made visible, and its assumptions scrutinized. Much of the code underlying this project I ha</w:t>
      </w:r>
      <w:r w:rsidRPr="008E31AB">
        <w:rPr>
          <w:rFonts w:ascii="Times New Roman" w:hAnsi="Times New Roman" w:cs="Times New Roman"/>
        </w:rPr>
        <w:t xml:space="preserve">ve written myself. Some has been written at my request. In every case where the code is available to me, the program itself appears in Appendix A (“Codebase”), accompanied by a plain-language explanation of how it operates. Where I have used closed-source </w:t>
      </w:r>
      <w:r w:rsidRPr="008E31AB">
        <w:rPr>
          <w:rFonts w:ascii="Times New Roman" w:hAnsi="Times New Roman" w:cs="Times New Roman"/>
        </w:rPr>
        <w:t>software, Appendix A contains an explanation of my best guess at its underlying process. My exact use of these tools — sufficient for another to replicate my work — is provided in Appendix B (“Methodology”). These details are explicated in full in the appe</w:t>
      </w:r>
      <w:r w:rsidRPr="008E31AB">
        <w:rPr>
          <w:rFonts w:ascii="Times New Roman" w:hAnsi="Times New Roman" w:cs="Times New Roman"/>
        </w:rPr>
        <w:t xml:space="preserve">ndices in order not to over-burden the body of the dissertation, but they are by no means </w:t>
      </w:r>
      <w:r w:rsidRPr="008E31AB">
        <w:rPr>
          <w:rFonts w:ascii="Times New Roman" w:hAnsi="Times New Roman" w:cs="Times New Roman"/>
          <w:i/>
          <w:iCs/>
        </w:rPr>
        <w:t>confined</w:t>
      </w:r>
      <w:r w:rsidRPr="008E31AB">
        <w:rPr>
          <w:rFonts w:ascii="Times New Roman" w:hAnsi="Times New Roman" w:cs="Times New Roman"/>
        </w:rPr>
        <w:t xml:space="preserve"> to the appendices. Computation is not a “black box” to be consulted for simple answers, but an inextricable from my reasoning and argument.</w:t>
      </w:r>
    </w:p>
    <w:p w:rsidR="000000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My attention to the </w:t>
      </w:r>
      <w:r w:rsidRPr="008E31AB">
        <w:rPr>
          <w:rFonts w:ascii="Times New Roman" w:hAnsi="Times New Roman" w:cs="Times New Roman"/>
          <w:i/>
          <w:iCs/>
        </w:rPr>
        <w:t>sources</w:t>
      </w:r>
      <w:r w:rsidRPr="008E31AB">
        <w:rPr>
          <w:rFonts w:ascii="Times New Roman" w:hAnsi="Times New Roman" w:cs="Times New Roman"/>
        </w:rPr>
        <w:t xml:space="preserve"> of digital knowledge creation comes from Johanna Drucker, and her distinction between “data” and “capta.” Drucker, in “Humanities Approaches to Graphical Display,” specifically addresses the digital humanities practice of creati</w:t>
      </w:r>
      <w:r w:rsidRPr="008E31AB">
        <w:rPr>
          <w:rFonts w:ascii="Times New Roman" w:hAnsi="Times New Roman" w:cs="Times New Roman"/>
        </w:rPr>
        <w:t xml:space="preserve">ng, and then close-reading, data visualizations. She argues that the tools for visual representation which may be effective in the sciences cannot be simply and uncritically transposed to humanistic subject </w:t>
      </w:r>
      <w:r w:rsidRPr="008E31AB">
        <w:rPr>
          <w:rFonts w:ascii="Times New Roman" w:hAnsi="Times New Roman" w:cs="Times New Roman"/>
        </w:rPr>
        <w:lastRenderedPageBreak/>
        <w:t>matter. When an experiment is presented as a ‘dat</w:t>
      </w:r>
      <w:r w:rsidRPr="008E31AB">
        <w:rPr>
          <w:rFonts w:ascii="Times New Roman" w:hAnsi="Times New Roman" w:cs="Times New Roman"/>
        </w:rPr>
        <w:t xml:space="preserve">a visualization,’ she says, “the rendering of statistical information into graphical form gives it a simplicity and legibility that hides every aspect of the original interpretative framework” </w:t>
      </w:r>
      <w:r w:rsidRPr="008E31AB">
        <w:rPr>
          <w:rFonts w:ascii="Times New Roman" w:hAnsi="Times New Roman" w:cs="Times New Roman"/>
        </w:rPr>
        <w:t>{</w:t>
      </w:r>
      <w:r w:rsidR="001224F0" w:rsidRPr="001224F0">
        <w:rPr>
          <w:rFonts w:ascii="Times New Roman" w:hAnsi="Times New Roman" w:cs="Times New Roman"/>
        </w:rPr>
        <w:t>Drucker:2011hu</w:t>
      </w:r>
      <w:r w:rsidR="001224F0">
        <w:rPr>
          <w:rFonts w:ascii="Times New Roman" w:hAnsi="Times New Roman" w:cs="Times New Roman"/>
        </w:rPr>
        <w:t xml:space="preserve"> </w:t>
      </w:r>
      <w:r w:rsidRPr="008E31AB">
        <w:rPr>
          <w:rFonts w:ascii="Times New Roman" w:hAnsi="Times New Roman" w:cs="Times New Roman"/>
        </w:rPr>
        <w:t xml:space="preserve">p.8}. In fields where the readers of such </w:t>
      </w:r>
      <w:r w:rsidRPr="008E31AB">
        <w:rPr>
          <w:rFonts w:ascii="Times New Roman" w:hAnsi="Times New Roman" w:cs="Times New Roman"/>
        </w:rPr>
        <w:t>charts are also frequent creators of charts, and where norms exist to explicitly describe one’s interpretive frameworks in a methodology section, the simplicity and legibility of an individual chart may be a benefit which does not impede complex scrutiny o</w:t>
      </w:r>
      <w:r w:rsidRPr="008E31AB">
        <w:rPr>
          <w:rFonts w:ascii="Times New Roman" w:hAnsi="Times New Roman" w:cs="Times New Roman"/>
        </w:rPr>
        <w:t>f the information it presents.</w:t>
      </w:r>
      <w:r w:rsidRPr="008E31AB">
        <w:rPr>
          <w:rFonts w:ascii="Times New Roman" w:hAnsi="Times New Roman" w:cs="Times New Roman"/>
          <w:vertAlign w:val="superscript"/>
        </w:rPr>
        <w:footnoteReference w:id="1"/>
      </w:r>
      <w:r w:rsidRPr="008E31AB">
        <w:rPr>
          <w:rFonts w:ascii="Times New Roman" w:hAnsi="Times New Roman" w:cs="Times New Roman"/>
        </w:rPr>
        <w:t xml:space="preserve"> </w:t>
      </w:r>
      <w:bookmarkStart w:id="4" w:name="capta"/>
      <w:r w:rsidRPr="008E31AB">
        <w:rPr>
          <w:rFonts w:ascii="Times New Roman" w:hAnsi="Times New Roman" w:cs="Times New Roman"/>
        </w:rPr>
        <w:t>In</w:t>
      </w:r>
      <w:bookmarkEnd w:id="4"/>
      <w:r w:rsidRPr="008E31AB">
        <w:rPr>
          <w:rFonts w:ascii="Times New Roman" w:hAnsi="Times New Roman" w:cs="Times New Roman"/>
        </w:rPr>
        <w:t xml:space="preserve"> a field like literature, however, the “graphical force” of something like a network graph or even a simple pie chart “conceals what the statistician knows very well — that no ‘data’ preexist their parameterization” </w:t>
      </w:r>
      <w:r w:rsidRPr="008E31AB">
        <w:rPr>
          <w:rFonts w:ascii="Times New Roman" w:hAnsi="Times New Roman" w:cs="Times New Roman"/>
        </w:rPr>
        <w:t xml:space="preserve">{Drucker:2011hu p.8}. Drucker problematizes the term “data,” the etymology of which presents it as a “given” which is stable and independent of observation. She proposes that humanities visualizations embrace, instead, the framework of “capta,” that which </w:t>
      </w:r>
      <w:r w:rsidRPr="008E31AB">
        <w:rPr>
          <w:rFonts w:ascii="Times New Roman" w:hAnsi="Times New Roman" w:cs="Times New Roman"/>
        </w:rPr>
        <w:t xml:space="preserve">is “‘taken’ actively” </w:t>
      </w:r>
      <w:r w:rsidRPr="008E31AB">
        <w:rPr>
          <w:rFonts w:ascii="Times New Roman" w:hAnsi="Times New Roman" w:cs="Times New Roman"/>
        </w:rPr>
        <w:t xml:space="preserve">{Drucker:2011hu p.3}, “fundamentally codependent, constituted relationally, between observer and observed phenomena” </w:t>
      </w:r>
      <w:r w:rsidRPr="008E31AB">
        <w:rPr>
          <w:rFonts w:ascii="Times New Roman" w:hAnsi="Times New Roman" w:cs="Times New Roman"/>
        </w:rPr>
        <w:t>{Drucker:2011hu p.50}. Drucker’s assessment shapes my own prioritization of qualitative and reflective comp</w:t>
      </w:r>
      <w:r w:rsidRPr="008E31AB">
        <w:rPr>
          <w:rFonts w:ascii="Times New Roman" w:hAnsi="Times New Roman" w:cs="Times New Roman"/>
        </w:rPr>
        <w:t>utational research. The term “capta” itself has not seen uptake in subsequent digital humanities scholarship, even in cases where scholars explicitly take Drucker’s warnings to heart. Accordingly, for clarity, this dissertation will continue to use the mor</w:t>
      </w:r>
      <w:r w:rsidRPr="008E31AB">
        <w:rPr>
          <w:rFonts w:ascii="Times New Roman" w:hAnsi="Times New Roman" w:cs="Times New Roman"/>
        </w:rPr>
        <w:t xml:space="preserve">e usual term “data” to refer to the information gathered for analysis here. However, as I integrate and compare a wide variety of data from many disparate sources, a preliminary task of my analysis is always to determine, as precisely as possible, how the </w:t>
      </w:r>
      <w:r w:rsidRPr="008E31AB">
        <w:rPr>
          <w:rFonts w:ascii="Times New Roman" w:hAnsi="Times New Roman" w:cs="Times New Roman"/>
        </w:rPr>
        <w:t xml:space="preserve">information was captured and quantified. </w:t>
      </w:r>
    </w:p>
    <w:p w:rsidR="000000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Additionally, all of the figures presented in this dissertation are of my own design. My design praxis is informed by the work of Edward Tufte and Alberto Cairo, both of whom provide </w:t>
      </w:r>
      <w:r w:rsidRPr="008E31AB">
        <w:rPr>
          <w:rFonts w:ascii="Times New Roman" w:hAnsi="Times New Roman" w:cs="Times New Roman"/>
        </w:rPr>
        <w:lastRenderedPageBreak/>
        <w:t>practical design advice in ser</w:t>
      </w:r>
      <w:r w:rsidRPr="008E31AB">
        <w:rPr>
          <w:rFonts w:ascii="Times New Roman" w:hAnsi="Times New Roman" w:cs="Times New Roman"/>
        </w:rPr>
        <w:t>vice of demystifying the visual rhetoric by which graphs present their arguments.</w:t>
      </w:r>
      <w:r w:rsidRPr="008E31AB">
        <w:rPr>
          <w:rFonts w:ascii="Times New Roman" w:hAnsi="Times New Roman" w:cs="Times New Roman"/>
          <w:vertAlign w:val="superscript"/>
        </w:rPr>
        <w:footnoteReference w:id="2"/>
      </w:r>
      <w:r w:rsidRPr="008E31AB">
        <w:rPr>
          <w:rFonts w:ascii="Times New Roman" w:hAnsi="Times New Roman" w:cs="Times New Roman"/>
        </w:rPr>
        <w:t xml:space="preserve"> Neither Tufte nor Cairo is a scholar of media studies; rather, they are professional practitioners of ‘data visualization’ who reflect c</w:t>
      </w:r>
      <w:r w:rsidRPr="008E31AB">
        <w:rPr>
          <w:rFonts w:ascii="Times New Roman" w:hAnsi="Times New Roman" w:cs="Times New Roman"/>
        </w:rPr>
        <w:t>ritically on the assumptions of their work. Tufte’s work primarily strives to correct badly-designed data visualizations, and the dangerous decisions that bad design can lead people to. His most famous example is an analysis of the scientists’ report at NA</w:t>
      </w:r>
      <w:r w:rsidRPr="008E31AB">
        <w:rPr>
          <w:rFonts w:ascii="Times New Roman" w:hAnsi="Times New Roman" w:cs="Times New Roman"/>
        </w:rPr>
        <w:t xml:space="preserve">SA which led to the ill-fated launch of the Challenger space shuttle in 1986: as his extensive visual analysis argues, the scientists (untrained in graphic design) unintentionally obfuscated crucial information about the day’s launch conditions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&lt;citation&gt;&lt;priority&gt;1&lt;/priority&gt;&lt;uuid&gt;7213AFDD-35AB-4608-A3CB-C93EAC905981&lt;/uuid&gt;&lt;publications&gt;&lt;publication&gt;&lt;subtype&gt;1&lt;/subtype&gt;&lt;publisher&gt;Graphics Press&lt;/publisher&gt;&lt;title&gt;The Visual Display of Quantitative Information&lt;/title&gt;&lt;url&gt;http://scholar.google.comjavascript:void(0)&lt;/url&gt;&lt;publication_date&gt;99200100001200000000200000&lt;/publication_date&gt;&lt;uuid&gt;584A8341-3484-4360-BB2B-CAEE3FC7AED1&lt;/uuid&gt;&lt;version&gt;2nd&lt;/version&gt;&lt;type&gt;0&lt;/type&gt;&lt;citekey&gt;Tufte:2001vw&lt;/citekey&gt;&lt;authors&gt;&lt;author&gt;&lt;lastName&gt;Tufte&lt;/lastName&gt;&lt;firstName&gt;E&lt;/firstName&gt;&lt;middleNames&gt;R&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(Tufte)</w:t>
      </w:r>
      <w:r w:rsidR="00256E7A" w:rsidRPr="008E31AB">
        <w:rPr>
          <w:rFonts w:ascii="Times New Roman" w:hAnsi="Times New Roman" w:cs="Times New Roman"/>
        </w:rPr>
        <w:fldChar w:fldCharType="end"/>
      </w:r>
      <w:r w:rsidRPr="008E31AB">
        <w:rPr>
          <w:rFonts w:ascii="Times New Roman" w:hAnsi="Times New Roman" w:cs="Times New Roman"/>
        </w:rPr>
        <w:t>. Tufte’s six principles of design</w:t>
      </w:r>
      <w:r w:rsidRPr="008E31AB">
        <w:rPr>
          <w:rFonts w:ascii="Times New Roman" w:hAnsi="Times New Roman" w:cs="Times New Roman"/>
          <w:vertAlign w:val="superscript"/>
        </w:rPr>
        <w:footnoteReference w:id="3"/>
      </w:r>
      <w:r w:rsidRPr="008E31AB">
        <w:rPr>
          <w:rFonts w:ascii="Times New Roman" w:hAnsi="Times New Roman" w:cs="Times New Roman"/>
        </w:rPr>
        <w:t xml:space="preserve"> </w:t>
      </w:r>
      <w:bookmarkStart w:id="5" w:name="data_viz"/>
      <w:r w:rsidRPr="008E31AB">
        <w:rPr>
          <w:rFonts w:ascii="Times New Roman" w:hAnsi="Times New Roman" w:cs="Times New Roman"/>
        </w:rPr>
        <w:t>primarily</w:t>
      </w:r>
      <w:bookmarkEnd w:id="5"/>
      <w:r w:rsidRPr="008E31AB">
        <w:rPr>
          <w:rFonts w:ascii="Times New Roman" w:hAnsi="Times New Roman" w:cs="Times New Roman"/>
        </w:rPr>
        <w:t xml:space="preserve"> seek to guide undertrained designers away from misleading themselves. Cairo, following on Tufte’s wo</w:t>
      </w:r>
      <w:r w:rsidRPr="008E31AB">
        <w:rPr>
          <w:rFonts w:ascii="Times New Roman" w:hAnsi="Times New Roman" w:cs="Times New Roman"/>
        </w:rPr>
        <w:t xml:space="preserve">rk from the perspective of an active journalist, more often turns his attention to successful designs which mislead their audiences intentionally. His forthcoming book, </w:t>
      </w:r>
      <w:r w:rsidRPr="008E31AB">
        <w:rPr>
          <w:rFonts w:ascii="Times New Roman" w:hAnsi="Times New Roman" w:cs="Times New Roman"/>
          <w:i/>
          <w:iCs/>
        </w:rPr>
        <w:t>How Charts Lie</w:t>
      </w:r>
      <w:r w:rsidRPr="008E31AB">
        <w:rPr>
          <w:rFonts w:ascii="Times New Roman" w:hAnsi="Times New Roman" w:cs="Times New Roman"/>
        </w:rPr>
        <w:t>, addresses the readers of infographics with insights into visual literac</w:t>
      </w:r>
      <w:r w:rsidRPr="008E31AB">
        <w:rPr>
          <w:rFonts w:ascii="Times New Roman" w:hAnsi="Times New Roman" w:cs="Times New Roman"/>
        </w:rPr>
        <w:t xml:space="preserve">y </w:t>
      </w:r>
      <w:r w:rsidR="00256E7A" w:rsidRPr="008E31AB">
        <w:rPr>
          <w:rFonts w:ascii="Times New Roman" w:hAnsi="Times New Roman" w:cs="Times New Roman"/>
        </w:rPr>
        <w:t>(Cairo).</w:t>
      </w:r>
      <w:r w:rsidRPr="008E31AB">
        <w:rPr>
          <w:rFonts w:ascii="Times New Roman" w:hAnsi="Times New Roman" w:cs="Times New Roman"/>
        </w:rPr>
        <w:t xml:space="preserve"> His preceding book, </w:t>
      </w:r>
      <w:r w:rsidRPr="008E31AB">
        <w:rPr>
          <w:rFonts w:ascii="Times New Roman" w:hAnsi="Times New Roman" w:cs="Times New Roman"/>
          <w:i/>
          <w:iCs/>
        </w:rPr>
        <w:t>The Truthful Art</w:t>
      </w:r>
      <w:r w:rsidRPr="008E31AB">
        <w:rPr>
          <w:rFonts w:ascii="Times New Roman" w:hAnsi="Times New Roman" w:cs="Times New Roman"/>
        </w:rPr>
        <w:t xml:space="preserve">, addresses the creators of good-faith infographics with insights into visual manipulation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&lt;citation&gt;&lt;priority&gt;2&lt;/priority&gt;&lt;uuid&gt;423C1FF2-70FC-4BC8-8A32-3DA4AC6992A4&lt;/uuid&gt;&lt;publications&gt;&lt;publication&gt;&lt;subtype&gt;1&lt;/subtype&gt;&lt;place&gt;San Francisco&lt;/place&gt;&lt;publisher&gt;New Riders&lt;/publisher&gt;&lt;title&gt;The truthful art: Data, charts, and maps for communication&lt;/title&gt;&lt;url&gt;https://books.google.com/books?hl=en&amp;amp;lr=&amp;amp;id=8dKKCwAAQBAJ&amp;amp;oi=fnd&amp;amp;pg=PT17&amp;amp;dq=The+truthful+art+data+charts+and+maps+for+communication&amp;amp;ots=8S-rQK4IHJ&amp;amp;sig=koN3fhRtF6M2Mqig5WPQPjgIqOw&lt;/url&gt;&lt;publication_date&gt;99201600001200000000200000&lt;/publication_date&gt;&lt;uuid&gt;AAB72F63-AB83-45AE-9F3A-B11D8F371A39&lt;/uuid&gt;&lt;type&gt;0&lt;/type&gt;&lt;citekey&gt;Cairo:2016uv&lt;/citekey&gt;&lt;authors&gt;&lt;author&gt;&lt;lastName&gt;Cairo&lt;/lastName&gt;&lt;firstName&gt;Albert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(Cairo)</w:t>
      </w:r>
      <w:r w:rsidR="00256E7A" w:rsidRPr="008E31AB">
        <w:rPr>
          <w:rFonts w:ascii="Times New Roman" w:hAnsi="Times New Roman" w:cs="Times New Roman"/>
        </w:rPr>
        <w:fldChar w:fldCharType="end"/>
      </w:r>
      <w:r w:rsidRPr="008E31AB">
        <w:rPr>
          <w:rFonts w:ascii="Times New Roman" w:hAnsi="Times New Roman" w:cs="Times New Roman"/>
        </w:rPr>
        <w:t>. Cairo draws a distinction between “data visualization” and “infographics”: “an infogr</w:t>
      </w:r>
      <w:r w:rsidRPr="008E31AB">
        <w:rPr>
          <w:rFonts w:ascii="Times New Roman" w:hAnsi="Times New Roman" w:cs="Times New Roman"/>
        </w:rPr>
        <w:t xml:space="preserve">aphic tells the stories that its designer wants to explain, but a data visualization lets people build their own insights based on the evidence provided,” summarized more succinctly as “infographics to explain, data visualizations to explore”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&lt;citation&gt;&lt;priority&gt;3&lt;/priority&gt;&lt;uuid&gt;9864B98D-80AC-4AC7-8F44-AE1A5E1418DF&lt;/uuid&gt;&lt;publications&gt;&lt;publication&gt;&lt;subtype&gt;403&lt;/subtype&gt;&lt;title&gt;Infographics to explain, data visualizations to explore&lt;/title&gt;&lt;publication_date&gt;99201403161200000000222000&lt;/publication_date&gt;&lt;uuid&gt;26B1B365-3254-4B0C-A949-3FA7337A580C&lt;/uuid&gt;&lt;type&gt;400&lt;/type&gt;&lt;accepted_date&gt;99201902281200000000222000&lt;/accepted_date&gt;&lt;citekey&gt;Cairo:2014tl&lt;/citekey&gt;&lt;startpage&gt;1&lt;/startpage&gt;&lt;endpage&gt;3&lt;/endpage&gt;&lt;bundle&gt;&lt;publication&gt;&lt;title&gt;The Functional Art Alberto Cairos Weblog on Visualization, Infographics, and Data Journalism&lt;/title&gt;&lt;uuid&gt;F0A118CE-00FB-4197-B23B-087B71ECBBD7&lt;/uuid&gt;&lt;subtype&gt;-300&lt;/subtype&gt;&lt;type&gt;-300&lt;/type&gt;&lt;/publication&gt;&lt;/bundle&gt;&lt;authors&gt;&lt;author&gt;&lt;lastName&gt;Cairo&lt;/lastName&gt;&lt;firstName&gt;Albert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(Cairo)</w:t>
      </w:r>
      <w:r w:rsidR="00256E7A" w:rsidRPr="008E31AB">
        <w:rPr>
          <w:rFonts w:ascii="Times New Roman" w:hAnsi="Times New Roman" w:cs="Times New Roman"/>
        </w:rPr>
        <w:fldChar w:fldCharType="end"/>
      </w:r>
      <w:r w:rsidRPr="008E31AB">
        <w:rPr>
          <w:rFonts w:ascii="Times New Roman" w:hAnsi="Times New Roman" w:cs="Times New Roman"/>
        </w:rPr>
        <w:t xml:space="preserve">. Using this terminology, my argument will proceed with infographics in the body of the dissertation as curated figures to support my argument, with fuller data visualizations </w:t>
      </w:r>
      <w:r w:rsidRPr="008E31AB">
        <w:rPr>
          <w:rFonts w:ascii="Times New Roman" w:hAnsi="Times New Roman" w:cs="Times New Roman"/>
        </w:rPr>
        <w:lastRenderedPageBreak/>
        <w:t>available in Appendix C (“Data”) to allow further exploration. Following i</w:t>
      </w:r>
      <w:r w:rsidRPr="008E31AB">
        <w:rPr>
          <w:rFonts w:ascii="Times New Roman" w:hAnsi="Times New Roman" w:cs="Times New Roman"/>
        </w:rPr>
        <w:t>n both Tufte and Cairo’s footsteps, I conceive of the figures throughout this dissertation as rhetorical devices. In service of arguing honestly, therefore, my designs — in the body of the dissertation and in Appendix C — are accompanied by footnoted expla</w:t>
      </w:r>
      <w:r w:rsidRPr="008E31AB">
        <w:rPr>
          <w:rFonts w:ascii="Times New Roman" w:hAnsi="Times New Roman" w:cs="Times New Roman"/>
        </w:rPr>
        <w:t xml:space="preserve">nations of my design rationale. </w:t>
      </w:r>
    </w:p>
    <w:p w:rsidR="00000000" w:rsidRPr="008E31AB" w:rsidRDefault="005A05A8" w:rsidP="008E31A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6" w:name="fruitful_modelssamples"/>
      <w:r w:rsidRPr="008E31AB">
        <w:rPr>
          <w:rFonts w:ascii="Times New Roman" w:hAnsi="Times New Roman" w:cs="Times New Roman"/>
        </w:rPr>
        <w:t>In</w:t>
      </w:r>
      <w:bookmarkEnd w:id="6"/>
      <w:r w:rsidRPr="008E31AB">
        <w:rPr>
          <w:rFonts w:ascii="Times New Roman" w:hAnsi="Times New Roman" w:cs="Times New Roman"/>
        </w:rPr>
        <w:t xml:space="preserve"> light of the challenges of “empiricism,” my goal in this dissertation is to produce a series of </w:t>
      </w:r>
      <w:r w:rsidRPr="008E31AB">
        <w:rPr>
          <w:rFonts w:ascii="Times New Roman" w:hAnsi="Times New Roman" w:cs="Times New Roman"/>
          <w:i/>
          <w:iCs/>
        </w:rPr>
        <w:t>fruitful models</w:t>
      </w:r>
      <w:r w:rsidRPr="008E31AB">
        <w:rPr>
          <w:rFonts w:ascii="Times New Roman" w:hAnsi="Times New Roman" w:cs="Times New Roman"/>
        </w:rPr>
        <w:t xml:space="preserve">. </w:t>
      </w:r>
      <w:r w:rsidRPr="008E31AB">
        <w:rPr>
          <w:rFonts w:ascii="Times New Roman" w:hAnsi="Times New Roman" w:cs="Times New Roman"/>
        </w:rPr>
        <w:t>[Willard McCarty’s descriptive work on the concept of modellin</w:t>
      </w:r>
      <w:r w:rsidRPr="008E31AB">
        <w:rPr>
          <w:rFonts w:ascii="Times New Roman" w:hAnsi="Times New Roman" w:cs="Times New Roman"/>
        </w:rPr>
        <w:t>g VERBS modell</w:t>
      </w:r>
      <w:r w:rsidR="008E31AB">
        <w:rPr>
          <w:rFonts w:ascii="Times New Roman" w:hAnsi="Times New Roman" w:cs="Times New Roman"/>
        </w:rPr>
        <w:t>ing’s processes of abstraction.</w:t>
      </w:r>
      <w:r w:rsidRPr="008E31AB">
        <w:rPr>
          <w:rFonts w:ascii="Times New Roman" w:hAnsi="Times New Roman" w:cs="Times New Roman"/>
        </w:rPr>
        <w:t>]</w:t>
      </w:r>
      <w:r w:rsidR="008E31AB">
        <w:rPr>
          <w:rFonts w:ascii="Times New Roman" w:hAnsi="Times New Roman" w:cs="Times New Roman"/>
        </w:rPr>
        <w:t xml:space="preserve"> </w:t>
      </w:r>
      <w:r w:rsidRPr="008E31AB">
        <w:rPr>
          <w:rFonts w:ascii="Times New Roman" w:hAnsi="Times New Roman" w:cs="Times New Roman"/>
        </w:rPr>
        <w:t>[QUOTES FROM McCARTY]</w:t>
      </w:r>
      <w:r w:rsidRPr="008E31AB">
        <w:rPr>
          <w:rFonts w:ascii="Times New Roman" w:hAnsi="Times New Roman" w:cs="Times New Roman"/>
        </w:rPr>
        <w:t xml:space="preserve"> Another way of expressing this might be to borrow from the vocabulary of social science research: I would like to make discoveries about a “population” which is inaccessible to me, namely</w:t>
      </w:r>
      <w:r w:rsidRPr="008E31AB">
        <w:rPr>
          <w:rFonts w:ascii="Times New Roman" w:hAnsi="Times New Roman" w:cs="Times New Roman"/>
        </w:rPr>
        <w:t>, “everything printed in England 1789-99.” Since I cannot access this population in full, I have taken a series of “samples,” which I hope to be representative; each sample can be examined as evidence of the makeup of the source population, but must also b</w:t>
      </w:r>
      <w:r w:rsidRPr="008E31AB">
        <w:rPr>
          <w:rFonts w:ascii="Times New Roman" w:hAnsi="Times New Roman" w:cs="Times New Roman"/>
        </w:rPr>
        <w:t xml:space="preserve">e examined in and of itself </w:t>
      </w:r>
      <w:r w:rsidRPr="008E31AB">
        <w:rPr>
          <w:rFonts w:ascii="Times New Roman" w:hAnsi="Times New Roman" w:cs="Times New Roman"/>
          <w:i/>
          <w:iCs/>
        </w:rPr>
        <w:t>as</w:t>
      </w:r>
      <w:r w:rsidRPr="008E31AB">
        <w:rPr>
          <w:rFonts w:ascii="Times New Roman" w:hAnsi="Times New Roman" w:cs="Times New Roman"/>
        </w:rPr>
        <w:t xml:space="preserve"> a sample. </w:t>
      </w:r>
      <w:r w:rsidRPr="008E31AB">
        <w:rPr>
          <w:rFonts w:ascii="Times New Roman" w:hAnsi="Times New Roman" w:cs="Times New Roman"/>
        </w:rPr>
        <w:t>[therefore, not attempting ‘accuracy’]</w:t>
      </w:r>
      <w:r w:rsidRPr="008E31AB">
        <w:rPr>
          <w:rFonts w:ascii="Times New Roman" w:hAnsi="Times New Roman" w:cs="Times New Roman"/>
        </w:rPr>
        <w:t xml:space="preserve"> </w:t>
      </w:r>
      <w:r w:rsidRPr="008E31AB">
        <w:rPr>
          <w:rFonts w:ascii="Times New Roman" w:hAnsi="Times New Roman" w:cs="Times New Roman"/>
        </w:rPr>
        <w:t>[Rather than making claims about the 1790s each claim is filtered through / constrained by the specific model of the 1790s used to make it]</w:t>
      </w:r>
      <w:r w:rsidRPr="008E31AB">
        <w:rPr>
          <w:rFonts w:ascii="Times New Roman" w:hAnsi="Times New Roman" w:cs="Times New Roman"/>
        </w:rPr>
        <w:t xml:space="preserve"> Rather than producing a clear and pr</w:t>
      </w:r>
      <w:r w:rsidRPr="008E31AB">
        <w:rPr>
          <w:rFonts w:ascii="Times New Roman" w:hAnsi="Times New Roman" w:cs="Times New Roman"/>
        </w:rPr>
        <w:t xml:space="preserve">istine truth, my models are, in fact, quite likely to contradict each other. In these moments of contradiction, </w:t>
      </w:r>
      <w:r w:rsidRPr="008E31AB">
        <w:rPr>
          <w:rFonts w:ascii="Times New Roman" w:hAnsi="Times New Roman" w:cs="Times New Roman"/>
        </w:rPr>
        <w:t>[we have the best opportunity to learn, because we can see why they contradict, and therefore why something may or may not be true.]</w:t>
      </w:r>
      <w:r w:rsidRPr="008E31AB">
        <w:rPr>
          <w:rFonts w:ascii="Times New Roman" w:hAnsi="Times New Roman" w:cs="Times New Roman"/>
        </w:rPr>
        <w:t xml:space="preserve"> </w:t>
      </w:r>
      <w:r w:rsidRPr="008E31AB">
        <w:rPr>
          <w:rFonts w:ascii="Times New Roman" w:hAnsi="Times New Roman" w:cs="Times New Roman"/>
        </w:rPr>
        <w:t>[These oppo</w:t>
      </w:r>
      <w:r w:rsidR="008E31AB">
        <w:rPr>
          <w:rFonts w:ascii="Times New Roman" w:hAnsi="Times New Roman" w:cs="Times New Roman"/>
        </w:rPr>
        <w:t>rtunities</w:t>
      </w:r>
      <w:r w:rsidRPr="008E31AB">
        <w:rPr>
          <w:rFonts w:ascii="Times New Roman" w:hAnsi="Times New Roman" w:cs="Times New Roman"/>
        </w:rPr>
        <w:t xml:space="preserve"> are “fruitful”]</w:t>
      </w:r>
      <w:r w:rsidRPr="008E31AB">
        <w:rPr>
          <w:rFonts w:ascii="Times New Roman" w:hAnsi="Times New Roman" w:cs="Times New Roman"/>
        </w:rPr>
        <w:t xml:space="preserve"> </w:t>
      </w:r>
      <w:r w:rsidRPr="008E31AB">
        <w:rPr>
          <w:rFonts w:ascii="Times New Roman" w:hAnsi="Times New Roman" w:cs="Times New Roman"/>
        </w:rPr>
        <w:t>[Expand on “fruitfulness”]</w:t>
      </w:r>
    </w:p>
    <w:p w:rsidR="00000000" w:rsidRPr="000E45B3" w:rsidRDefault="005A05A8" w:rsidP="008E31AB">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1.2.  </w:t>
      </w:r>
      <w:bookmarkStart w:id="7" w:name="1790s"/>
      <w:bookmarkEnd w:id="7"/>
      <w:r w:rsidR="0005252F" w:rsidRPr="000E45B3">
        <w:rPr>
          <w:rFonts w:cs="Georgia"/>
          <w:b/>
          <w:bCs/>
          <w:i/>
          <w:iCs/>
          <w:sz w:val="26"/>
          <w:szCs w:val="26"/>
        </w:rPr>
        <w:t xml:space="preserve">The </w:t>
      </w:r>
      <w:r w:rsidRPr="000E45B3">
        <w:rPr>
          <w:rFonts w:cs="Georgia"/>
          <w:b/>
          <w:bCs/>
          <w:i/>
          <w:iCs/>
          <w:sz w:val="26"/>
          <w:szCs w:val="26"/>
        </w:rPr>
        <w:t>1790s</w:t>
      </w:r>
    </w:p>
    <w:p w:rsidR="000000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All of these </w:t>
      </w:r>
      <w:r w:rsidR="0005252F">
        <w:rPr>
          <w:rFonts w:ascii="Times New Roman" w:hAnsi="Times New Roman" w:cs="Times New Roman"/>
        </w:rPr>
        <w:t xml:space="preserve">data </w:t>
      </w:r>
      <w:r w:rsidRPr="008E31AB">
        <w:rPr>
          <w:rFonts w:ascii="Times New Roman" w:hAnsi="Times New Roman" w:cs="Times New Roman"/>
        </w:rPr>
        <w:t xml:space="preserve">samples, algorithms, models, and self-reflective methodologies </w:t>
      </w:r>
      <w:r w:rsidRPr="008E31AB">
        <w:rPr>
          <w:rFonts w:ascii="Times New Roman" w:hAnsi="Times New Roman" w:cs="Times New Roman"/>
        </w:rPr>
        <w:t xml:space="preserve">do have an aim beyond themselves: to recapture, in as minute detail as possible, the print landscape in </w:t>
      </w:r>
      <w:r w:rsidRPr="008E31AB">
        <w:rPr>
          <w:rFonts w:ascii="Times New Roman" w:hAnsi="Times New Roman" w:cs="Times New Roman"/>
        </w:rPr>
        <w:lastRenderedPageBreak/>
        <w:t>England between January 1 1789 and December 31 1799. This eleven-year “decade” was a turbulent one across the Channel, encompassing the whole of the Fr</w:t>
      </w:r>
      <w:r w:rsidRPr="008E31AB">
        <w:rPr>
          <w:rFonts w:ascii="Times New Roman" w:hAnsi="Times New Roman" w:cs="Times New Roman"/>
        </w:rPr>
        <w:t>ench Revolution, from the Estates General in 1789 to Napoleon’s coup in 1799.</w:t>
      </w:r>
      <w:r w:rsidRPr="008E31AB">
        <w:rPr>
          <w:rFonts w:ascii="Times New Roman" w:hAnsi="Times New Roman" w:cs="Times New Roman"/>
          <w:vertAlign w:val="superscript"/>
        </w:rPr>
        <w:footnoteReference w:id="4"/>
      </w:r>
      <w:r w:rsidRPr="008E31AB">
        <w:rPr>
          <w:rFonts w:ascii="Times New Roman" w:hAnsi="Times New Roman" w:cs="Times New Roman"/>
        </w:rPr>
        <w:t xml:space="preserve"> </w:t>
      </w:r>
      <w:bookmarkStart w:id="8" w:name="1790s-1"/>
      <w:bookmarkEnd w:id="8"/>
      <w:r w:rsidRPr="008E31AB">
        <w:rPr>
          <w:rFonts w:ascii="Times New Roman" w:hAnsi="Times New Roman" w:cs="Times New Roman"/>
        </w:rPr>
        <w:t>In</w:t>
      </w:r>
      <w:r w:rsidRPr="008E31AB">
        <w:rPr>
          <w:rFonts w:ascii="Times New Roman" w:hAnsi="Times New Roman" w:cs="Times New Roman"/>
        </w:rPr>
        <w:t xml:space="preserve"> England, these events caused strong and variously nationalist reactions in a country which had so recently lost its colonies in America and feared that a French invasion could come at any moment. </w:t>
      </w:r>
      <w:r w:rsidRPr="008E31AB">
        <w:rPr>
          <w:rFonts w:ascii="Times New Roman" w:hAnsi="Times New Roman" w:cs="Times New Roman"/>
        </w:rPr>
        <w:t>[CONCLUSION: an environ</w:t>
      </w:r>
      <w:r w:rsidRPr="008E31AB">
        <w:rPr>
          <w:rFonts w:ascii="Times New Roman" w:hAnsi="Times New Roman" w:cs="Times New Roman"/>
        </w:rPr>
        <w:t>ment which felt like it was on the edge of history]</w:t>
      </w:r>
    </w:p>
    <w:p w:rsidR="000000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The [world of letters? Public sphere? What do I call it?] in England responded to these events by [writing WAY TOO MUCH].</w:t>
      </w:r>
      <w:r w:rsidRPr="008E31AB">
        <w:rPr>
          <w:rFonts w:ascii="Times New Roman" w:hAnsi="Times New Roman" w:cs="Times New Roman"/>
        </w:rPr>
        <w:t xml:space="preserve"> This is the decade of </w:t>
      </w:r>
      <w:r w:rsidRPr="008E31AB">
        <w:rPr>
          <w:rFonts w:ascii="Times New Roman" w:hAnsi="Times New Roman" w:cs="Times New Roman"/>
          <w:i/>
          <w:iCs/>
        </w:rPr>
        <w:t>Common Sense</w:t>
      </w:r>
      <w:r w:rsidRPr="008E31AB">
        <w:rPr>
          <w:rFonts w:ascii="Times New Roman" w:hAnsi="Times New Roman" w:cs="Times New Roman"/>
        </w:rPr>
        <w:t xml:space="preserve">, it is the decade of </w:t>
      </w:r>
      <w:r w:rsidRPr="008E31AB">
        <w:rPr>
          <w:rFonts w:ascii="Times New Roman" w:hAnsi="Times New Roman" w:cs="Times New Roman"/>
          <w:i/>
          <w:iCs/>
        </w:rPr>
        <w:t>Lyrical Ballads</w:t>
      </w:r>
      <w:r w:rsidRPr="008E31AB">
        <w:rPr>
          <w:rFonts w:ascii="Times New Roman" w:hAnsi="Times New Roman" w:cs="Times New Roman"/>
        </w:rPr>
        <w:t>; it is the decade of Hannah More, it is the decade of Ann Radcliffe; it was the age of wisdom, it was the age of foolishness; it was the epoch of belief, it was the epoch of incredulity. Charles Dickens’ now-famous superlative degree of comparison capture</w:t>
      </w:r>
      <w:r w:rsidRPr="008E31AB">
        <w:rPr>
          <w:rFonts w:ascii="Times New Roman" w:hAnsi="Times New Roman" w:cs="Times New Roman"/>
        </w:rPr>
        <w:t>s the tension between empiricist or otherwise political thinkers and Romantic or Gothic artists as contemporary literary scholars grapple with these modes. Each literary ‘mode’ was imbued with the potential for national importance.</w:t>
      </w:r>
    </w:p>
    <w:p w:rsidR="00000000" w:rsidRPr="008E31AB" w:rsidRDefault="005A05A8" w:rsidP="0005252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9" w:name="Taylor"/>
      <w:r w:rsidRPr="008E31AB">
        <w:rPr>
          <w:rFonts w:ascii="Times New Roman" w:hAnsi="Times New Roman" w:cs="Times New Roman"/>
        </w:rPr>
        <w:t>I</w:t>
      </w:r>
      <w:bookmarkEnd w:id="9"/>
      <w:r w:rsidRPr="008E31AB">
        <w:rPr>
          <w:rFonts w:ascii="Times New Roman" w:hAnsi="Times New Roman" w:cs="Times New Roman"/>
        </w:rPr>
        <w:t xml:space="preserve"> am by no </w:t>
      </w:r>
      <w:r w:rsidRPr="008E31AB">
        <w:rPr>
          <w:rFonts w:ascii="Times New Roman" w:hAnsi="Times New Roman" w:cs="Times New Roman"/>
        </w:rPr>
        <w:t xml:space="preserve">means the first to examine the writing of the 1790s in light of authors’ political strategies in the print marketplace, though preceding work is often organized along genre lines. For example, George Taylor, in </w:t>
      </w:r>
      <w:r w:rsidRPr="008E31AB">
        <w:rPr>
          <w:rFonts w:ascii="Times New Roman" w:hAnsi="Times New Roman" w:cs="Times New Roman"/>
          <w:i/>
          <w:iCs/>
        </w:rPr>
        <w:t>The French Revolution and the London Stage</w:t>
      </w:r>
      <w:r w:rsidRPr="008E31AB">
        <w:rPr>
          <w:rFonts w:ascii="Times New Roman" w:hAnsi="Times New Roman" w:cs="Times New Roman"/>
        </w:rPr>
        <w:t>, s</w:t>
      </w:r>
      <w:r w:rsidRPr="008E31AB">
        <w:rPr>
          <w:rFonts w:ascii="Times New Roman" w:hAnsi="Times New Roman" w:cs="Times New Roman"/>
        </w:rPr>
        <w:t>ets forth some key contentions about literature’s cultural capital. He argues that although eighteenth-century critics sought to make distinctions in the social value of different plays, or different parts of the theatrical program at a single show, audien</w:t>
      </w:r>
      <w:r w:rsidRPr="008E31AB">
        <w:rPr>
          <w:rFonts w:ascii="Times New Roman" w:hAnsi="Times New Roman" w:cs="Times New Roman"/>
        </w:rPr>
        <w:t xml:space="preserve">ces did not make these distinctions. “Although audiences were divided according to class between pit, box and gallery,” he argues, the division was purely physical: “all came to see the same shows, for within one programme there was a </w:t>
      </w:r>
      <w:r w:rsidRPr="008E31AB">
        <w:rPr>
          <w:rFonts w:ascii="Times New Roman" w:hAnsi="Times New Roman" w:cs="Times New Roman"/>
        </w:rPr>
        <w:lastRenderedPageBreak/>
        <w:t>variety that not only</w:t>
      </w:r>
      <w:r w:rsidRPr="008E31AB">
        <w:rPr>
          <w:rFonts w:ascii="Times New Roman" w:hAnsi="Times New Roman" w:cs="Times New Roman"/>
        </w:rPr>
        <w:t xml:space="preserve"> satisfied the different groups but satisfied them all […] all received plaudits from all corners of the house”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&lt;citation&gt;&lt;priority&gt;4&lt;/priority&gt;&lt;uuid&gt;E9CDFF4F-6235-445A-BCDE-3162C84D1560&lt;/uuid&gt;&lt;publications&gt;&lt;publication&gt;&lt;subtype&gt;0&lt;/subtype&gt;&lt;place&gt;Cambridge&lt;/place&gt;&lt;publisher&gt;Cambridge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3)</w:t>
      </w:r>
      <w:r w:rsidR="00256E7A" w:rsidRPr="008E31AB">
        <w:rPr>
          <w:rFonts w:ascii="Times New Roman" w:hAnsi="Times New Roman" w:cs="Times New Roman"/>
        </w:rPr>
        <w:fldChar w:fldCharType="end"/>
      </w:r>
      <w:r w:rsidRPr="008E31AB">
        <w:rPr>
          <w:rFonts w:ascii="Times New Roman" w:hAnsi="Times New Roman" w:cs="Times New Roman"/>
        </w:rPr>
        <w:t>. Taylor proceeds to define the central concerns and strategies of the plays staged during this period, arguing that “th</w:t>
      </w:r>
      <w:r w:rsidRPr="008E31AB">
        <w:rPr>
          <w:rFonts w:ascii="Times New Roman" w:hAnsi="Times New Roman" w:cs="Times New Roman"/>
        </w:rPr>
        <w:t xml:space="preserve">e determining feature of the period for the theatre was the sense of loss, a feeling that things had changed in ways that people did not expect or want,” a feeling that was reflected in “images of incarceration, dislocation and supernatural intervention”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&lt;citation&gt;&lt;priority&gt;5&lt;/priority&gt;&lt;uuid&gt;085E44E0-D8DD-4F68-9E0E-17CDDA5DFAA1&lt;/uuid&gt;&lt;publications&gt;&lt;publication&gt;&lt;subtype&gt;0&lt;/subtype&gt;&lt;place&gt;Cambridge&lt;/place&gt;&lt;publisher&gt;Cambridge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221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221)</w:t>
      </w:r>
      <w:r w:rsidR="00256E7A" w:rsidRPr="008E31AB">
        <w:rPr>
          <w:rFonts w:ascii="Times New Roman" w:hAnsi="Times New Roman" w:cs="Times New Roman"/>
        </w:rPr>
        <w:fldChar w:fldCharType="end"/>
      </w:r>
      <w:r w:rsidRPr="008E31AB">
        <w:rPr>
          <w:rFonts w:ascii="Times New Roman" w:hAnsi="Times New Roman" w:cs="Times New Roman"/>
        </w:rPr>
        <w:t>. This analysis of the theatre is structured by his originating observation that “Disagreement as to what is trash and what is treasure suggests cultural crisis, when values are put under question by social stress or political conf</w:t>
      </w:r>
      <w:r w:rsidRPr="008E31AB">
        <w:rPr>
          <w:rFonts w:ascii="Times New Roman" w:hAnsi="Times New Roman" w:cs="Times New Roman"/>
        </w:rPr>
        <w:t xml:space="preserve">lict”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&lt;citation&gt;&lt;priority&gt;6&lt;/priority&gt;&lt;uuid&gt;2E34CB93-530B-439A-91D3-8F58DD3791B9&lt;/uuid&gt;&lt;publications&gt;&lt;publication&gt;&lt;subtype&gt;0&lt;/subtype&gt;&lt;place&gt;Cambridge&lt;/place&gt;&lt;publisher&gt;Cambridge University Press&lt;/publisher&gt;&lt;title&gt;The French Revolution and the London Stage, 1789-1805&lt;/title&gt;&lt;url&gt;http://ebooks.cambridge.org/ref/id/CBO9781139175968&lt;/url&gt;&lt;publication_date&gt;99200100001200000000200000&lt;/publication_date&gt;&lt;uuid&gt;0D46B54C-DDC0-4AD0-B170-B55D6A03B455&lt;/uuid&gt;&lt;type&gt;0&lt;/type&gt;&lt;citekey&gt;Taylor:2009gp&lt;/citekey&gt;&lt;doi&gt;10.1017/CBO9781139175968&lt;/doi&gt;&lt;authors&gt;&lt;author&gt;&lt;lastName&gt;Taylor&lt;/lastName&gt;&lt;firstName&gt;George&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(Taylor 3)</w:t>
      </w:r>
      <w:r w:rsidR="00256E7A" w:rsidRPr="008E31AB">
        <w:rPr>
          <w:rFonts w:ascii="Times New Roman" w:hAnsi="Times New Roman" w:cs="Times New Roman"/>
        </w:rPr>
        <w:fldChar w:fldCharType="end"/>
      </w:r>
      <w:r w:rsidRPr="008E31AB">
        <w:rPr>
          <w:rFonts w:ascii="Times New Roman" w:hAnsi="Times New Roman" w:cs="Times New Roman"/>
        </w:rPr>
        <w:t>. The communal space of the theatre, which some attempt to render non-communal and to dissect class lines, is for Taylor fertile ground. For my inquiry, it is the “[d]isagreement as to what is trash and what it treasure” itsel</w:t>
      </w:r>
      <w:r w:rsidRPr="008E31AB">
        <w:rPr>
          <w:rFonts w:ascii="Times New Roman" w:hAnsi="Times New Roman" w:cs="Times New Roman"/>
        </w:rPr>
        <w:t xml:space="preserve">f which animates me: the terms “trash” and “treasure” are hardly exaggerations of the extremity of the conflicting assessments which could be passed regarding the same </w:t>
      </w:r>
      <w:hyperlink r:id="rId6" w:history="1">
        <w:r w:rsidRPr="008E31AB">
          <w:rPr>
            <w:rFonts w:ascii="Times New Roman" w:hAnsi="Times New Roman" w:cs="Times New Roman"/>
          </w:rPr>
          <w:t>wor</w:t>
        </w:r>
        <w:r w:rsidRPr="008E31AB">
          <w:rPr>
            <w:rFonts w:ascii="Times New Roman" w:hAnsi="Times New Roman" w:cs="Times New Roman"/>
          </w:rPr>
          <w:t>k</w:t>
        </w:r>
        <w:r w:rsidRPr="008E31AB">
          <w:rPr>
            <w:rFonts w:ascii="Times New Roman" w:hAnsi="Times New Roman" w:cs="Times New Roman"/>
          </w:rPr>
          <w:t>s</w:t>
        </w:r>
      </w:hyperlink>
      <w:r w:rsidRPr="008E31AB">
        <w:rPr>
          <w:rFonts w:ascii="Times New Roman" w:hAnsi="Times New Roman" w:cs="Times New Roman"/>
        </w:rPr>
        <w:t>.</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0" w:name="Bainbridge"/>
      <w:r w:rsidRPr="008E31AB">
        <w:rPr>
          <w:rFonts w:ascii="Times New Roman" w:hAnsi="Times New Roman" w:cs="Times New Roman"/>
        </w:rPr>
        <w:t>The</w:t>
      </w:r>
      <w:bookmarkEnd w:id="10"/>
      <w:r w:rsidRPr="008E31AB">
        <w:rPr>
          <w:rFonts w:ascii="Times New Roman" w:hAnsi="Times New Roman" w:cs="Times New Roman"/>
        </w:rPr>
        <w:t xml:space="preserve"> desire to distinguish between “trash” and “treasure” also appears in studies of poetry, which in this period are nearly synonymous with studies of Romantic poetry. Particula</w:t>
      </w:r>
      <w:r w:rsidRPr="008E31AB">
        <w:rPr>
          <w:rFonts w:ascii="Times New Roman" w:hAnsi="Times New Roman" w:cs="Times New Roman"/>
        </w:rPr>
        <w:t xml:space="preserve">rly where poetry is examined in light of conflicts with France, analysis of poets’ work often doubles as an analysis of their success or failure in the pursuit of cultural capital. For example, Simon Bainbridge, in </w:t>
      </w:r>
      <w:r w:rsidRPr="008E31AB">
        <w:rPr>
          <w:rFonts w:ascii="Times New Roman" w:hAnsi="Times New Roman" w:cs="Times New Roman"/>
          <w:i/>
          <w:iCs/>
        </w:rPr>
        <w:t xml:space="preserve">British Poetry and the Revolutionary and </w:t>
      </w:r>
      <w:r w:rsidRPr="008E31AB">
        <w:rPr>
          <w:rFonts w:ascii="Times New Roman" w:hAnsi="Times New Roman" w:cs="Times New Roman"/>
          <w:i/>
          <w:iCs/>
        </w:rPr>
        <w:t>Napoleonic Wars</w:t>
      </w:r>
      <w:r w:rsidRPr="008E31AB">
        <w:rPr>
          <w:rFonts w:ascii="Times New Roman" w:hAnsi="Times New Roman" w:cs="Times New Roman"/>
        </w:rPr>
        <w:t xml:space="preserve">, sees the decade and its poetry through the lens of war. His own interest is in what he terms “the attempts made by several writers to fill the role of national bard prior to Scott”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&lt;citation&gt;&lt;priority&gt;7&lt;/priority&gt;&lt;uuid&gt;F736A636-F77D-4E1F-8346-F34257F47D62&lt;/uuid&gt;&lt;publications&gt;&lt;publication&gt;&lt;subtype&gt;0&lt;/subtype&gt;&lt;publisher&gt;Oxford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3)</w:t>
      </w:r>
      <w:r w:rsidR="00256E7A" w:rsidRPr="008E31AB">
        <w:rPr>
          <w:rFonts w:ascii="Times New Roman" w:hAnsi="Times New Roman" w:cs="Times New Roman"/>
        </w:rPr>
        <w:fldChar w:fldCharType="end"/>
      </w:r>
      <w:r w:rsidRPr="008E31AB">
        <w:rPr>
          <w:rFonts w:ascii="Times New Roman" w:hAnsi="Times New Roman" w:cs="Times New Roman"/>
        </w:rPr>
        <w:t>. This framework leads Bainbri</w:t>
      </w:r>
      <w:r w:rsidRPr="008E31AB">
        <w:rPr>
          <w:rFonts w:ascii="Times New Roman" w:hAnsi="Times New Roman" w:cs="Times New Roman"/>
        </w:rPr>
        <w:t>dge to examine Charlotte Smith alongside Samuel Taylor Coleridge, William Wordsworth, Robert Southey, and eventually Walter Scott. In his conception of ‘a national bard’ he imagines a particular marriage of poetry’s special status as imaginative literature</w:t>
      </w:r>
      <w:r w:rsidRPr="008E31AB">
        <w:rPr>
          <w:rFonts w:ascii="Times New Roman" w:hAnsi="Times New Roman" w:cs="Times New Roman"/>
        </w:rPr>
        <w:t xml:space="preserve"> to a specific </w:t>
      </w:r>
      <w:r w:rsidRPr="008E31AB">
        <w:rPr>
          <w:rFonts w:ascii="Times New Roman" w:hAnsi="Times New Roman" w:cs="Times New Roman"/>
        </w:rPr>
        <w:lastRenderedPageBreak/>
        <w:t xml:space="preserve">poet’s cultivation of a nationally important public persona. Both poetry and the poet are thus pursuing a particular kind of cultural capital that allows them to rise above their own popularity. Bainbridge frequently discusses strategies of </w:t>
      </w:r>
      <w:r w:rsidRPr="008E31AB">
        <w:rPr>
          <w:rFonts w:ascii="Times New Roman" w:hAnsi="Times New Roman" w:cs="Times New Roman"/>
        </w:rPr>
        <w:t>print publication as part of his analysis: a particularly insightful footnote discusses, for example, a poem which circulated both as an ode in a magazine and as lyrics in a broadsheet. Bainbridge observes that “texts could shift in status and meaning as t</w:t>
      </w:r>
      <w:r w:rsidRPr="008E31AB">
        <w:rPr>
          <w:rFonts w:ascii="Times New Roman" w:hAnsi="Times New Roman" w:cs="Times New Roman"/>
        </w:rPr>
        <w:t xml:space="preserve">hey were adapted for different forms of production and different audiences, in this case existing in both the relatively elevated form of the ode, to be read by an individual magazine reader, and as a new set of lyrics to a traditional tune, achieving its </w:t>
      </w:r>
      <w:r w:rsidRPr="008E31AB">
        <w:rPr>
          <w:rFonts w:ascii="Times New Roman" w:hAnsi="Times New Roman" w:cs="Times New Roman"/>
        </w:rPr>
        <w:t xml:space="preserve">fullest realization in a communal performance at a political meeting in an alehouse or at a demonstration”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&lt;citation&gt;&lt;priority&gt;8&lt;/priority&gt;&lt;uuid&gt;404B930C-FF7E-4C86-8E32-735B58ED61F8&lt;/uuid&gt;&lt;publications&gt;&lt;publication&gt;&lt;subtype&gt;0&lt;/subtype&gt;&lt;publisher&gt;Oxford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10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10)</w:t>
      </w:r>
      <w:r w:rsidR="00256E7A" w:rsidRPr="008E31AB">
        <w:rPr>
          <w:rFonts w:ascii="Times New Roman" w:hAnsi="Times New Roman" w:cs="Times New Roman"/>
        </w:rPr>
        <w:fldChar w:fldCharType="end"/>
      </w:r>
      <w:r w:rsidRPr="008E31AB">
        <w:rPr>
          <w:rFonts w:ascii="Times New Roman" w:hAnsi="Times New Roman" w:cs="Times New Roman"/>
        </w:rPr>
        <w:t>. However, his explanations of individual print strategies are often hindered by his approach to literature’s cultural c</w:t>
      </w:r>
      <w:r w:rsidRPr="008E31AB">
        <w:rPr>
          <w:rFonts w:ascii="Times New Roman" w:hAnsi="Times New Roman" w:cs="Times New Roman"/>
        </w:rPr>
        <w:t>apital. At one point, for example, he argues that “the fact that the Gentleman’s Magazine was forced to reproduce at length a poem written two decades previously again emphasizes what was seen to be the failure of anyone convincingly to fill the role of th</w:t>
      </w:r>
      <w:r w:rsidRPr="008E31AB">
        <w:rPr>
          <w:rFonts w:ascii="Times New Roman" w:hAnsi="Times New Roman" w:cs="Times New Roman"/>
        </w:rPr>
        <w:t xml:space="preserve">e Bard until the emergence of Walter Scott”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&lt;citation&gt;&lt;priority&gt;9&lt;/priority&gt;&lt;uuid&gt;BE87F08D-8499-4BE5-B3F5-F24945252BED&lt;/uuid&gt;&lt;publications&gt;&lt;publication&gt;&lt;subtype&gt;0&lt;/subtype&gt;&lt;publisher&gt;Oxford University Press&lt;/publisher&gt;&lt;title&gt;British Poetry and the Revolutionary and Napoleonic Wars&lt;/title&gt;&lt;publication_date&gt;99200300001200000000200000&lt;/publication_date&gt;&lt;uuid&gt;3CC31E36-D45A-4778-AF58-6538B701F9DB&lt;/uuid&gt;&lt;type&gt;0&lt;/type&gt;&lt;citekey&gt;Bainbridge:2003uk&lt;/citekey&gt;&lt;subtitle&gt;Visions of Conflict&lt;/subtitle&gt;&lt;authors&gt;&lt;author&gt;&lt;lastName&gt;Bainbridge&lt;/lastName&gt;&lt;firstName&gt;Simon&lt;/firstName&gt;&lt;/author&gt;&lt;/authors&gt;&lt;/publication&gt;&lt;/publications&gt;&lt;cites&gt;&lt;cite&gt;&lt;page&gt;53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(Bainbridge 53)</w:t>
      </w:r>
      <w:r w:rsidR="00256E7A" w:rsidRPr="008E31AB">
        <w:rPr>
          <w:rFonts w:ascii="Times New Roman" w:hAnsi="Times New Roman" w:cs="Times New Roman"/>
        </w:rPr>
        <w:fldChar w:fldCharType="end"/>
      </w:r>
      <w:r w:rsidRPr="008E31AB">
        <w:rPr>
          <w:rFonts w:ascii="Times New Roman" w:hAnsi="Times New Roman" w:cs="Times New Roman"/>
        </w:rPr>
        <w:t>. I contend that the republication of substantially older works of literature is not a sign that England was destitute of true poetry before Walter Scott, but rather an attempt to sol</w:t>
      </w:r>
      <w:r w:rsidRPr="008E31AB">
        <w:rPr>
          <w:rFonts w:ascii="Times New Roman" w:hAnsi="Times New Roman" w:cs="Times New Roman"/>
        </w:rPr>
        <w:t>ve the challenges to national identity posed by the 1790s’ disruption of history.</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1" w:name="Cronin"/>
      <w:r w:rsidRPr="008E31AB">
        <w:rPr>
          <w:rFonts w:ascii="Times New Roman" w:hAnsi="Times New Roman" w:cs="Times New Roman"/>
        </w:rPr>
        <w:t>Bainbridge</w:t>
      </w:r>
      <w:bookmarkEnd w:id="11"/>
      <w:r w:rsidRPr="008E31AB">
        <w:rPr>
          <w:rFonts w:ascii="Times New Roman" w:hAnsi="Times New Roman" w:cs="Times New Roman"/>
        </w:rPr>
        <w:t xml:space="preserve"> is not alone is taking Walter Scott as a kind of pinnacle, and looking backwards in search of his antecedents. Richard Cronin, in </w:t>
      </w:r>
      <w:r w:rsidRPr="008E31AB">
        <w:rPr>
          <w:rFonts w:ascii="Times New Roman" w:hAnsi="Times New Roman" w:cs="Times New Roman"/>
          <w:i/>
          <w:iCs/>
        </w:rPr>
        <w:t>The Politics of Roma</w:t>
      </w:r>
      <w:r w:rsidRPr="008E31AB">
        <w:rPr>
          <w:rFonts w:ascii="Times New Roman" w:hAnsi="Times New Roman" w:cs="Times New Roman"/>
          <w:i/>
          <w:iCs/>
        </w:rPr>
        <w:t>ntic Poetry</w:t>
      </w:r>
      <w:r w:rsidRPr="008E31AB">
        <w:rPr>
          <w:rFonts w:ascii="Times New Roman" w:hAnsi="Times New Roman" w:cs="Times New Roman"/>
        </w:rPr>
        <w:t xml:space="preserve">, concerns himself with “poetry that speaks to a divided society in an attempt to constitute its readers as citizens of […] ‘the pure commonwealth’”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&lt;citation&gt;&lt;priority&gt;10&lt;/priority&gt;&lt;uuid&gt;860C7FAA-6C76-4B9D-B66A-48F7EDB54FDC&lt;/uuid&gt;&lt;publications&gt;&lt;publication&gt;&lt;subtype&gt;0&lt;/subtype&gt;&lt;title&gt;The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13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13)</w:t>
      </w:r>
      <w:r w:rsidR="00256E7A" w:rsidRPr="008E31AB">
        <w:rPr>
          <w:rFonts w:ascii="Times New Roman" w:hAnsi="Times New Roman" w:cs="Times New Roman"/>
        </w:rPr>
        <w:fldChar w:fldCharType="end"/>
      </w:r>
      <w:r w:rsidRPr="008E31AB">
        <w:rPr>
          <w:rFonts w:ascii="Times New Roman" w:hAnsi="Times New Roman" w:cs="Times New Roman"/>
        </w:rPr>
        <w:t xml:space="preserve">. This definition of “political poetry” leads him to Erasmus Darwin as </w:t>
      </w:r>
      <w:r w:rsidRPr="008E31AB">
        <w:rPr>
          <w:rFonts w:ascii="Times New Roman" w:hAnsi="Times New Roman" w:cs="Times New Roman"/>
        </w:rPr>
        <w:t xml:space="preserve">the poet of the the Revolution and the Revolutionary war, William Blake as the poet of the Napoleonic wars, and Richard Southey and Walter Savage </w:t>
      </w:r>
      <w:r w:rsidRPr="008E31AB">
        <w:rPr>
          <w:rFonts w:ascii="Times New Roman" w:hAnsi="Times New Roman" w:cs="Times New Roman"/>
        </w:rPr>
        <w:lastRenderedPageBreak/>
        <w:t>Landor as the poets of the post-war period — ending, irresistibly, as so many do, with Walter Scott. Despite t</w:t>
      </w:r>
      <w:r w:rsidRPr="008E31AB">
        <w:rPr>
          <w:rFonts w:ascii="Times New Roman" w:hAnsi="Times New Roman" w:cs="Times New Roman"/>
        </w:rPr>
        <w:t>he fact that Cronin’s chief interest is in each poet’s use of language to construct an ideal audience, print culture looms. Of Erasmus Darwin, Cronin emphasizes Darwin’s use of “[t]he most powerful of the languages available in the 1790s that could plausib</w:t>
      </w:r>
      <w:r w:rsidRPr="008E31AB">
        <w:rPr>
          <w:rFonts w:ascii="Times New Roman" w:hAnsi="Times New Roman" w:cs="Times New Roman"/>
        </w:rPr>
        <w:t xml:space="preserve">ly claim universal status,” namely, “the language of science”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&lt;citation&gt;&lt;priority&gt;11&lt;/priority&gt;&lt;uuid&gt;74B5FDF1-A338-482B-A2DF-5E27405641D9&lt;/uuid&gt;&lt;publications&gt;&lt;publication&gt;&lt;subtype&gt;0&lt;/subtype&gt;&lt;title&gt;The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16&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16)</w:t>
      </w:r>
      <w:r w:rsidR="00256E7A" w:rsidRPr="008E31AB">
        <w:rPr>
          <w:rFonts w:ascii="Times New Roman" w:hAnsi="Times New Roman" w:cs="Times New Roman"/>
        </w:rPr>
        <w:fldChar w:fldCharType="end"/>
      </w:r>
      <w:r w:rsidRPr="008E31AB">
        <w:rPr>
          <w:rFonts w:ascii="Times New Roman" w:hAnsi="Times New Roman" w:cs="Times New Roman"/>
        </w:rPr>
        <w:t xml:space="preserve">, but it is the “beautifully and expensively produced edition of The Botanic Garden”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&lt;citation&gt;&lt;priority&gt;12&lt;/priority&gt;&lt;uuid&gt;043A8B30-4C8D-4187-B15E-1B9DD47748D8&lt;/uuid&gt;&lt;publications&gt;&lt;publication&gt;&lt;subtype&gt;0&lt;/subtype&gt;&lt;title&gt;The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29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29)</w:t>
      </w:r>
      <w:r w:rsidR="00256E7A" w:rsidRPr="008E31AB">
        <w:rPr>
          <w:rFonts w:ascii="Times New Roman" w:hAnsi="Times New Roman" w:cs="Times New Roman"/>
        </w:rPr>
        <w:fldChar w:fldCharType="end"/>
      </w:r>
      <w:r w:rsidRPr="008E31AB">
        <w:rPr>
          <w:rFonts w:ascii="Times New Roman" w:hAnsi="Times New Roman" w:cs="Times New Roman"/>
        </w:rPr>
        <w:t xml:space="preserve"> which asserts his importance. Blake’s eccentric, idiosyncr</w:t>
      </w:r>
      <w:r w:rsidRPr="008E31AB">
        <w:rPr>
          <w:rFonts w:ascii="Times New Roman" w:hAnsi="Times New Roman" w:cs="Times New Roman"/>
        </w:rPr>
        <w:t xml:space="preserve">atic language is mirrored in his eccentric, idiosyncratic printing practices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&lt;citation&gt;&lt;priority&gt;13&lt;/priority&gt;&lt;uuid&gt;15732E70-2D66-4D73-845F-C67020D66D2D&lt;/uuid&gt;&lt;publications&gt;&lt;publication&gt;&lt;subtype&gt;0&lt;/subtype&gt;&lt;title&gt;The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60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60)</w:t>
      </w:r>
      <w:r w:rsidR="00256E7A" w:rsidRPr="008E31AB">
        <w:rPr>
          <w:rFonts w:ascii="Times New Roman" w:hAnsi="Times New Roman" w:cs="Times New Roman"/>
        </w:rPr>
        <w:fldChar w:fldCharType="end"/>
      </w:r>
      <w:r w:rsidRPr="008E31AB">
        <w:rPr>
          <w:rFonts w:ascii="Times New Roman" w:hAnsi="Times New Roman" w:cs="Times New Roman"/>
        </w:rPr>
        <w:t xml:space="preserve">. Southey and Landor’s universal, international language seeks to “escape from history”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&lt;citation&gt;&lt;priority&gt;14&lt;/priority&gt;&lt;uuid&gt;568F0801-42EF-4011-A042-7662C17CA7D1&lt;/uuid&gt;&lt;publications&gt;&lt;publication&gt;&lt;subtype&gt;0&lt;/subtype&gt;&lt;title&gt;The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81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81)</w:t>
      </w:r>
      <w:r w:rsidR="00256E7A" w:rsidRPr="008E31AB">
        <w:rPr>
          <w:rFonts w:ascii="Times New Roman" w:hAnsi="Times New Roman" w:cs="Times New Roman"/>
        </w:rPr>
        <w:fldChar w:fldCharType="end"/>
      </w:r>
      <w:r w:rsidRPr="008E31AB">
        <w:rPr>
          <w:rFonts w:ascii="Times New Roman" w:hAnsi="Times New Roman" w:cs="Times New Roman"/>
        </w:rPr>
        <w:t>, which entails disavowing not only the p</w:t>
      </w:r>
      <w:r w:rsidRPr="008E31AB">
        <w:rPr>
          <w:rFonts w:ascii="Times New Roman" w:hAnsi="Times New Roman" w:cs="Times New Roman"/>
        </w:rPr>
        <w:t xml:space="preserve">opular prose fictions which sought to represent history but also the very circulating libraries in which they were distributed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&lt;citation&gt;&lt;priority&gt;15&lt;/priority&gt;&lt;uuid&gt;04F6004F-D387-4967-B2F3-F42A171952FB&lt;/uuid&gt;&lt;publications&gt;&lt;publication&gt;&lt;subtype&gt;0&lt;/subtype&gt;&lt;title&gt;The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74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74)</w:t>
      </w:r>
      <w:r w:rsidR="00256E7A" w:rsidRPr="008E31AB">
        <w:rPr>
          <w:rFonts w:ascii="Times New Roman" w:hAnsi="Times New Roman" w:cs="Times New Roman"/>
        </w:rPr>
        <w:fldChar w:fldCharType="end"/>
      </w:r>
      <w:r w:rsidRPr="008E31AB">
        <w:rPr>
          <w:rFonts w:ascii="Times New Roman" w:hAnsi="Times New Roman" w:cs="Times New Roman"/>
        </w:rPr>
        <w:t>. In other words, Cronin, even more so than Bainbridge, seems to use ‘poetic language’ to explain phenom</w:t>
      </w:r>
      <w:r w:rsidRPr="008E31AB">
        <w:rPr>
          <w:rFonts w:ascii="Times New Roman" w:hAnsi="Times New Roman" w:cs="Times New Roman"/>
        </w:rPr>
        <w:t xml:space="preserve">ena which have important print culture dimensions. Nonetheless, his discussion of Scott accurately describes the particular nature of Scott’s success: “Scott’s </w:t>
      </w:r>
      <w:r w:rsidRPr="008E31AB">
        <w:rPr>
          <w:rFonts w:ascii="Times New Roman" w:hAnsi="Times New Roman" w:cs="Times New Roman"/>
          <w:i/>
          <w:iCs/>
        </w:rPr>
        <w:t>Minstrelsy</w:t>
      </w:r>
      <w:r w:rsidRPr="008E31AB">
        <w:rPr>
          <w:rFonts w:ascii="Times New Roman" w:hAnsi="Times New Roman" w:cs="Times New Roman"/>
        </w:rPr>
        <w:t xml:space="preserve"> transforms ballads freely passed from speaker to speaker around cottage fires on the </w:t>
      </w:r>
      <w:r w:rsidRPr="008E31AB">
        <w:rPr>
          <w:rFonts w:ascii="Times New Roman" w:hAnsi="Times New Roman" w:cs="Times New Roman"/>
        </w:rPr>
        <w:t xml:space="preserve">Scottish Borders into luxury items, items only available to book-buyers of some means”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&lt;citation&gt;&lt;priority&gt;16&lt;/priority&gt;&lt;uuid&gt;1E585114-A385-4D69-B4D9-07B721706CDE&lt;/uuid&gt;&lt;publications&gt;&lt;publication&gt;&lt;subtype&gt;0&lt;/subtype&gt;&lt;title&gt;The politics of romantic poetry&lt;/title&gt;&lt;publication_date&gt;99200000001200000000200000&lt;/publication_date&gt;&lt;uuid&gt;E91B141E-75C1-4CF5-8A58-F91E29ACF61E&lt;/uuid&gt;&lt;type&gt;0&lt;/type&gt;&lt;subtitle&gt;in search of the pure commonwealth&lt;/subtitle&gt;&lt;authors&gt;&lt;author&gt;&lt;lastName&gt;Cronin&lt;/lastName&gt;&lt;firstName&gt;Richard&lt;/firstName&gt;&lt;/author&gt;&lt;/authors&gt;&lt;/publication&gt;&lt;/publications&gt;&lt;cites&gt;&lt;cite&gt;&lt;page&gt;94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(Cronin 94)</w:t>
      </w:r>
      <w:r w:rsidR="00256E7A" w:rsidRPr="008E31AB">
        <w:rPr>
          <w:rFonts w:ascii="Times New Roman" w:hAnsi="Times New Roman" w:cs="Times New Roman"/>
        </w:rPr>
        <w:fldChar w:fldCharType="end"/>
      </w:r>
      <w:r w:rsidRPr="008E31AB">
        <w:rPr>
          <w:rFonts w:ascii="Times New Roman" w:hAnsi="Times New Roman" w:cs="Times New Roman"/>
        </w:rPr>
        <w:t>. The Romantic poets, in both Bainbridge and Cronin’s accounts, support their claims to insight and importance through the inaccessibility of th</w:t>
      </w:r>
      <w:r w:rsidRPr="008E31AB">
        <w:rPr>
          <w:rFonts w:ascii="Times New Roman" w:hAnsi="Times New Roman" w:cs="Times New Roman"/>
        </w:rPr>
        <w:t>eir work in print.</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Poetry thus stands in a stark contrast to the volumes of writing which John Mee discusses in </w:t>
      </w:r>
      <w:r w:rsidRPr="008E31AB">
        <w:rPr>
          <w:rFonts w:ascii="Times New Roman" w:hAnsi="Times New Roman" w:cs="Times New Roman"/>
          <w:i/>
          <w:iCs/>
        </w:rPr>
        <w:t xml:space="preserve">Print, Publicity, and Popular Radicalism in the 1790s. </w:t>
      </w:r>
      <w:r w:rsidRPr="008E31AB">
        <w:rPr>
          <w:rFonts w:ascii="Times New Roman" w:hAnsi="Times New Roman" w:cs="Times New Roman"/>
        </w:rPr>
        <w:t>Although his title leaves open the possibility that he could consider any kind of writin</w:t>
      </w:r>
      <w:r w:rsidRPr="008E31AB">
        <w:rPr>
          <w:rFonts w:ascii="Times New Roman" w:hAnsi="Times New Roman" w:cs="Times New Roman"/>
        </w:rPr>
        <w:t>g in print, Mee is concerned solely with the activities of the London Corresponding Society, placed in the context of Romanticism. He examines “public lectures, toasting, tavern debates, and song, but also more mundane and less colourful associational prac</w:t>
      </w:r>
      <w:r w:rsidRPr="008E31AB">
        <w:rPr>
          <w:rFonts w:ascii="Times New Roman" w:hAnsi="Times New Roman" w:cs="Times New Roman"/>
        </w:rPr>
        <w:t xml:space="preserve">tices, such as day-to-day editorial discussion about what to publish </w:t>
      </w:r>
      <w:r w:rsidRPr="008E31AB">
        <w:rPr>
          <w:rFonts w:ascii="Times New Roman" w:hAnsi="Times New Roman" w:cs="Times New Roman"/>
        </w:rPr>
        <w:lastRenderedPageBreak/>
        <w:t xml:space="preserve">under the LCS’s name”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&lt;citation&gt;&lt;priority&gt;17&lt;/priority&gt;&lt;uuid&gt;03863488-710F-4860-BDAA-DA1C91058A7A&lt;/uuid&gt;&lt;publications&gt;&lt;publication&gt;&lt;subtype&gt;1&lt;/subtype&gt;&lt;title&gt;Print,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28&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28)</w:t>
      </w:r>
      <w:r w:rsidR="00256E7A" w:rsidRPr="008E31AB">
        <w:rPr>
          <w:rFonts w:ascii="Times New Roman" w:hAnsi="Times New Roman" w:cs="Times New Roman"/>
        </w:rPr>
        <w:fldChar w:fldCharType="end"/>
      </w:r>
      <w:r w:rsidRPr="008E31AB">
        <w:rPr>
          <w:rFonts w:ascii="Times New Roman" w:hAnsi="Times New Roman" w:cs="Times New Roman"/>
        </w:rPr>
        <w:t>. These writers held a fundamentally different relationship to the print marketplace than the Romantic poets, or even than theatre critics: rat</w:t>
      </w:r>
      <w:r w:rsidRPr="008E31AB">
        <w:rPr>
          <w:rFonts w:ascii="Times New Roman" w:hAnsi="Times New Roman" w:cs="Times New Roman"/>
        </w:rPr>
        <w:t>her than concerning themselves with distinctions between ‘good’ and ‘bad’ forms of writing or publication, Mee argues, “At certain points the societies seem to operate under the spell of ‘print magic’, that is, a faith that print could liberate mankind sim</w:t>
      </w:r>
      <w:r w:rsidRPr="008E31AB">
        <w:rPr>
          <w:rFonts w:ascii="Times New Roman" w:hAnsi="Times New Roman" w:cs="Times New Roman"/>
        </w:rPr>
        <w:t xml:space="preserve">ply by bringing ideas into printed circulation”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&lt;citation&gt;&lt;priority&gt;18&lt;/priority&gt;&lt;uuid&gt;39BDEA43-7A7E-4554-BABA-87E2EB02F7DC&lt;/uuid&gt;&lt;publications&gt;&lt;publication&gt;&lt;subtype&gt;1&lt;/subtype&gt;&lt;title&gt;Print,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24)</w:t>
      </w:r>
      <w:r w:rsidR="00256E7A" w:rsidRPr="008E31AB">
        <w:rPr>
          <w:rFonts w:ascii="Times New Roman" w:hAnsi="Times New Roman" w:cs="Times New Roman"/>
        </w:rPr>
        <w:fldChar w:fldCharType="end"/>
      </w:r>
      <w:r w:rsidRPr="008E31AB">
        <w:rPr>
          <w:rFonts w:ascii="Times New Roman" w:hAnsi="Times New Roman" w:cs="Times New Roman"/>
        </w:rPr>
        <w:t>. This partly shifts to Mee himself the task of assessing whether the texts he studies are ‘literature.’ A partial claim to the status of ‘literature’ is suggested by the participation o</w:t>
      </w:r>
      <w:r w:rsidRPr="008E31AB">
        <w:rPr>
          <w:rFonts w:ascii="Times New Roman" w:hAnsi="Times New Roman" w:cs="Times New Roman"/>
        </w:rPr>
        <w:t>f his book within the series ‘Cambridge Studies in Romanticism,’ which, he acknowledges “implies an understanding of popular radicalism as a kind of ‘literary’ culture. At least, it argues for the centrality of the writing, production, and circulation of p</w:t>
      </w:r>
      <w:r w:rsidRPr="008E31AB">
        <w:rPr>
          <w:rFonts w:ascii="Times New Roman" w:hAnsi="Times New Roman" w:cs="Times New Roman"/>
        </w:rPr>
        <w:t xml:space="preserve">rinted texts that took up so much of the time of the radical societies”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&lt;citation&gt;&lt;priority&gt;19&lt;/priority&gt;&lt;uuid&gt;48D5D9E4-BB2F-4D1B-9792-3561A70F0061&lt;/uuid&gt;&lt;publications&gt;&lt;publication&gt;&lt;subtype&gt;1&lt;/subtype&gt;&lt;title&gt;Print,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suffix&gt;p.&lt;/suffix&gt;&lt;/cite&gt;&lt;/cites&gt;&lt;/citation&gt;</w:instrText>
      </w:r>
      <w:r w:rsidR="00256E7A" w:rsidRPr="008E31AB">
        <w:rPr>
          <w:rFonts w:ascii="Times New Roman" w:hAnsi="Times New Roman" w:cs="Times New Roman"/>
        </w:rPr>
        <w:fldChar w:fldCharType="separate"/>
      </w:r>
      <w:r w:rsidR="00DB055D">
        <w:rPr>
          <w:rFonts w:ascii="Times New Roman" w:hAnsi="Times New Roman" w:cs="Times New Roman"/>
        </w:rPr>
        <w:t>(Mee 18</w:t>
      </w:r>
      <w:r w:rsidR="00256E7A" w:rsidRPr="008E31AB">
        <w:rPr>
          <w:rFonts w:ascii="Times New Roman" w:hAnsi="Times New Roman" w:cs="Times New Roman"/>
        </w:rPr>
        <w:t>)</w:t>
      </w:r>
      <w:r w:rsidR="00256E7A" w:rsidRPr="008E31AB">
        <w:rPr>
          <w:rFonts w:ascii="Times New Roman" w:hAnsi="Times New Roman" w:cs="Times New Roman"/>
        </w:rPr>
        <w:fldChar w:fldCharType="end"/>
      </w:r>
      <w:r w:rsidRPr="008E31AB">
        <w:rPr>
          <w:rFonts w:ascii="Times New Roman" w:hAnsi="Times New Roman" w:cs="Times New Roman"/>
        </w:rPr>
        <w:t xml:space="preserve">. Nonetheless, the book distances itself from “Romanticism and its major poets, novelists, and playwrights”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&lt;citation&gt;&lt;priority&gt;20&lt;/priority&gt;&lt;uuid&gt;48E2312A-9818-40B2-B227-213E50CF20BF&lt;/uuid&gt;&lt;publications&gt;&lt;publication&gt;&lt;subtype&gt;1&lt;/subtype&gt;&lt;title&gt;Print,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18&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18)</w:t>
      </w:r>
      <w:r w:rsidR="00256E7A" w:rsidRPr="008E31AB">
        <w:rPr>
          <w:rFonts w:ascii="Times New Roman" w:hAnsi="Times New Roman" w:cs="Times New Roman"/>
        </w:rPr>
        <w:fldChar w:fldCharType="end"/>
      </w:r>
      <w:r w:rsidRPr="008E31AB">
        <w:rPr>
          <w:rFonts w:ascii="Times New Roman" w:hAnsi="Times New Roman" w:cs="Times New Roman"/>
        </w:rPr>
        <w:t>. Mee thus replicates the distance that the period’s “poets, novelists, and playwrights” sought to put between themselves as the “the role of print personality</w:t>
      </w:r>
      <w:r w:rsidRPr="008E31AB">
        <w:rPr>
          <w:rFonts w:ascii="Times New Roman" w:hAnsi="Times New Roman" w:cs="Times New Roman"/>
          <w:vertAlign w:val="superscript"/>
        </w:rPr>
        <w:footnoteReference w:id="5"/>
      </w:r>
      <w:r w:rsidRPr="008E31AB">
        <w:rPr>
          <w:rFonts w:ascii="Times New Roman" w:hAnsi="Times New Roman" w:cs="Times New Roman"/>
        </w:rPr>
        <w:t xml:space="preserve"> </w:t>
      </w:r>
      <w:bookmarkStart w:id="12" w:name="Mee"/>
      <w:r w:rsidRPr="008E31AB">
        <w:rPr>
          <w:rFonts w:ascii="Times New Roman" w:hAnsi="Times New Roman" w:cs="Times New Roman"/>
        </w:rPr>
        <w:t>as</w:t>
      </w:r>
      <w:bookmarkEnd w:id="12"/>
      <w:r w:rsidRPr="008E31AB">
        <w:rPr>
          <w:rFonts w:ascii="Times New Roman" w:hAnsi="Times New Roman" w:cs="Times New Roman"/>
        </w:rPr>
        <w:t xml:space="preserve"> a form of mediation”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&lt;citation&gt;&lt;priority&gt;22&lt;/priority&gt;&lt;uuid&gt;0C2D082E-7D0E-439C-ABF5-B6C1EA441479&lt;/uuid&gt;&lt;publications&gt;&lt;publication&gt;&lt;subtype&gt;1&lt;/subtype&gt;&lt;title&gt;Print,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(Mee 29)</w:t>
      </w:r>
      <w:r w:rsidR="00256E7A" w:rsidRPr="008E31AB">
        <w:rPr>
          <w:rFonts w:ascii="Times New Roman" w:hAnsi="Times New Roman" w:cs="Times New Roman"/>
        </w:rPr>
        <w:fldChar w:fldCharType="end"/>
      </w:r>
      <w:r w:rsidRPr="008E31AB">
        <w:rPr>
          <w:rFonts w:ascii="Times New Roman" w:hAnsi="Times New Roman" w:cs="Times New Roman"/>
        </w:rPr>
        <w:t xml:space="preserve"> that interests Mee in the LCS.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3" w:name="conclusion_canons"/>
      <w:r w:rsidRPr="008E31AB">
        <w:rPr>
          <w:rFonts w:ascii="Times New Roman" w:hAnsi="Times New Roman" w:cs="Times New Roman"/>
        </w:rPr>
        <w:t>John</w:t>
      </w:r>
      <w:bookmarkEnd w:id="13"/>
      <w:r w:rsidRPr="008E31AB">
        <w:rPr>
          <w:rFonts w:ascii="Times New Roman" w:hAnsi="Times New Roman" w:cs="Times New Roman"/>
        </w:rPr>
        <w:t xml:space="preserve"> Guillory contends that the “canon debate” taking place dur</w:t>
      </w:r>
      <w:r w:rsidRPr="008E31AB">
        <w:rPr>
          <w:rFonts w:ascii="Times New Roman" w:hAnsi="Times New Roman" w:cs="Times New Roman"/>
        </w:rPr>
        <w:t xml:space="preserve">ing his moment of writing in 1993 “signifies nothing less than a crisis in the form of cultural capital we call ‘literature’”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&lt;citation&gt;&lt;priority&gt;23&lt;/priority&gt;&lt;uuid&gt;A6395C61-21F0-46F2-B770-5639FEBE714D&lt;/uuid&gt;&lt;publications&gt;&lt;publication&gt;&lt;subtype&gt;1&lt;/subtype&gt;&lt;publisher&gt;University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gt;&lt;suffix&gt;p.viii&lt;/suffix&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(Guillory p.viii)</w:t>
      </w:r>
      <w:r w:rsidR="00256E7A" w:rsidRPr="008E31AB">
        <w:rPr>
          <w:rFonts w:ascii="Times New Roman" w:hAnsi="Times New Roman" w:cs="Times New Roman"/>
        </w:rPr>
        <w:fldChar w:fldCharType="end"/>
      </w:r>
      <w:r w:rsidRPr="008E31AB">
        <w:rPr>
          <w:rFonts w:ascii="Times New Roman" w:hAnsi="Times New Roman" w:cs="Times New Roman"/>
        </w:rPr>
        <w:t>; as both he and I argue, the roots of this crisis lie two hundred years earlier, in the eighteenth c</w:t>
      </w:r>
      <w:r w:rsidRPr="008E31AB">
        <w:rPr>
          <w:rFonts w:ascii="Times New Roman" w:hAnsi="Times New Roman" w:cs="Times New Roman"/>
        </w:rPr>
        <w:t xml:space="preserve">entury formation of a vernacular (rather than classical) literary canon, and in the 1790s “first crisis”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&lt;citation&gt;&lt;priority&gt;24&lt;/priority&gt;&lt;uuid&gt;B51B9360-5714-478F-BDE6-81173020BAA0&lt;/uuid&gt;&lt;publications&gt;&lt;publication&gt;&lt;subtype&gt;1&lt;/subtype&gt;&lt;publisher&gt;University of Chicago Press&lt;/publisher&gt;&lt;title&gt;Cultural capital: The problem of literary canon formation&lt;/title&gt;&lt;url&gt;https://books.google.com/books?hl=en&amp;amp;lr=&amp;amp;id=QHkMIIIwukgC&amp;amp;oi=fnd&amp;amp;pg=PR5&amp;amp;dq=Cultural+capital+the+problem+of+literary+canon+formation+John+Guillory&amp;amp;ots=CMEombZJsx&amp;amp;sig=ewaKeiBen2jFhQiey1OuX17eqYo&lt;/url&gt;&lt;publication_date&gt;99199300001200000000200000&lt;/publication_date&gt;&lt;uuid&gt;815AAAA7-28D1-4FC6-A217-4B0ABAB0E396&lt;/uuid&gt;&lt;type&gt;0&lt;/type&gt;&lt;citekey&gt;Guillory:1993uc&lt;/citekey&gt;&lt;authors&gt;&lt;author&gt;&lt;lastName&gt;Guillory&lt;/lastName&gt;&lt;firstName&gt;John&lt;/firstName&gt;&lt;/author&gt;&lt;/authors&gt;&lt;/publication&gt;&lt;/publications&gt;&lt;cites&gt;&lt;cite&gt;&lt;suffix&gt;p.xi&lt;/suffix&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(Guillory p.xi)</w:t>
      </w:r>
      <w:r w:rsidR="00256E7A" w:rsidRPr="008E31AB">
        <w:rPr>
          <w:rFonts w:ascii="Times New Roman" w:hAnsi="Times New Roman" w:cs="Times New Roman"/>
        </w:rPr>
        <w:fldChar w:fldCharType="end"/>
      </w:r>
      <w:r w:rsidRPr="008E31AB">
        <w:rPr>
          <w:rFonts w:ascii="Times New Roman" w:hAnsi="Times New Roman" w:cs="Times New Roman"/>
        </w:rPr>
        <w:t xml:space="preserve"> of that canon. Guillory turns particularly to Wordsworth and Coleridge, and the strategies by which they confer a high sta</w:t>
      </w:r>
      <w:r w:rsidRPr="008E31AB">
        <w:rPr>
          <w:rFonts w:ascii="Times New Roman" w:hAnsi="Times New Roman" w:cs="Times New Roman"/>
        </w:rPr>
        <w:t xml:space="preserve">tus on their own work by undermining the cultural capital of other forms. Wordsworth, Coleridge, and the other ‘big six’ </w:t>
      </w:r>
      <w:r w:rsidRPr="008E31AB">
        <w:rPr>
          <w:rFonts w:ascii="Times New Roman" w:hAnsi="Times New Roman" w:cs="Times New Roman"/>
        </w:rPr>
        <w:lastRenderedPageBreak/>
        <w:t>Romantics are surely the winners of the eighteenth century historical battle for cultural capital; just as surely, the loser has been t</w:t>
      </w:r>
      <w:r w:rsidRPr="008E31AB">
        <w:rPr>
          <w:rFonts w:ascii="Times New Roman" w:hAnsi="Times New Roman" w:cs="Times New Roman"/>
        </w:rPr>
        <w:t xml:space="preserve">he Gothic. E.J. Clery’s </w:t>
      </w:r>
      <w:r w:rsidRPr="008E31AB">
        <w:rPr>
          <w:rFonts w:ascii="Times New Roman" w:hAnsi="Times New Roman" w:cs="Times New Roman"/>
          <w:i/>
          <w:iCs/>
        </w:rPr>
        <w:t>The Rise of Supernatural Fiction, 1762-1800</w:t>
      </w:r>
      <w:r w:rsidRPr="008E31AB">
        <w:rPr>
          <w:rFonts w:ascii="Times New Roman" w:hAnsi="Times New Roman" w:cs="Times New Roman"/>
        </w:rPr>
        <w:t xml:space="preserve"> provides an account of what was at stake for the representations of supernatural events in supernatural stories in fiction, drama, and popular news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&lt;citation&gt;&lt;priority&gt;25&lt;/priority&gt;&lt;uuid&gt;C2DC0E1B-D06A-46DD-A3A0-400DBB5177FC&lt;/uuid&gt;&lt;publications&gt;&lt;publication&gt;&lt;subtype&gt;0&lt;/subtype&gt;&lt;title&gt;The Rise of Supernatural Fiction&lt;/title&gt;&lt;uuid&gt;1C5BC4BA-9EF3-427D-9BA2-78C438A677FB&lt;/uuid&gt;&lt;type&gt;0&lt;/type&gt;&lt;citekey&gt;Clery:HFvEup7z&lt;/citekey&gt;&lt;authors&gt;&lt;author&gt;&lt;lastName&gt;Clery&lt;/lastName&gt;&lt;firstName&gt;E&lt;/firstName&gt;&lt;middleNames&gt;J&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(Clery)</w:t>
      </w:r>
      <w:r w:rsidR="00256E7A" w:rsidRPr="008E31AB">
        <w:rPr>
          <w:rFonts w:ascii="Times New Roman" w:hAnsi="Times New Roman" w:cs="Times New Roman"/>
        </w:rPr>
        <w:fldChar w:fldCharType="end"/>
      </w:r>
      <w:r w:rsidRPr="008E31AB">
        <w:rPr>
          <w:rFonts w:ascii="Times New Roman" w:hAnsi="Times New Roman" w:cs="Times New Roman"/>
        </w:rPr>
        <w:t>. The “rise” she de</w:t>
      </w:r>
      <w:r w:rsidRPr="008E31AB">
        <w:rPr>
          <w:rFonts w:ascii="Times New Roman" w:hAnsi="Times New Roman" w:cs="Times New Roman"/>
        </w:rPr>
        <w:t>scribes is not an increase in volume and prominence of supernatural stories, since her starting point in 1762 (the Cock Lane ghost) is a major national phenomenon with many imitators. Rather, supernatural fiction ‘rises’ when it acquires cultural legitimac</w:t>
      </w:r>
      <w:r w:rsidRPr="008E31AB">
        <w:rPr>
          <w:rFonts w:ascii="Times New Roman" w:hAnsi="Times New Roman" w:cs="Times New Roman"/>
        </w:rPr>
        <w:t xml:space="preserve">y. Michael Gamer has more recently expanded on how this ‘rise’ fuelled Romanticism’s own rise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&lt;citation&gt;&lt;priority&gt;26&lt;/priority&gt;&lt;uuid&gt;0F4A8580-5244-4A74-AE12-89C54D1DB44D&lt;/uuid&gt;&lt;publications&gt;&lt;publication&gt;&lt;subtype&gt;0&lt;/subtype&gt;&lt;title&gt;Romanticism and the Gothic&lt;/title&gt;&lt;uuid&gt;8D7F274F-107E-4312-93FE-99C81F9EF55F&lt;/uuid&gt;&lt;type&gt;0&lt;/type&gt;&lt;citekey&gt;Gamer:jX8nTxB-&lt;/citekey&gt;&lt;subtitle&gt;Genre, Reception, and Canon Formation&lt;/subtitle&gt;&lt;authors&gt;&lt;author&gt;&lt;lastName&gt;Gamer&lt;/lastName&gt;&lt;firstName&gt;Michael&lt;/firstName&gt;&lt;/author&gt;&lt;/authors&gt;&lt;/publication&gt;&lt;/publications&gt;&lt;cites&gt;&lt;/cites&gt;&lt;/citation&gt;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(Gamer)</w:t>
      </w:r>
      <w:r w:rsidR="00256E7A" w:rsidRPr="008E31AB">
        <w:rPr>
          <w:rFonts w:ascii="Times New Roman" w:hAnsi="Times New Roman" w:cs="Times New Roman"/>
        </w:rPr>
        <w:fldChar w:fldCharType="end"/>
      </w:r>
      <w:r w:rsidRPr="008E31AB">
        <w:rPr>
          <w:rFonts w:ascii="Times New Roman" w:hAnsi="Times New Roman" w:cs="Times New Roman"/>
        </w:rPr>
        <w:t xml:space="preserve">. In </w:t>
      </w:r>
      <w:r w:rsidRPr="008E31AB">
        <w:rPr>
          <w:rFonts w:ascii="Times New Roman" w:hAnsi="Times New Roman" w:cs="Times New Roman"/>
          <w:i/>
          <w:iCs/>
        </w:rPr>
        <w:t>Romanticism and the Gothic: Genre, Reception, and Canon Formation</w:t>
      </w:r>
      <w:r w:rsidRPr="008E31AB">
        <w:rPr>
          <w:rFonts w:ascii="Times New Roman" w:hAnsi="Times New Roman" w:cs="Times New Roman"/>
        </w:rPr>
        <w:t>, he details  the interconnectednesss of what are now seen as the separ</w:t>
      </w:r>
      <w:r w:rsidRPr="008E31AB">
        <w:rPr>
          <w:rFonts w:ascii="Times New Roman" w:hAnsi="Times New Roman" w:cs="Times New Roman"/>
        </w:rPr>
        <w:t>ate categories of ‘high’ Romantic literature and ‘low,’ popular Gothic writing. By using Gothic materials in self-avowedly non-Gothic ways, Gamer argues, Romantic writers could appeal to popular taste without risking the loss of cultural capital which atte</w:t>
      </w:r>
      <w:r w:rsidRPr="008E31AB">
        <w:rPr>
          <w:rFonts w:ascii="Times New Roman" w:hAnsi="Times New Roman" w:cs="Times New Roman"/>
        </w:rPr>
        <w:t xml:space="preserve">nded the Gothic’s “popularity”. Gamer, like Guillory, primarily examines Wordsworth and the ‘winners’ of the struggle for cultural capital: I, like Clery, am more interested in the ‘losers.’ Accordingly, I attend to much that is </w:t>
      </w:r>
      <w:r w:rsidRPr="008E31AB">
        <w:rPr>
          <w:rFonts w:ascii="Times New Roman" w:hAnsi="Times New Roman" w:cs="Times New Roman"/>
          <w:i/>
          <w:iCs/>
        </w:rPr>
        <w:t>not</w:t>
      </w:r>
      <w:r w:rsidRPr="008E31AB">
        <w:rPr>
          <w:rFonts w:ascii="Times New Roman" w:hAnsi="Times New Roman" w:cs="Times New Roman"/>
        </w:rPr>
        <w:t xml:space="preserve"> literature, in order to</w:t>
      </w:r>
      <w:r w:rsidRPr="008E31AB">
        <w:rPr>
          <w:rFonts w:ascii="Times New Roman" w:hAnsi="Times New Roman" w:cs="Times New Roman"/>
        </w:rPr>
        <w:t xml:space="preserve"> better understand why it is not.</w:t>
      </w:r>
    </w:p>
    <w:p w:rsidR="00000000" w:rsidRPr="000E45B3"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0E45B3">
        <w:rPr>
          <w:rFonts w:cs="Georgia"/>
          <w:b/>
          <w:bCs/>
          <w:i/>
          <w:iCs/>
          <w:sz w:val="26"/>
          <w:szCs w:val="26"/>
        </w:rPr>
        <w:t xml:space="preserve">1.3.  </w:t>
      </w:r>
      <w:r w:rsidR="000E45B3" w:rsidRPr="000E45B3">
        <w:rPr>
          <w:rFonts w:cs="Georgia"/>
          <w:b/>
          <w:bCs/>
          <w:i/>
          <w:iCs/>
          <w:sz w:val="26"/>
          <w:szCs w:val="26"/>
        </w:rPr>
        <w:t>Reparative Reading</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4" w:name="reparative_reading"/>
      <w:r w:rsidRPr="008E31AB">
        <w:rPr>
          <w:rFonts w:ascii="Times New Roman" w:hAnsi="Times New Roman" w:cs="Times New Roman"/>
        </w:rPr>
        <w:t>My</w:t>
      </w:r>
      <w:bookmarkEnd w:id="14"/>
      <w:r w:rsidRPr="008E31AB">
        <w:rPr>
          <w:rFonts w:ascii="Times New Roman" w:hAnsi="Times New Roman" w:cs="Times New Roman"/>
        </w:rPr>
        <w:t xml:space="preserve"> primary theoretical framework is that of reparative reading. Eve Sedgwick persuasively describes, in “Paranoid Reading and Reparative Reading,”</w:t>
      </w:r>
      <w:r w:rsidRPr="008E31AB">
        <w:rPr>
          <w:rFonts w:ascii="Times New Roman" w:hAnsi="Times New Roman" w:cs="Times New Roman"/>
        </w:rPr>
        <w:t xml:space="preserve"> the dominance of paranoia in literary criticism </w:t>
      </w:r>
      <w:r w:rsidRPr="008E31AB">
        <w:rPr>
          <w:rFonts w:ascii="Times New Roman" w:hAnsi="Times New Roman" w:cs="Times New Roman"/>
        </w:rPr>
        <w:t>{Sedgwick:2015up}, and attempts to sketch an alternative in what she terms  reparative reading. My touchstones are two descriptions from Sedgwick’s original chapter, “Paranoid Reading and Reparative Rea</w:t>
      </w:r>
      <w:r w:rsidRPr="008E31AB">
        <w:rPr>
          <w:rFonts w:ascii="Times New Roman" w:hAnsi="Times New Roman" w:cs="Times New Roman"/>
        </w:rPr>
        <w:t xml:space="preserve">ding”:  </w:t>
      </w:r>
    </w:p>
    <w:p w:rsidR="00000000" w:rsidRPr="008E31AB" w:rsidRDefault="005A05A8">
      <w:pPr>
        <w:pStyle w:val="BlockQuote"/>
        <w:widowControl/>
        <w:rPr>
          <w:rFonts w:ascii="Times New Roman" w:hAnsi="Times New Roman" w:cs="Times New Roman"/>
        </w:rPr>
      </w:pPr>
      <w:r w:rsidRPr="008E31AB">
        <w:rPr>
          <w:rFonts w:ascii="Times New Roman" w:hAnsi="Times New Roman" w:cs="Times New Roman"/>
        </w:rPr>
        <w:t xml:space="preserve">The desire of a reparative impulse... is additive and accretive. Its fear, a realistic one, is that the culture surrounding it is inadequate or inimical to its nurture; it wants to assemble </w:t>
      </w:r>
      <w:r w:rsidRPr="008E31AB">
        <w:rPr>
          <w:rFonts w:ascii="Times New Roman" w:hAnsi="Times New Roman" w:cs="Times New Roman"/>
        </w:rPr>
        <w:lastRenderedPageBreak/>
        <w:t>and confer plenitude to an object that will then have re</w:t>
      </w:r>
      <w:r w:rsidRPr="008E31AB">
        <w:rPr>
          <w:rFonts w:ascii="Times New Roman" w:hAnsi="Times New Roman" w:cs="Times New Roman"/>
        </w:rPr>
        <w:t xml:space="preserve">sources to offer to an inchoate self. </w:t>
      </w:r>
      <w:r w:rsidR="00250AA7">
        <w:rPr>
          <w:rFonts w:ascii="Times New Roman" w:hAnsi="Times New Roman" w:cs="Times New Roman"/>
        </w:rPr>
        <w:t>(149)</w:t>
      </w:r>
    </w:p>
    <w:p w:rsidR="00000000" w:rsidRPr="008E31AB" w:rsidRDefault="005A05A8">
      <w:pPr>
        <w:pStyle w:val="BlockQuote"/>
        <w:widowControl/>
        <w:rPr>
          <w:rFonts w:ascii="Times New Roman" w:hAnsi="Times New Roman" w:cs="Times New Roman"/>
        </w:rPr>
      </w:pPr>
    </w:p>
    <w:p w:rsidR="00000000" w:rsidRPr="008E31AB" w:rsidRDefault="005A05A8" w:rsidP="00250AA7">
      <w:pPr>
        <w:pStyle w:val="BlockQuote"/>
        <w:widowControl/>
        <w:rPr>
          <w:rFonts w:ascii="Times New Roman" w:hAnsi="Times New Roman" w:cs="Times New Roman"/>
        </w:rPr>
      </w:pPr>
      <w:r w:rsidRPr="008E31AB">
        <w:rPr>
          <w:rFonts w:ascii="Times New Roman" w:hAnsi="Times New Roman" w:cs="Times New Roman"/>
        </w:rPr>
        <w:t>What we can best learn from such practices are, perhaps, the many ways selves and communities succeed in extracting sustenance from the objects of a culture - even of a culture whose avowe</w:t>
      </w:r>
      <w:r w:rsidRPr="008E31AB">
        <w:rPr>
          <w:rFonts w:ascii="Times New Roman" w:hAnsi="Times New Roman" w:cs="Times New Roman"/>
        </w:rPr>
        <w:t xml:space="preserve">d desire has often been not to sustain them. </w:t>
      </w:r>
      <w:r w:rsidR="00250AA7">
        <w:rPr>
          <w:rFonts w:ascii="Times New Roman" w:hAnsi="Times New Roman" w:cs="Times New Roman"/>
        </w:rPr>
        <w:t>(150-151).</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8E31AB">
        <w:rPr>
          <w:rFonts w:ascii="Times New Roman" w:hAnsi="Times New Roman" w:cs="Times New Roman"/>
        </w:rPr>
        <w:t>[RESPOND TO THESE QUOTES.]</w:t>
      </w:r>
      <w:r w:rsidRPr="008E31AB">
        <w:rPr>
          <w:rFonts w:ascii="Times New Roman" w:hAnsi="Times New Roman" w:cs="Times New Roman"/>
        </w:rPr>
        <w:t xml:space="preserve"> I understand reparative reading to mean </w:t>
      </w:r>
      <w:r w:rsidRPr="008E31AB">
        <w:rPr>
          <w:rFonts w:ascii="Times New Roman" w:hAnsi="Times New Roman" w:cs="Times New Roman"/>
        </w:rPr>
        <w:t>[DEFINITION OF REPARATIVE READING]</w:t>
      </w:r>
      <w:r w:rsidRPr="008E31AB">
        <w:rPr>
          <w:rFonts w:ascii="Times New Roman" w:hAnsi="Times New Roman" w:cs="Times New Roman"/>
        </w:rPr>
        <w:t>. Others have worked to carry out scholarship in this mode, including</w:t>
      </w:r>
      <w:r w:rsidRPr="008E31AB">
        <w:rPr>
          <w:rFonts w:ascii="Times New Roman" w:hAnsi="Times New Roman" w:cs="Times New Roman"/>
        </w:rPr>
        <w:t xml:space="preserve"> [OTH</w:t>
      </w:r>
      <w:r w:rsidRPr="008E31AB">
        <w:rPr>
          <w:rFonts w:ascii="Times New Roman" w:hAnsi="Times New Roman" w:cs="Times New Roman"/>
        </w:rPr>
        <w:t>ER REPARATIVE READERS]</w:t>
      </w:r>
      <w:r w:rsidRPr="008E31AB">
        <w:rPr>
          <w:rFonts w:ascii="Times New Roman" w:hAnsi="Times New Roman" w:cs="Times New Roman"/>
        </w:rPr>
        <w:t xml:space="preserve">. </w:t>
      </w:r>
      <w:r w:rsidRPr="008E31AB">
        <w:rPr>
          <w:rFonts w:ascii="Times New Roman" w:hAnsi="Times New Roman" w:cs="Times New Roman"/>
        </w:rPr>
        <w:t>[Felski’s neophenomenology in Everyday Aesthetics]</w:t>
      </w:r>
      <w:r w:rsidRPr="008E31AB">
        <w:rPr>
          <w:rFonts w:ascii="Times New Roman" w:hAnsi="Times New Roman" w:cs="Times New Roman"/>
        </w:rPr>
        <w:t xml:space="preserve"> Rita Felski, in her article “After Suspicion” and then further in her recent monograph </w:t>
      </w:r>
      <w:r w:rsidRPr="008E31AB">
        <w:rPr>
          <w:rFonts w:ascii="Times New Roman" w:hAnsi="Times New Roman" w:cs="Times New Roman"/>
          <w:i/>
          <w:iCs/>
        </w:rPr>
        <w:t>The Limits of Critique</w:t>
      </w:r>
      <w:r w:rsidRPr="008E31AB">
        <w:rPr>
          <w:rFonts w:ascii="Times New Roman" w:hAnsi="Times New Roman" w:cs="Times New Roman"/>
        </w:rPr>
        <w:t>, continues in Sedgwick’s line. Felski asks: “Can we be postcritical — a</w:t>
      </w:r>
      <w:r w:rsidRPr="008E31AB">
        <w:rPr>
          <w:rFonts w:ascii="Times New Roman" w:hAnsi="Times New Roman" w:cs="Times New Roman"/>
        </w:rPr>
        <w:t xml:space="preserve">s distinct from uncritical?”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&lt;citation&gt;&lt;priority&gt;27&lt;/priority&gt;&lt;uuid&gt;4818953B-CB8B-45F6-956D-BB0882A1E90D&lt;/uuid&gt;&lt;publications&gt;&lt;publication&gt;&lt;subtype&gt;1&lt;/subtype&gt;&lt;publisher&gt;University of Chicago Press&lt;/publisher&gt;&lt;title&gt;The limits of critique&lt;/title&gt;&lt;url&gt;https://books.google.com/books?hl=en&amp;amp;lr=&amp;amp;id=jtspCwAAQBAJ&amp;amp;oi=fnd&amp;amp;pg=PR5&amp;amp;dq=The+Limits+of+Critique+Rita+Felski&amp;amp;ots=YpMfKKZzsk&amp;amp;sig=VCdJPevBN2K0cW7fRGSDsoSPM-4&lt;/url&gt;&lt;publication_date&gt;99201500001200000000200000&lt;/publication_date&gt;&lt;uuid&gt;CF5D73D6-5431-4C10-A790-66CFAF755433&lt;/uuid&gt;&lt;type&gt;0&lt;/type&gt;&lt;citekey&gt;Felski:z11z1lQx&lt;/citekey&gt;&lt;authors&gt;&lt;author&gt;&lt;lastName&gt;Felski&lt;/lastName&gt;&lt;firstName&gt;Rita&lt;/firstName&gt;&lt;/author&gt;&lt;/authors&gt;&lt;/publication&gt;&lt;/publications&gt;&lt;cites&gt;&lt;cite&gt;&lt;page&gt;151&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(Felski 151)</w:t>
      </w:r>
      <w:r w:rsidR="00256E7A" w:rsidRPr="008E31AB">
        <w:rPr>
          <w:rFonts w:ascii="Times New Roman" w:hAnsi="Times New Roman" w:cs="Times New Roman"/>
        </w:rPr>
        <w:fldChar w:fldCharType="end"/>
      </w:r>
      <w:r w:rsidRPr="008E31AB">
        <w:rPr>
          <w:rFonts w:ascii="Times New Roman" w:hAnsi="Times New Roman" w:cs="Times New Roman"/>
        </w:rPr>
        <w:t xml:space="preserve">. Reparative readers are often critiqued for painting a much clearer picture of the paranoid mode than the reparative mode, leaving it unclear how one is meant to escape paranoia’s double-bind. </w:t>
      </w:r>
      <w:r w:rsidRPr="008E31AB">
        <w:rPr>
          <w:rFonts w:ascii="Times New Roman" w:hAnsi="Times New Roman" w:cs="Times New Roman"/>
        </w:rPr>
        <w:t xml:space="preserve">[WHY </w:t>
      </w:r>
      <w:r w:rsidRPr="008E31AB">
        <w:rPr>
          <w:rFonts w:ascii="Times New Roman" w:hAnsi="Times New Roman" w:cs="Times New Roman"/>
        </w:rPr>
        <w:t>I VALUE REPARATIVE READING (INDEPENDENT OF DH &amp; 1790s)]</w:t>
      </w:r>
      <w:r w:rsidRPr="008E31AB">
        <w:rPr>
          <w:rFonts w:ascii="Times New Roman" w:hAnsi="Times New Roman" w:cs="Times New Roman"/>
        </w:rPr>
        <w:t>.</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5" w:name="queer_theory"/>
      <w:r w:rsidRPr="008E31AB">
        <w:rPr>
          <w:rFonts w:ascii="Times New Roman" w:hAnsi="Times New Roman" w:cs="Times New Roman"/>
        </w:rPr>
        <w:t>Implicit</w:t>
      </w:r>
      <w:bookmarkEnd w:id="15"/>
      <w:r w:rsidRPr="008E31AB">
        <w:rPr>
          <w:rFonts w:ascii="Times New Roman" w:hAnsi="Times New Roman" w:cs="Times New Roman"/>
        </w:rPr>
        <w:t xml:space="preserve"> in my prioritization of reparative reading is an affinity for queer theory more broadly. I take it as read, for example, that history consists of major discontinuiti</w:t>
      </w:r>
      <w:r w:rsidRPr="008E31AB">
        <w:rPr>
          <w:rFonts w:ascii="Times New Roman" w:hAnsi="Times New Roman" w:cs="Times New Roman"/>
        </w:rPr>
        <w:t>es in cultural ontology and identity, as Foucault describes. I follow Judith Butler in understanding these historically-framed identities as being “performative,” actively re-created in conversation between self and others. (In my understanding of performa</w:t>
      </w:r>
      <w:r w:rsidRPr="008E31AB">
        <w:rPr>
          <w:rFonts w:ascii="Times New Roman" w:hAnsi="Times New Roman" w:cs="Times New Roman"/>
        </w:rPr>
        <w:t>tive identity creation I also borrow from J.L. Austin, who is not typically understood as a ‘queer theorist,’ but who contributes valuable vocabulary for how words do things.)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6" w:name="surface_reading"/>
      <w:r w:rsidRPr="008E31AB">
        <w:rPr>
          <w:rFonts w:ascii="Times New Roman" w:hAnsi="Times New Roman" w:cs="Times New Roman"/>
        </w:rPr>
        <w:t>My</w:t>
      </w:r>
      <w:bookmarkEnd w:id="16"/>
      <w:r w:rsidRPr="008E31AB">
        <w:rPr>
          <w:rFonts w:ascii="Times New Roman" w:hAnsi="Times New Roman" w:cs="Times New Roman"/>
        </w:rPr>
        <w:t xml:space="preserve"> search for other ways of relating to literatur</w:t>
      </w:r>
      <w:r w:rsidRPr="008E31AB">
        <w:rPr>
          <w:rFonts w:ascii="Times New Roman" w:hAnsi="Times New Roman" w:cs="Times New Roman"/>
        </w:rPr>
        <w:t xml:space="preserve">e has also led me to emerging work under the umbrella of “surface reading”. “Surface reading” positions itself as an alternative to </w:t>
      </w:r>
      <w:r w:rsidRPr="008E31AB">
        <w:rPr>
          <w:rFonts w:ascii="Times New Roman" w:hAnsi="Times New Roman" w:cs="Times New Roman"/>
        </w:rPr>
        <w:lastRenderedPageBreak/>
        <w:t xml:space="preserve">“symptomatic reading”; </w:t>
      </w:r>
      <w:r w:rsidRPr="008E31AB">
        <w:rPr>
          <w:rFonts w:ascii="Times New Roman" w:hAnsi="Times New Roman" w:cs="Times New Roman"/>
        </w:rPr>
        <w:t>[RATHER THAN X, IT Y.]</w:t>
      </w:r>
      <w:r w:rsidRPr="008E31AB">
        <w:rPr>
          <w:rFonts w:ascii="Times New Roman" w:hAnsi="Times New Roman" w:cs="Times New Roman"/>
        </w:rPr>
        <w:t xml:space="preserve"> The analogues to reparative and paranoid reading are obvious, but also, I argu</w:t>
      </w:r>
      <w:r w:rsidRPr="008E31AB">
        <w:rPr>
          <w:rFonts w:ascii="Times New Roman" w:hAnsi="Times New Roman" w:cs="Times New Roman"/>
        </w:rPr>
        <w:t>e, overly simplistic: all paranoid reading is symptomatic, but not all symptomatic reading is paranoid. Reparative reading, as described by Sedgwick and potentially modelled by Felski, is still interested in ‘deep’ meanings of texts, in which striking text</w:t>
      </w:r>
      <w:r w:rsidRPr="008E31AB">
        <w:rPr>
          <w:rFonts w:ascii="Times New Roman" w:hAnsi="Times New Roman" w:cs="Times New Roman"/>
        </w:rPr>
        <w:t xml:space="preserve">ual features can be interpreted to locate additional meanings. </w:t>
      </w:r>
      <w:r w:rsidRPr="008E31AB">
        <w:rPr>
          <w:rFonts w:ascii="Times New Roman" w:hAnsi="Times New Roman" w:cs="Times New Roman"/>
        </w:rPr>
        <w:t>[A LOT OF QUEER THEORY IS ALSO SYMPTOMATIC, EVEN WHEN IT’S NOT PARANOID (AND TBH IT’S OFTEN PARANOID).]</w:t>
      </w:r>
      <w:r w:rsidRPr="008E31AB">
        <w:rPr>
          <w:rFonts w:ascii="Times New Roman" w:hAnsi="Times New Roman" w:cs="Times New Roman"/>
        </w:rPr>
        <w:t xml:space="preserve"> In contrast, “surface reading” </w:t>
      </w:r>
      <w:r w:rsidRPr="008E31AB">
        <w:rPr>
          <w:rFonts w:ascii="Times New Roman" w:hAnsi="Times New Roman" w:cs="Times New Roman"/>
        </w:rPr>
        <w:t>[DOES SOMETHING ELSE.]</w:t>
      </w:r>
      <w:r w:rsidRPr="008E31AB">
        <w:rPr>
          <w:rFonts w:ascii="Times New Roman" w:hAnsi="Times New Roman" w:cs="Times New Roman"/>
        </w:rPr>
        <w:t xml:space="preserve"> </w:t>
      </w:r>
      <w:r w:rsidRPr="008E31AB">
        <w:rPr>
          <w:rFonts w:ascii="Times New Roman" w:hAnsi="Times New Roman" w:cs="Times New Roman"/>
        </w:rPr>
        <w:t>[GIVE EXAMPLES OF SURFACE READINGS.</w:t>
      </w:r>
      <w:r w:rsidRPr="008E31AB">
        <w:rPr>
          <w:rFonts w:ascii="Times New Roman" w:hAnsi="Times New Roman" w:cs="Times New Roman"/>
        </w:rPr>
        <w:t>]</w:t>
      </w:r>
      <w:r w:rsidRPr="008E31AB">
        <w:rPr>
          <w:rFonts w:ascii="Times New Roman" w:hAnsi="Times New Roman" w:cs="Times New Roman"/>
        </w:rPr>
        <w:t xml:space="preserve"> </w:t>
      </w:r>
      <w:r w:rsidRPr="008E31AB">
        <w:rPr>
          <w:rFonts w:ascii="Times New Roman" w:hAnsi="Times New Roman" w:cs="Times New Roman"/>
        </w:rPr>
        <w:t>[GROUP/CATEGORIZE SURFACE READINGS.]</w:t>
      </w:r>
      <w:r w:rsidRPr="008E31AB">
        <w:rPr>
          <w:rFonts w:ascii="Times New Roman" w:hAnsi="Times New Roman" w:cs="Times New Roman"/>
        </w:rPr>
        <w:t xml:space="preserve"> </w:t>
      </w:r>
      <w:r w:rsidRPr="008E31AB">
        <w:rPr>
          <w:rFonts w:ascii="Times New Roman" w:hAnsi="Times New Roman" w:cs="Times New Roman"/>
        </w:rPr>
        <w:t>[CONCLUSION]</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7" w:name="surface_reparative"/>
      <w:r w:rsidRPr="008E31AB">
        <w:rPr>
          <w:rFonts w:ascii="Times New Roman" w:hAnsi="Times New Roman" w:cs="Times New Roman"/>
        </w:rPr>
        <w:t>Surface</w:t>
      </w:r>
      <w:bookmarkEnd w:id="17"/>
      <w:r w:rsidRPr="008E31AB">
        <w:rPr>
          <w:rFonts w:ascii="Times New Roman" w:hAnsi="Times New Roman" w:cs="Times New Roman"/>
        </w:rPr>
        <w:t xml:space="preserve"> reading and reparative reading are not synonymous </w:t>
      </w:r>
      <w:hyperlink r:id="rId7" w:history="1">
        <w:r w:rsidRPr="008E31AB">
          <w:rPr>
            <w:rFonts w:ascii="Times New Roman" w:hAnsi="Times New Roman" w:cs="Times New Roman"/>
          </w:rPr>
          <w:t>modes</w:t>
        </w:r>
      </w:hyperlink>
      <w:r w:rsidRPr="008E31AB">
        <w:rPr>
          <w:rFonts w:ascii="Times New Roman" w:hAnsi="Times New Roman" w:cs="Times New Roman"/>
        </w:rPr>
        <w:t>. Felski, at the forefront of reparative reading, explicitly distances herself from surface reading: “I have no quarrel with interpretation, even though I favor description; nor am I drawn to a language of textual surfaces over depths”</w:t>
      </w:r>
      <w:r w:rsidRPr="008E31AB">
        <w:rPr>
          <w:rFonts w:ascii="Times New Roman" w:hAnsi="Times New Roman" w:cs="Times New Roman"/>
        </w:rPr>
        <w:t xml:space="preserve"> (CITE). The tensions between these two modes of reading are explored in more detail in A.C. Facundo’s </w:t>
      </w:r>
      <w:r w:rsidRPr="008E31AB">
        <w:rPr>
          <w:rFonts w:ascii="Times New Roman" w:hAnsi="Times New Roman" w:cs="Times New Roman"/>
          <w:i/>
          <w:iCs/>
        </w:rPr>
        <w:t>Oscillations of Literary Theory: The Paranoid Imperative and Queer Reparative</w:t>
      </w:r>
      <w:r w:rsidRPr="008E31AB">
        <w:rPr>
          <w:rFonts w:ascii="Times New Roman" w:hAnsi="Times New Roman" w:cs="Times New Roman"/>
        </w:rPr>
        <w:t>.</w:t>
      </w:r>
    </w:p>
    <w:p w:rsidR="00000000" w:rsidRPr="008E31AB"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2.  </w:t>
      </w:r>
      <w:r w:rsidR="001224F0">
        <w:rPr>
          <w:rFonts w:cs="Georgia"/>
          <w:b/>
          <w:bCs/>
          <w:sz w:val="26"/>
          <w:szCs w:val="26"/>
        </w:rPr>
        <w:t>Synthesis</w:t>
      </w:r>
    </w:p>
    <w:p w:rsidR="00000000" w:rsidRPr="008E31AB" w:rsidRDefault="005A05A8" w:rsidP="001224F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18" w:name="we_need_Venn"/>
      <w:r w:rsidRPr="008E31AB">
        <w:rPr>
          <w:rFonts w:ascii="Times New Roman" w:hAnsi="Times New Roman" w:cs="Times New Roman"/>
        </w:rPr>
        <w:t>Drawing</w:t>
      </w:r>
      <w:bookmarkEnd w:id="18"/>
      <w:r w:rsidRPr="008E31AB">
        <w:rPr>
          <w:rFonts w:ascii="Times New Roman" w:hAnsi="Times New Roman" w:cs="Times New Roman"/>
        </w:rPr>
        <w:t xml:space="preserve"> together three scholarly conversations with three distinct histories, it is difficult to attentively delineate the links and the tensions between each thread. Especially since many of these fields have, in fact, overlapped s</w:t>
      </w:r>
      <w:r w:rsidRPr="008E31AB">
        <w:rPr>
          <w:rFonts w:ascii="Times New Roman" w:hAnsi="Times New Roman" w:cs="Times New Roman"/>
        </w:rPr>
        <w:t>ubstantially, there is a danger of simplistically conflating distinct lines of thoughts. At the same time, over-emphasis on distinctions can overstate the separations between fields which do in fact (as the existence of this dissertation contents) share im</w:t>
      </w:r>
      <w:r w:rsidRPr="008E31AB">
        <w:rPr>
          <w:rFonts w:ascii="Times New Roman" w:hAnsi="Times New Roman" w:cs="Times New Roman"/>
        </w:rPr>
        <w:t xml:space="preserve">portant affinities. To navigate these conceptual overlaps carefully, let us make our way through each area of an imagined Venn diagram of the three. We can discuss each pair in turn — </w:t>
      </w:r>
      <w:r w:rsidRPr="008E31AB">
        <w:rPr>
          <w:rFonts w:ascii="Times New Roman" w:hAnsi="Times New Roman" w:cs="Times New Roman"/>
        </w:rPr>
        <w:lastRenderedPageBreak/>
        <w:t xml:space="preserve">DH and eighteenth century studies; eighteenth century studies and queer </w:t>
      </w:r>
      <w:r w:rsidRPr="008E31AB">
        <w:rPr>
          <w:rFonts w:ascii="Times New Roman" w:hAnsi="Times New Roman" w:cs="Times New Roman"/>
        </w:rPr>
        <w:t>theory; queer theory and DH — to make our way toward the centre where all three overlap.</w:t>
      </w:r>
    </w:p>
    <w:p w:rsidR="000000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2.1.  </w:t>
      </w:r>
      <w:bookmarkStart w:id="19" w:name="DH_1790s"/>
      <w:r w:rsidR="00F912DF">
        <w:rPr>
          <w:rFonts w:cs="Georgia"/>
          <w:b/>
          <w:bCs/>
          <w:i/>
          <w:iCs/>
          <w:sz w:val="26"/>
          <w:szCs w:val="26"/>
        </w:rPr>
        <w:t>The Digital Humanities</w:t>
      </w:r>
      <w:r w:rsidRPr="001224F0">
        <w:rPr>
          <w:rFonts w:cs="Georgia"/>
          <w:b/>
          <w:bCs/>
          <w:i/>
          <w:iCs/>
          <w:sz w:val="26"/>
          <w:szCs w:val="26"/>
        </w:rPr>
        <w:t xml:space="preserve"> &amp; </w:t>
      </w:r>
      <w:r w:rsidR="001224F0" w:rsidRPr="001224F0">
        <w:rPr>
          <w:rFonts w:cs="Georgia"/>
          <w:b/>
          <w:bCs/>
          <w:i/>
          <w:iCs/>
          <w:sz w:val="26"/>
          <w:szCs w:val="26"/>
        </w:rPr>
        <w:t xml:space="preserve">the </w:t>
      </w:r>
      <w:r w:rsidRPr="001224F0">
        <w:rPr>
          <w:rFonts w:cs="Georgia"/>
          <w:b/>
          <w:bCs/>
          <w:i/>
          <w:iCs/>
          <w:sz w:val="26"/>
          <w:szCs w:val="26"/>
        </w:rPr>
        <w:t>1790s</w:t>
      </w:r>
      <w:bookmarkEnd w:id="19"/>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0" w:name="scholarly_archives"/>
      <w:r w:rsidRPr="008E31AB">
        <w:rPr>
          <w:rFonts w:ascii="Times New Roman" w:hAnsi="Times New Roman" w:cs="Times New Roman"/>
        </w:rPr>
        <w:t>Eighteenth</w:t>
      </w:r>
      <w:bookmarkEnd w:id="20"/>
      <w:r w:rsidRPr="008E31AB">
        <w:rPr>
          <w:rFonts w:ascii="Times New Roman" w:hAnsi="Times New Roman" w:cs="Times New Roman"/>
        </w:rPr>
        <w:t xml:space="preserve"> century materials of various kinds have been collected in many digital archives, of very different scope. These are discussed in more detail in Chapter 2. On the tip of anyone’s tongue, of course, is Gale’s Eighteenth Century Collections Online (ECCO), co</w:t>
      </w:r>
      <w:r w:rsidRPr="008E31AB">
        <w:rPr>
          <w:rFonts w:ascii="Times New Roman" w:hAnsi="Times New Roman" w:cs="Times New Roman"/>
        </w:rPr>
        <w:t>ntaining over 180,000 titles 1701-1800, of which 42,000 were printed in England between 1789 and 1799. ECCO is itself (mostly) a subset of the broader English Short Title Catalogue (ESTC), which contains more 460,000 texts 1473-1800, of which 51,965 were p</w:t>
      </w:r>
      <w:r w:rsidRPr="008E31AB">
        <w:rPr>
          <w:rFonts w:ascii="Times New Roman" w:hAnsi="Times New Roman" w:cs="Times New Roman"/>
        </w:rPr>
        <w:t>rinted in England between 1789 and 1799 (indicating that nearly 10,000 in the decade titles appear in the ESTC but not ECCO). The ESTC does not provide access to texts themselves: instead, it is an authoritative bibliographic catalogue, available as a sear</w:t>
      </w:r>
      <w:r w:rsidRPr="008E31AB">
        <w:rPr>
          <w:rFonts w:ascii="Times New Roman" w:hAnsi="Times New Roman" w:cs="Times New Roman"/>
        </w:rPr>
        <w:t>chable database. It is ECCO which provides texts themselves: ECCO’s 180,000 titles works are available as photographed facsimiles of the full text of each title. The facsimiles can be searched within ECCO’s online interface; these searches examine a plaint</w:t>
      </w:r>
      <w:r w:rsidRPr="008E31AB">
        <w:rPr>
          <w:rFonts w:ascii="Times New Roman" w:hAnsi="Times New Roman" w:cs="Times New Roman"/>
        </w:rPr>
        <w:t>ext version of the facsimile pages that was generated by Optical Character Recognition (OCR), but this OCR text is not made directly available. As a result, the facsimiles may be read individually by scholars, but cannot form the basis for computational co</w:t>
      </w:r>
      <w:r w:rsidRPr="008E31AB">
        <w:rPr>
          <w:rFonts w:ascii="Times New Roman" w:hAnsi="Times New Roman" w:cs="Times New Roman"/>
        </w:rPr>
        <w:t>rpus analysis. A subset of ECCO’s texts have been hand-prepared, as part of the Text Creation Partnership (TCP), to be easier to use in computational research. The resulting corpus of ECCO-TCP texts contains 2,231 titles, of which 466 were printed in Engla</w:t>
      </w:r>
      <w:r w:rsidRPr="008E31AB">
        <w:rPr>
          <w:rFonts w:ascii="Times New Roman" w:hAnsi="Times New Roman" w:cs="Times New Roman"/>
        </w:rPr>
        <w:t xml:space="preserve">nd between 1789 and 1799. These titles are available as carefully-edited texts encoded according to the Text Encoding Initiative (TEI) standard, which not only provides an accurate version of the text’s words, but encodes substantial details regarding its </w:t>
      </w:r>
      <w:r w:rsidRPr="008E31AB">
        <w:rPr>
          <w:rFonts w:ascii="Times New Roman" w:hAnsi="Times New Roman" w:cs="Times New Roman"/>
        </w:rPr>
        <w:t xml:space="preserve">context on the page. Most large-scale distant reading of </w:t>
      </w:r>
      <w:r w:rsidRPr="008E31AB">
        <w:rPr>
          <w:rFonts w:ascii="Times New Roman" w:hAnsi="Times New Roman" w:cs="Times New Roman"/>
        </w:rPr>
        <w:lastRenderedPageBreak/>
        <w:t>eighteenth century literature relies in the ECCO-TCP corpus as its ‘model’ or ‘sample’ to represent the period. Accordingly, one of the tasks of this dissertation is to precisely examine the makeup o</w:t>
      </w:r>
      <w:r w:rsidRPr="008E31AB">
        <w:rPr>
          <w:rFonts w:ascii="Times New Roman" w:hAnsi="Times New Roman" w:cs="Times New Roman"/>
        </w:rPr>
        <w:t>f thus corpus, and how it differs both from other corpora and from print culture in the period itself. These three digital collections — ECCO, ESTC, and ECCO-TCP — are the primary digital resources for the period, which form the basis of most digital resea</w:t>
      </w:r>
      <w:r w:rsidRPr="008E31AB">
        <w:rPr>
          <w:rFonts w:ascii="Times New Roman" w:hAnsi="Times New Roman" w:cs="Times New Roman"/>
        </w:rPr>
        <w:t>rch. However, they represent only one approach toward the collection and presentation of digital texts, to which there are two broad kinds of alternatives. These large but meticulous collections occupy a middle space between, on the one hand, highly select</w:t>
      </w:r>
      <w:r w:rsidRPr="008E31AB">
        <w:rPr>
          <w:rFonts w:ascii="Times New Roman" w:hAnsi="Times New Roman" w:cs="Times New Roman"/>
        </w:rPr>
        <w:t>ive thematic collections, of which there are many, and the giants of indiscriminate textual accumulation, of which there are few.</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Smaller collections allow for more scholarly curation, but have corresponding limitations. Whereas the ‘main players’ can be </w:t>
      </w:r>
      <w:r w:rsidRPr="008E31AB">
        <w:rPr>
          <w:rFonts w:ascii="Times New Roman" w:hAnsi="Times New Roman" w:cs="Times New Roman"/>
        </w:rPr>
        <w:t xml:space="preserve">easily enumerated for the mega-archives, these specialized collections are numerous. Some will focus on particular kinds of texts, such as the Early Novels Database (2,041 novels 1700-1799) or Broadside Ballads Online (more than 30,000 broadside ballads). </w:t>
      </w:r>
      <w:r w:rsidRPr="008E31AB">
        <w:rPr>
          <w:rFonts w:ascii="Times New Roman" w:hAnsi="Times New Roman" w:cs="Times New Roman"/>
        </w:rPr>
        <w:t>Others exhaustively index particular publications, such as The Hampshire Chronicle, the Index to the Lady’s Magazine (1770 to 1818), or the Novels Reviewed Database (1,836 reviews from The Critical Review and The Monthly Review, 1790-1820). Feminist schola</w:t>
      </w:r>
      <w:r w:rsidRPr="008E31AB">
        <w:rPr>
          <w:rFonts w:ascii="Times New Roman" w:hAnsi="Times New Roman" w:cs="Times New Roman"/>
        </w:rPr>
        <w:t>rship in particular has seen the creation of resources like the Orlando Project, the Chawton House library Novels Online, Northeastern University’s Women Writers Online and UC Davis’s British Women Romantic Poets. The virtue of these collections is that th</w:t>
      </w:r>
      <w:r w:rsidRPr="008E31AB">
        <w:rPr>
          <w:rFonts w:ascii="Times New Roman" w:hAnsi="Times New Roman" w:cs="Times New Roman"/>
        </w:rPr>
        <w:t xml:space="preserve">ey achieve even greater accuracy and comprehensiveness within their defined scope. The Shelley-Godwin Archive, for example, can reasonably aspire to digitize </w:t>
      </w:r>
      <w:r w:rsidRPr="008E31AB">
        <w:rPr>
          <w:rFonts w:ascii="Times New Roman" w:hAnsi="Times New Roman" w:cs="Times New Roman"/>
          <w:i/>
          <w:iCs/>
        </w:rPr>
        <w:t>every</w:t>
      </w:r>
      <w:r w:rsidRPr="008E31AB">
        <w:rPr>
          <w:rFonts w:ascii="Times New Roman" w:hAnsi="Times New Roman" w:cs="Times New Roman"/>
        </w:rPr>
        <w:t xml:space="preserve"> known manuscript of Percy Bysshe Shelley, Mary Wollstonecraft Shelley, William Godwin, and M</w:t>
      </w:r>
      <w:r w:rsidRPr="008E31AB">
        <w:rPr>
          <w:rFonts w:ascii="Times New Roman" w:hAnsi="Times New Roman" w:cs="Times New Roman"/>
        </w:rPr>
        <w:t xml:space="preserve">ary Wollstonecraft, and to provide these manuscripts in hand-encoded plaintext transcripts. However, as is inevitable, these specialized </w:t>
      </w:r>
      <w:r w:rsidRPr="008E31AB">
        <w:rPr>
          <w:rFonts w:ascii="Times New Roman" w:hAnsi="Times New Roman" w:cs="Times New Roman"/>
        </w:rPr>
        <w:lastRenderedPageBreak/>
        <w:t>archives have the vices of their virtues: their specialized focus allows them to adapt precisely to their materials, an</w:t>
      </w:r>
      <w:r w:rsidRPr="008E31AB">
        <w:rPr>
          <w:rFonts w:ascii="Times New Roman" w:hAnsi="Times New Roman" w:cs="Times New Roman"/>
        </w:rPr>
        <w:t>d their idiosyncratic data structures can rarely be combined with other resources. The William Blake Archive, for example, benefits enormously from designing its archive around the unique images of each page of each copy of each of Blake’s works. But becau</w:t>
      </w:r>
      <w:r w:rsidRPr="008E31AB">
        <w:rPr>
          <w:rFonts w:ascii="Times New Roman" w:hAnsi="Times New Roman" w:cs="Times New Roman"/>
        </w:rPr>
        <w:t xml:space="preserve">se this approach is so well-suited to Blake, it cannot be applied beyond Blake. Even if the archive’s resources were available for download, they could not be directly compared to materials from another source which does not record its information at such </w:t>
      </w:r>
      <w:r w:rsidRPr="008E31AB">
        <w:rPr>
          <w:rFonts w:ascii="Times New Roman" w:hAnsi="Times New Roman" w:cs="Times New Roman"/>
        </w:rPr>
        <w:t xml:space="preserve">a minute level of detail. </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Also in the category of ‘smaller and specialized’ archives is Project Gutenberg. Project Gutenberg makes no claims to scholarly reliability but nonetheless underlies a not-significant amount of scholarly work</w:t>
      </w:r>
      <w:r w:rsidRPr="008E31AB">
        <w:rPr>
          <w:rFonts w:ascii="Times New Roman" w:hAnsi="Times New Roman" w:cs="Times New Roman"/>
          <w:vertAlign w:val="superscript"/>
        </w:rPr>
        <w:footnoteReference w:id="6"/>
      </w:r>
      <w:r w:rsidRPr="008E31AB">
        <w:rPr>
          <w:rFonts w:ascii="Times New Roman" w:hAnsi="Times New Roman" w:cs="Times New Roman"/>
        </w:rPr>
        <w:t xml:space="preserve"> — </w:t>
      </w:r>
      <w:bookmarkStart w:id="21" w:name="micro_archives"/>
      <w:r w:rsidRPr="008E31AB">
        <w:rPr>
          <w:rFonts w:ascii="Times New Roman" w:hAnsi="Times New Roman" w:cs="Times New Roman"/>
        </w:rPr>
        <w:t>its</w:t>
      </w:r>
      <w:bookmarkEnd w:id="21"/>
      <w:r w:rsidRPr="008E31AB">
        <w:rPr>
          <w:rFonts w:ascii="Times New Roman" w:hAnsi="Times New Roman" w:cs="Times New Roman"/>
        </w:rPr>
        <w:t xml:space="preserve"> cultural capital as a resource lags</w:t>
      </w:r>
      <w:r w:rsidRPr="008E31AB">
        <w:rPr>
          <w:rFonts w:ascii="Times New Roman" w:hAnsi="Times New Roman" w:cs="Times New Roman"/>
        </w:rPr>
        <w:t xml:space="preserve"> far behind its use and utility. Project Gutenberg is easily conceived of as a haphazard, ‘unscholarly’ source for materials, but unlike Google Books, Project Gutenberg actually does have selection criteria. Project Gutenberg is only interested in public d</w:t>
      </w:r>
      <w:r w:rsidRPr="008E31AB">
        <w:rPr>
          <w:rFonts w:ascii="Times New Roman" w:hAnsi="Times New Roman" w:cs="Times New Roman"/>
        </w:rPr>
        <w:t>omain works which contemporary audiences might be interested in reading for pleasure. It narrows the field substantially to exclude works which have either ceased to be broadly interesting (as in the case of most forgotten fiction), or which was never part</w:t>
      </w:r>
      <w:r w:rsidRPr="008E31AB">
        <w:rPr>
          <w:rFonts w:ascii="Times New Roman" w:hAnsi="Times New Roman" w:cs="Times New Roman"/>
        </w:rPr>
        <w:t>icularly interesting (as in the case of almanacs and tax codes). Project Gutenberg includes 57,796 texts: far more than specialized scholarly archives like the Early Novels Database or the Shelley-Godwin Archive, but nonetheless an order of magnitude fewer</w:t>
      </w:r>
      <w:r w:rsidRPr="008E31AB">
        <w:rPr>
          <w:rFonts w:ascii="Times New Roman" w:hAnsi="Times New Roman" w:cs="Times New Roman"/>
        </w:rPr>
        <w:t xml:space="preserve"> than its more-voracious potential competitors. And, like smaller specialized scholarly archives, Project Gutenberg has tailored its holdings to make it easy for readers to read, and quite difficult for its collection to be applied to any other use. By tai</w:t>
      </w:r>
      <w:r w:rsidRPr="008E31AB">
        <w:rPr>
          <w:rFonts w:ascii="Times New Roman" w:hAnsi="Times New Roman" w:cs="Times New Roman"/>
        </w:rPr>
        <w:t xml:space="preserve">loring the structure of the archive itself to its specific materials, </w:t>
      </w:r>
      <w:r w:rsidRPr="008E31AB">
        <w:rPr>
          <w:rFonts w:ascii="Times New Roman" w:hAnsi="Times New Roman" w:cs="Times New Roman"/>
        </w:rPr>
        <w:lastRenderedPageBreak/>
        <w:t>these collections are able to thoughtfully achieve their aims — but they also make it correspondingly difficult for users to achieve their own, different aims.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The best known mega-archi</w:t>
      </w:r>
      <w:r w:rsidRPr="008E31AB">
        <w:rPr>
          <w:rFonts w:ascii="Times New Roman" w:hAnsi="Times New Roman" w:cs="Times New Roman"/>
        </w:rPr>
        <w:t>ve is, of course, Google Books. In a scholarly context, one hesitates even to designate this as an “archive,” particularly in the same breath as resources like ECCO: books of all kinds are scanned indiscriminately with only the bare minimum of roughly-accu</w:t>
      </w:r>
      <w:r w:rsidRPr="008E31AB">
        <w:rPr>
          <w:rFonts w:ascii="Times New Roman" w:hAnsi="Times New Roman" w:cs="Times New Roman"/>
        </w:rPr>
        <w:t>rate metadata collected about them. Books are sourced from libraries whose collections are being scanned in bulk, or are submitted directly by publishers or authors who are attracted by Google’s call to “Promote your books on Google—for free” (CITE</w:t>
      </w:r>
      <w:r w:rsidRPr="008E31AB">
        <w:rPr>
          <w:rFonts w:ascii="Times New Roman" w:hAnsi="Times New Roman" w:cs="Times New Roman"/>
          <w:vertAlign w:val="superscript"/>
        </w:rPr>
        <w:footnoteReference w:id="7"/>
      </w:r>
      <w:r w:rsidRPr="008E31AB">
        <w:rPr>
          <w:rFonts w:ascii="Times New Roman" w:hAnsi="Times New Roman" w:cs="Times New Roman"/>
        </w:rPr>
        <w:t>).   These rapidly-scanned books are prone to unpredictable errors, including inaccurate dates, misspellings, duplicate copies, and inaccurate subject classifications (Harper 2016; Jacsó 2008; Weiss 2016) (C</w:t>
      </w:r>
      <w:r w:rsidRPr="008E31AB">
        <w:rPr>
          <w:rFonts w:ascii="Times New Roman" w:hAnsi="Times New Roman" w:cs="Times New Roman"/>
        </w:rPr>
        <w:t>ITE Mike Sutton and Mark D. Griffiths) — infamously, many books have “1899” assigned as their publication date because this date was used as a placeholder for “no date”.</w:t>
      </w:r>
      <w:r w:rsidRPr="008E31AB">
        <w:rPr>
          <w:rFonts w:ascii="Times New Roman" w:hAnsi="Times New Roman" w:cs="Times New Roman"/>
          <w:vertAlign w:val="superscript"/>
        </w:rPr>
        <w:footnoteReference w:id="8"/>
      </w:r>
      <w:r w:rsidRPr="008E31AB">
        <w:rPr>
          <w:rFonts w:ascii="Times New Roman" w:hAnsi="Times New Roman" w:cs="Times New Roman"/>
        </w:rPr>
        <w:t xml:space="preserve"> Many photographed pages still inc</w:t>
      </w:r>
      <w:r w:rsidRPr="008E31AB">
        <w:rPr>
          <w:rFonts w:ascii="Times New Roman" w:hAnsi="Times New Roman" w:cs="Times New Roman"/>
        </w:rPr>
        <w:t>lude the fingers of the employee holding open the book. Nonetheless, Google Books is frequently used to study the prevalence of various “n-grams” (words or short phrases) over time, thanks to Google’s built-in tool. The tool is able to search books which a</w:t>
      </w:r>
      <w:r w:rsidRPr="008E31AB">
        <w:rPr>
          <w:rFonts w:ascii="Times New Roman" w:hAnsi="Times New Roman" w:cs="Times New Roman"/>
        </w:rPr>
        <w:t xml:space="preserve">re, for copyright restrictions, not available directly to readers, making it highly tempting for question about contemporary language use. Similar in scope to Google Books but with more limited research tools is The Internet Archive. The Internet Archive, </w:t>
      </w:r>
      <w:r w:rsidRPr="008E31AB">
        <w:rPr>
          <w:rFonts w:ascii="Times New Roman" w:hAnsi="Times New Roman" w:cs="Times New Roman"/>
        </w:rPr>
        <w:t>unlike Google Books, is a non-profit, but like Google Books, it carries out mass scanning of books. The Internet Archive declares that it contains 20 million books and texts, and scans 1,000 books per day in 28 locations around the world (CITE).</w:t>
      </w:r>
      <w:r w:rsidRPr="008E31AB">
        <w:rPr>
          <w:rFonts w:ascii="Times New Roman" w:hAnsi="Times New Roman" w:cs="Times New Roman"/>
          <w:vertAlign w:val="superscript"/>
        </w:rPr>
        <w:footnoteReference w:id="9"/>
      </w:r>
      <w:r w:rsidRPr="008E31AB">
        <w:rPr>
          <w:rFonts w:ascii="Times New Roman" w:hAnsi="Times New Roman" w:cs="Times New Roman"/>
        </w:rPr>
        <w:t xml:space="preserve"> </w:t>
      </w:r>
      <w:bookmarkStart w:id="22" w:name="mega_archives"/>
      <w:r w:rsidRPr="008E31AB">
        <w:rPr>
          <w:rFonts w:ascii="Times New Roman" w:hAnsi="Times New Roman" w:cs="Times New Roman"/>
        </w:rPr>
        <w:t>Equivalent</w:t>
      </w:r>
      <w:bookmarkEnd w:id="22"/>
      <w:r w:rsidRPr="008E31AB">
        <w:rPr>
          <w:rFonts w:ascii="Times New Roman" w:hAnsi="Times New Roman" w:cs="Times New Roman"/>
        </w:rPr>
        <w:t xml:space="preserve"> numbers are not published for Google Books, which has received less attention from Google as it encountered more legal barriers; in 2013 </w:t>
      </w:r>
      <w:r w:rsidRPr="008E31AB">
        <w:rPr>
          <w:rFonts w:ascii="Times New Roman" w:hAnsi="Times New Roman" w:cs="Times New Roman"/>
        </w:rPr>
        <w:lastRenderedPageBreak/>
        <w:t>books were scanned at the rate of 1,000 pages per hour, and in</w:t>
      </w:r>
      <w:r w:rsidRPr="008E31AB">
        <w:rPr>
          <w:rFonts w:ascii="Times New Roman" w:hAnsi="Times New Roman" w:cs="Times New Roman"/>
        </w:rPr>
        <w:t xml:space="preserve"> 2015 more than 25 million books had been scanned. Google Books, Project Gutenberg, and the Internet Archive are not “canonical” sources of texts, but they are nonetheless part of the ecosystem of digital eighteenth century studies.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3" w:name="HathiTrust"/>
      <w:r w:rsidRPr="008E31AB">
        <w:rPr>
          <w:rFonts w:ascii="Times New Roman" w:hAnsi="Times New Roman" w:cs="Times New Roman"/>
        </w:rPr>
        <w:t>Moreover</w:t>
      </w:r>
      <w:bookmarkEnd w:id="23"/>
      <w:r w:rsidRPr="008E31AB">
        <w:rPr>
          <w:rFonts w:ascii="Times New Roman" w:hAnsi="Times New Roman" w:cs="Times New Roman"/>
        </w:rPr>
        <w:t>, as in eighteenth century texts themselves, the boundary between “canonical” and “noncanonical” digital archives is a permeable one: Google Books and the Internet Archive are also integrated into HathiTrust, an increasingly popular resource for sc</w:t>
      </w:r>
      <w:r w:rsidRPr="008E31AB">
        <w:rPr>
          <w:rFonts w:ascii="Times New Roman" w:hAnsi="Times New Roman" w:cs="Times New Roman"/>
        </w:rPr>
        <w:t xml:space="preserve">holars. </w:t>
      </w:r>
      <w:r w:rsidRPr="008E31AB">
        <w:rPr>
          <w:rFonts w:ascii="Times New Roman" w:hAnsi="Times New Roman" w:cs="Times New Roman"/>
        </w:rPr>
        <w:t>[EXPLANATION OF HATHITRUST]</w:t>
      </w:r>
      <w:r w:rsidRPr="008E31AB">
        <w:rPr>
          <w:rFonts w:ascii="Times New Roman" w:hAnsi="Times New Roman" w:cs="Times New Roman"/>
        </w:rPr>
        <w:t>. The scholarly benefit of HathiTrust is most evident in the study of contemporary literature. On a technical level, whereas OCR typically produces gibberish when faced with eighteenth century typefaces captured in photog</w:t>
      </w:r>
      <w:r w:rsidRPr="008E31AB">
        <w:rPr>
          <w:rFonts w:ascii="Times New Roman" w:hAnsi="Times New Roman" w:cs="Times New Roman"/>
        </w:rPr>
        <w:t>raphs of microfiche, OCR is extremely effective at reading contemporary typefaces and direct high-resolution digital scans of books.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4" w:name="conclusion"/>
      <w:r w:rsidRPr="008E31AB">
        <w:rPr>
          <w:rFonts w:ascii="Times New Roman" w:hAnsi="Times New Roman" w:cs="Times New Roman"/>
        </w:rPr>
        <w:t>As</w:t>
      </w:r>
      <w:bookmarkEnd w:id="24"/>
      <w:r w:rsidRPr="008E31AB">
        <w:rPr>
          <w:rFonts w:ascii="Times New Roman" w:hAnsi="Times New Roman" w:cs="Times New Roman"/>
        </w:rPr>
        <w:t xml:space="preserve"> I scrutinize the underlying assumptions that are structurally reinforced by this work, I do so not </w:t>
      </w:r>
      <w:r w:rsidRPr="008E31AB">
        <w:rPr>
          <w:rFonts w:ascii="Times New Roman" w:hAnsi="Times New Roman" w:cs="Times New Roman"/>
        </w:rPr>
        <w:t>in order to dismiss their value</w:t>
      </w:r>
      <w:r w:rsidR="00250AA7">
        <w:rPr>
          <w:rFonts w:ascii="Times New Roman" w:hAnsi="Times New Roman" w:cs="Times New Roman"/>
        </w:rPr>
        <w:t>.</w:t>
      </w:r>
      <w:r w:rsidRPr="008E31AB">
        <w:rPr>
          <w:rFonts w:ascii="Times New Roman" w:hAnsi="Times New Roman" w:cs="Times New Roman"/>
        </w:rPr>
        <w:t xml:space="preserve"> </w:t>
      </w:r>
      <w:r w:rsidR="00250AA7">
        <w:rPr>
          <w:rFonts w:ascii="Times New Roman" w:hAnsi="Times New Roman" w:cs="Times New Roman"/>
        </w:rPr>
        <w:t>[</w:t>
      </w:r>
      <w:r w:rsidRPr="008E31AB">
        <w:rPr>
          <w:rFonts w:ascii="Times New Roman" w:hAnsi="Times New Roman" w:cs="Times New Roman"/>
        </w:rPr>
        <w:t>Literary study already involves modelling / sampling</w:t>
      </w:r>
      <w:r w:rsidR="00250AA7">
        <w:rPr>
          <w:rFonts w:ascii="Times New Roman" w:hAnsi="Times New Roman" w:cs="Times New Roman"/>
        </w:rPr>
        <w:t xml:space="preserve">]. </w:t>
      </w:r>
      <w:r w:rsidRPr="008E31AB">
        <w:rPr>
          <w:rFonts w:ascii="Times New Roman" w:hAnsi="Times New Roman" w:cs="Times New Roman"/>
        </w:rPr>
        <w:t xml:space="preserve">Thus, I see DH and bibliography as able to enhance each other reciprocally. </w:t>
      </w:r>
    </w:p>
    <w:p w:rsidR="000000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2.2.  </w:t>
      </w:r>
      <w:bookmarkStart w:id="25" w:name="1790s_queer"/>
      <w:bookmarkEnd w:id="25"/>
      <w:r w:rsidR="001224F0" w:rsidRPr="001224F0">
        <w:rPr>
          <w:rFonts w:cs="Georgia"/>
          <w:b/>
          <w:bCs/>
          <w:i/>
          <w:iCs/>
          <w:sz w:val="26"/>
          <w:szCs w:val="26"/>
        </w:rPr>
        <w:t>The 1790s &amp; Q</w:t>
      </w:r>
      <w:r w:rsidRPr="001224F0">
        <w:rPr>
          <w:rFonts w:cs="Georgia"/>
          <w:b/>
          <w:bCs/>
          <w:i/>
          <w:iCs/>
          <w:sz w:val="26"/>
          <w:szCs w:val="26"/>
        </w:rPr>
        <w:t>ueer</w:t>
      </w:r>
      <w:r w:rsidR="001224F0" w:rsidRPr="001224F0">
        <w:rPr>
          <w:rFonts w:cs="Georgia"/>
          <w:b/>
          <w:bCs/>
          <w:i/>
          <w:iCs/>
          <w:sz w:val="26"/>
          <w:szCs w:val="26"/>
        </w:rPr>
        <w:t xml:space="preserve"> Theory</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6" w:name="queer_gothics"/>
      <w:r w:rsidRPr="008E31AB">
        <w:rPr>
          <w:rFonts w:ascii="Times New Roman" w:hAnsi="Times New Roman" w:cs="Times New Roman"/>
        </w:rPr>
        <w:t>Queer</w:t>
      </w:r>
      <w:bookmarkEnd w:id="26"/>
      <w:r w:rsidRPr="008E31AB">
        <w:rPr>
          <w:rFonts w:ascii="Times New Roman" w:hAnsi="Times New Roman" w:cs="Times New Roman"/>
        </w:rPr>
        <w:t xml:space="preserve"> readings of the 1790s — which is to say, of the Gothic — provide an invigorating way to value some of t</w:t>
      </w:r>
      <w:r w:rsidRPr="008E31AB">
        <w:rPr>
          <w:rFonts w:ascii="Times New Roman" w:hAnsi="Times New Roman" w:cs="Times New Roman"/>
        </w:rPr>
        <w:t xml:space="preserve">he most vibrant writing of the decade precisely for the features which rendered it less than “respectable.” </w:t>
      </w:r>
      <w:r w:rsidRPr="008E31AB">
        <w:rPr>
          <w:rFonts w:ascii="Times New Roman" w:hAnsi="Times New Roman" w:cs="Times New Roman"/>
        </w:rPr>
        <w:t>[HISTORY OF QUEER GOTHIC STUDIES - Palmer I think, leading up to Franz Potter… this history is prob multiple paras]</w:t>
      </w:r>
      <w:r w:rsidRPr="008E31AB">
        <w:rPr>
          <w:rFonts w:ascii="Times New Roman" w:hAnsi="Times New Roman" w:cs="Times New Roman"/>
        </w:rPr>
        <w:t xml:space="preserve"> </w:t>
      </w:r>
      <w:r w:rsidRPr="008E31AB">
        <w:rPr>
          <w:rFonts w:ascii="Times New Roman" w:hAnsi="Times New Roman" w:cs="Times New Roman"/>
        </w:rPr>
        <w:t>[A lot of really good Gothic wor</w:t>
      </w:r>
      <w:r w:rsidRPr="008E31AB">
        <w:rPr>
          <w:rFonts w:ascii="Times New Roman" w:hAnsi="Times New Roman" w:cs="Times New Roman"/>
        </w:rPr>
        <w:t xml:space="preserve">k is connected thematically rather than strictly chronologically, examining the “transtemporal affinities and connections” (CITE) that Felski argues are often shut out by contemporary </w:t>
      </w:r>
      <w:r w:rsidRPr="008E31AB">
        <w:rPr>
          <w:rFonts w:ascii="Times New Roman" w:hAnsi="Times New Roman" w:cs="Times New Roman"/>
        </w:rPr>
        <w:lastRenderedPageBreak/>
        <w:t>historicist critique. And indeed, this mode of study is falling out of f</w:t>
      </w:r>
      <w:r w:rsidRPr="008E31AB">
        <w:rPr>
          <w:rFonts w:ascii="Times New Roman" w:hAnsi="Times New Roman" w:cs="Times New Roman"/>
        </w:rPr>
        <w:t>avour regarding the Female Gothic.]</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w:t>
      </w:r>
      <w:bookmarkStart w:id="27" w:name="reparative_gothic"/>
      <w:r w:rsidRPr="008E31AB">
        <w:rPr>
          <w:rFonts w:ascii="Times New Roman" w:hAnsi="Times New Roman" w:cs="Times New Roman"/>
        </w:rPr>
        <w:t>A</w:t>
      </w:r>
      <w:bookmarkEnd w:id="27"/>
      <w:r w:rsidRPr="008E31AB">
        <w:rPr>
          <w:rFonts w:ascii="Times New Roman" w:hAnsi="Times New Roman" w:cs="Times New Roman"/>
        </w:rPr>
        <w:t xml:space="preserve"> lot of queer Gothic work has been paranoid]</w:t>
      </w:r>
      <w:r w:rsidRPr="008E31AB">
        <w:rPr>
          <w:rFonts w:ascii="Times New Roman" w:hAnsi="Times New Roman" w:cs="Times New Roman"/>
        </w:rPr>
        <w:t xml:space="preserve"> </w:t>
      </w:r>
      <w:r w:rsidRPr="008E31AB">
        <w:rPr>
          <w:rFonts w:ascii="Times New Roman" w:hAnsi="Times New Roman" w:cs="Times New Roman"/>
        </w:rPr>
        <w:t>[Something about Susan Sontag &amp; camp being how</w:t>
      </w:r>
      <w:r w:rsidR="00250AA7">
        <w:rPr>
          <w:rFonts w:ascii="Times New Roman" w:hAnsi="Times New Roman" w:cs="Times New Roman"/>
        </w:rPr>
        <w:t xml:space="preserve"> I reparatively read the Gothic</w:t>
      </w:r>
      <w:r w:rsidRPr="008E31AB">
        <w:rPr>
          <w:rFonts w:ascii="Times New Roman" w:hAnsi="Times New Roman" w:cs="Times New Roman"/>
        </w:rPr>
        <w:t>]</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28" w:name="Im_not_just_gothic"/>
      <w:r w:rsidRPr="008E31AB">
        <w:rPr>
          <w:rFonts w:ascii="Times New Roman" w:hAnsi="Times New Roman" w:cs="Times New Roman"/>
        </w:rPr>
        <w:t>Although</w:t>
      </w:r>
      <w:bookmarkEnd w:id="28"/>
      <w:r w:rsidRPr="008E31AB">
        <w:rPr>
          <w:rFonts w:ascii="Times New Roman" w:hAnsi="Times New Roman" w:cs="Times New Roman"/>
        </w:rPr>
        <w:t xml:space="preserve"> the queerest</w:t>
      </w:r>
      <w:r w:rsidRPr="008E31AB">
        <w:rPr>
          <w:rFonts w:ascii="Times New Roman" w:hAnsi="Times New Roman" w:cs="Times New Roman"/>
        </w:rPr>
        <w:t xml:space="preserve"> work in this period has centred on the Gothic, I intentionally do not limit my focus to the Gothic. My broader scope is, in part, based in an argument about the Gothic’s prevalence: following scholars like </w:t>
      </w:r>
      <w:r w:rsidRPr="008E31AB">
        <w:rPr>
          <w:rFonts w:ascii="Times New Roman" w:hAnsi="Times New Roman" w:cs="Times New Roman"/>
        </w:rPr>
        <w:t>[EXAMPLE]</w:t>
      </w:r>
      <w:r w:rsidRPr="008E31AB">
        <w:rPr>
          <w:rFonts w:ascii="Times New Roman" w:hAnsi="Times New Roman" w:cs="Times New Roman"/>
        </w:rPr>
        <w:t>, I see the Gothic not as a clearly-defi</w:t>
      </w:r>
      <w:r w:rsidRPr="008E31AB">
        <w:rPr>
          <w:rFonts w:ascii="Times New Roman" w:hAnsi="Times New Roman" w:cs="Times New Roman"/>
        </w:rPr>
        <w:t xml:space="preserve">ned literary genre, but rather as an affective ‘mode’ that can (and did) permeate writing far beyond the realm of supernatural fiction. Accordingly, </w:t>
      </w:r>
      <w:r w:rsidRPr="008E31AB">
        <w:rPr>
          <w:rFonts w:ascii="Times New Roman" w:hAnsi="Times New Roman" w:cs="Times New Roman"/>
        </w:rPr>
        <w:t>[although I am interested in the Gothic, I study everything.]</w:t>
      </w:r>
      <w:r w:rsidRPr="008E31AB">
        <w:rPr>
          <w:rFonts w:ascii="Times New Roman" w:hAnsi="Times New Roman" w:cs="Times New Roman"/>
        </w:rPr>
        <w:t xml:space="preserve"> </w:t>
      </w:r>
      <w:r w:rsidRPr="008E31AB">
        <w:rPr>
          <w:rFonts w:ascii="Times New Roman" w:hAnsi="Times New Roman" w:cs="Times New Roman"/>
        </w:rPr>
        <w:t>[Also I’m not just interested in the gothic.]</w:t>
      </w:r>
    </w:p>
    <w:p w:rsidR="00000000" w:rsidRPr="001224F0"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1224F0">
        <w:rPr>
          <w:rFonts w:cs="Georgia"/>
          <w:b/>
          <w:bCs/>
          <w:i/>
          <w:iCs/>
          <w:sz w:val="26"/>
          <w:szCs w:val="26"/>
        </w:rPr>
        <w:t xml:space="preserve">2.3.  </w:t>
      </w:r>
      <w:bookmarkStart w:id="29" w:name="queer_DH"/>
      <w:r w:rsidR="001224F0" w:rsidRPr="001224F0">
        <w:rPr>
          <w:rFonts w:cs="Georgia"/>
          <w:b/>
          <w:bCs/>
          <w:i/>
          <w:iCs/>
          <w:sz w:val="26"/>
          <w:szCs w:val="26"/>
        </w:rPr>
        <w:t>Queer Theory</w:t>
      </w:r>
      <w:r w:rsidRPr="001224F0">
        <w:rPr>
          <w:rFonts w:cs="Georgia"/>
          <w:b/>
          <w:bCs/>
          <w:i/>
          <w:iCs/>
          <w:sz w:val="26"/>
          <w:szCs w:val="26"/>
        </w:rPr>
        <w:t xml:space="preserve"> &amp; </w:t>
      </w:r>
      <w:r w:rsidR="001224F0">
        <w:rPr>
          <w:rFonts w:cs="Georgia"/>
          <w:b/>
          <w:bCs/>
          <w:i/>
          <w:iCs/>
          <w:sz w:val="26"/>
          <w:szCs w:val="26"/>
        </w:rPr>
        <w:t xml:space="preserve">the </w:t>
      </w:r>
      <w:r w:rsidRPr="001224F0">
        <w:rPr>
          <w:rFonts w:cs="Georgia"/>
          <w:b/>
          <w:bCs/>
          <w:i/>
          <w:iCs/>
          <w:sz w:val="26"/>
          <w:szCs w:val="26"/>
        </w:rPr>
        <w:t>D</w:t>
      </w:r>
      <w:r w:rsidR="001224F0">
        <w:rPr>
          <w:rFonts w:cs="Georgia"/>
          <w:b/>
          <w:bCs/>
          <w:i/>
          <w:iCs/>
          <w:sz w:val="26"/>
          <w:szCs w:val="26"/>
        </w:rPr>
        <w:t xml:space="preserve">igital </w:t>
      </w:r>
      <w:r w:rsidRPr="001224F0">
        <w:rPr>
          <w:rFonts w:cs="Georgia"/>
          <w:b/>
          <w:bCs/>
          <w:i/>
          <w:iCs/>
          <w:sz w:val="26"/>
          <w:szCs w:val="26"/>
        </w:rPr>
        <w:t>H</w:t>
      </w:r>
      <w:bookmarkEnd w:id="29"/>
      <w:r w:rsidR="001224F0">
        <w:rPr>
          <w:rFonts w:cs="Georgia"/>
          <w:b/>
          <w:bCs/>
          <w:i/>
          <w:iCs/>
          <w:sz w:val="26"/>
          <w:szCs w:val="26"/>
        </w:rPr>
        <w:t>umanities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My emphasis on transparent, critical, and reflective praxis in the capture and visual presentation of data</w:t>
      </w:r>
      <w:r w:rsidRPr="008E31AB">
        <w:rPr>
          <w:rFonts w:ascii="Times New Roman" w:hAnsi="Times New Roman" w:cs="Times New Roman"/>
          <w:vertAlign w:val="superscript"/>
        </w:rPr>
        <w:footnoteReference w:id="10"/>
      </w:r>
      <w:r w:rsidRPr="008E31AB">
        <w:rPr>
          <w:rFonts w:ascii="Times New Roman" w:hAnsi="Times New Roman" w:cs="Times New Roman"/>
        </w:rPr>
        <w:t xml:space="preserve"> </w:t>
      </w:r>
      <w:bookmarkStart w:id="30" w:name="critical_algorithm_studies"/>
      <w:r w:rsidRPr="008E31AB">
        <w:rPr>
          <w:rFonts w:ascii="Times New Roman" w:hAnsi="Times New Roman" w:cs="Times New Roman"/>
        </w:rPr>
        <w:t>owes</w:t>
      </w:r>
      <w:bookmarkEnd w:id="30"/>
      <w:r w:rsidRPr="008E31AB">
        <w:rPr>
          <w:rFonts w:ascii="Times New Roman" w:hAnsi="Times New Roman" w:cs="Times New Roman"/>
        </w:rPr>
        <w:t xml:space="preserve"> much to the emerging field of critical algorithm studies. Any methodology is, to a certain extent, an “algorithm,” in the loose definition of ‘a series of pre-defined steps to be carried out’. But computational algorithms </w:t>
      </w:r>
      <w:r w:rsidRPr="008E31AB">
        <w:rPr>
          <w:rFonts w:ascii="Times New Roman" w:hAnsi="Times New Roman" w:cs="Times New Roman"/>
        </w:rPr>
        <w:t>differ from “algorithms” implemented by humans. Computational algorithms have two key vulnerabilities: first, their operations are less easily scrutinized; second, their results are more easily trusted. The second vulnerability — the cultural aura of empir</w:t>
      </w:r>
      <w:r w:rsidRPr="008E31AB">
        <w:rPr>
          <w:rFonts w:ascii="Times New Roman" w:hAnsi="Times New Roman" w:cs="Times New Roman"/>
        </w:rPr>
        <w:t>ical trustworthiness which accrues to anything ‘computational’ — is another flavour of the same vulnerability that Drucker describes with ‘data’ generally. Because the human agents who designed and trained any given algorithm appear to be absent from its o</w:t>
      </w:r>
      <w:r w:rsidRPr="008E31AB">
        <w:rPr>
          <w:rFonts w:ascii="Times New Roman" w:hAnsi="Times New Roman" w:cs="Times New Roman"/>
        </w:rPr>
        <w:t xml:space="preserve">peration, the algorithm appears able to discover truth directly. This is how Daily Wire reporter Ryan Saavedra was able to tweet with disdain that “Rep. Alexandria </w:t>
      </w:r>
      <w:r w:rsidRPr="008E31AB">
        <w:rPr>
          <w:rFonts w:ascii="Times New Roman" w:hAnsi="Times New Roman" w:cs="Times New Roman"/>
        </w:rPr>
        <w:lastRenderedPageBreak/>
        <w:t xml:space="preserve">Ocasio-Cortez (D-NY) claims that algorithms, which are driven by math, are racist”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&lt;citation&gt;&lt;priority&gt;28&lt;/priority&gt;&lt;uuid&gt;5094D32D-824A-45DA-8577-565BBE1CD528&lt;/uuid&gt;&lt;publications&gt;&lt;publication&gt;&lt;subtype&gt;400&lt;/subtype&gt;&lt;title&gt;Socialist Rep. Alexandria Ocasio-Cortez (D- NY) claims that algorithms, which are driven by math, are racist&lt;/title&gt;&lt;publication_date&gt;99201902281200000000222000&lt;/publication_date&gt;&lt;uuid&gt;7CD72AB6-E20C-489D-8610-3D3CCF2EA97A&lt;/uuid&gt;&lt;type&gt;400&lt;/type&gt;&lt;citekey&gt;Saavedra:2019wr&lt;/citekey&gt;&lt;startpage&gt;1&lt;/startpage&gt;&lt;endpage&gt;1&lt;/endpage&gt;&lt;authors&gt;&lt;author&gt;&lt;lastName&gt;Saavedra&lt;/lastName&gt;&lt;firstName&gt;Ryan&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(Saavedra)</w:t>
      </w:r>
      <w:r w:rsidR="00256E7A" w:rsidRPr="008E31AB">
        <w:rPr>
          <w:rFonts w:ascii="Times New Roman" w:hAnsi="Times New Roman" w:cs="Times New Roman"/>
        </w:rPr>
        <w:fldChar w:fldCharType="end"/>
      </w:r>
      <w:r w:rsidRPr="008E31AB">
        <w:rPr>
          <w:rFonts w:ascii="Times New Roman" w:hAnsi="Times New Roman" w:cs="Times New Roman"/>
        </w:rPr>
        <w:t xml:space="preserve">: anything “driven by math,” he assumes, must be incapable of human fallibilities like racism. But as Safiya Noble shows extensively in </w:t>
      </w:r>
      <w:r w:rsidRPr="008E31AB">
        <w:rPr>
          <w:rFonts w:ascii="Times New Roman" w:hAnsi="Times New Roman" w:cs="Times New Roman"/>
          <w:i/>
          <w:iCs/>
        </w:rPr>
        <w:t>Algorithms of Oppression</w:t>
      </w:r>
      <w:r w:rsidRPr="008E31AB">
        <w:rPr>
          <w:rFonts w:ascii="Times New Roman" w:hAnsi="Times New Roman" w:cs="Times New Roman"/>
        </w:rPr>
        <w:t>, algorithms by default reproduce, and can easily exaggerate, the assumptions and b</w:t>
      </w:r>
      <w:r w:rsidRPr="008E31AB">
        <w:rPr>
          <w:rFonts w:ascii="Times New Roman" w:hAnsi="Times New Roman" w:cs="Times New Roman"/>
        </w:rPr>
        <w:t xml:space="preserve">iases of the culture in which they are made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&lt;citation&gt;&lt;priority&gt;29&lt;/priority&gt;&lt;uuid&gt;E267FD29-7192-44EC-9B10-301FCA617F74&lt;/uuid&gt;&lt;publications&gt;&lt;publication&gt;&lt;subtype&gt;0&lt;/subtype&gt;&lt;publisher&gt;NYU Press&lt;/publisher&gt;&lt;title&gt;Algorithms of Oppression&lt;/title&gt;&lt;publication_date&gt;99201801001200000000220000&lt;/publication_date&gt;&lt;uuid&gt;2CA3B8D8-7EE1-4F64-B6ED-CD4CD11331B4&lt;/uuid&gt;&lt;type&gt;0&lt;/type&gt;&lt;subtitle&gt;How Search Engines Reinforce Racism&lt;/subtitle&gt;&lt;authors&gt;&lt;author&gt;&lt;lastName&gt;Noble&lt;/lastName&gt;&lt;firstName&gt;Safiya&lt;/firstName&gt;&lt;/author&gt;&lt;/authors&gt;&lt;/publication&gt;&lt;/publications&gt;&lt;cites&gt;&lt;/cites&gt;&lt;/citation&gt;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(Noble)</w:t>
      </w:r>
      <w:r w:rsidR="00256E7A" w:rsidRPr="008E31AB">
        <w:rPr>
          <w:rFonts w:ascii="Times New Roman" w:hAnsi="Times New Roman" w:cs="Times New Roman"/>
        </w:rPr>
        <w:fldChar w:fldCharType="end"/>
      </w:r>
      <w:r w:rsidRPr="008E31AB">
        <w:rPr>
          <w:rFonts w:ascii="Times New Roman" w:hAnsi="Times New Roman" w:cs="Times New Roman"/>
        </w:rPr>
        <w:t xml:space="preserve">. In other words, in a racist world, algorithms </w:t>
      </w:r>
      <w:r w:rsidRPr="008E31AB">
        <w:rPr>
          <w:rFonts w:ascii="Times New Roman" w:hAnsi="Times New Roman" w:cs="Times New Roman"/>
          <w:i/>
          <w:iCs/>
        </w:rPr>
        <w:t>are</w:t>
      </w:r>
      <w:r w:rsidRPr="008E31AB">
        <w:rPr>
          <w:rFonts w:ascii="Times New Roman" w:hAnsi="Times New Roman" w:cs="Times New Roman"/>
        </w:rPr>
        <w:t xml:space="preserve"> racist — and sexist, and duplicative of all other systemic institutional inequities.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Wendy Chun suggests that the problem with much algorith</w:t>
      </w:r>
      <w:r w:rsidRPr="008E31AB">
        <w:rPr>
          <w:rFonts w:ascii="Times New Roman" w:hAnsi="Times New Roman" w:cs="Times New Roman"/>
        </w:rPr>
        <w:t xml:space="preserve">mic inquiry lies in its most core assumption: the insistence that the future must look like the past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&lt;citation&gt;&lt;priority&gt;30&lt;/priority&gt;&lt;uuid&gt;57BC480E-4F2C-4928-9DC3-D704D45EEF4A&lt;/uuid&gt;&lt;publications&gt;&lt;publication&gt;&lt;subtype&gt;-1000&lt;/subtype&gt;&lt;place&gt;Lüneburg&lt;/place&gt;&lt;publisher&gt;meon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w:t>
      </w:r>
      <w:r w:rsidR="00256E7A" w:rsidRPr="008E31AB">
        <w:rPr>
          <w:rFonts w:ascii="Times New Roman" w:hAnsi="Times New Roman" w:cs="Times New Roman"/>
        </w:rPr>
        <w:fldChar w:fldCharType="end"/>
      </w:r>
      <w:r w:rsidRPr="008E31AB">
        <w:rPr>
          <w:rFonts w:ascii="Times New Roman" w:hAnsi="Times New Roman" w:cs="Times New Roman"/>
        </w:rPr>
        <w:t>. This assumption is essential to any system which exclusively bases its predictions on past data. It is particularly intertwined with wh</w:t>
      </w:r>
      <w:r w:rsidRPr="008E31AB">
        <w:rPr>
          <w:rFonts w:ascii="Times New Roman" w:hAnsi="Times New Roman" w:cs="Times New Roman"/>
        </w:rPr>
        <w:t xml:space="preserve">at Chun calls “homophily,” “the axiom that similarity breeds connection—which grounds contemporary network science”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&lt;citation&gt;&lt;priority&gt;31&lt;/priority&gt;&lt;uuid&gt;5DA155C6-116B-4384-98DD-142B5770A600&lt;/uuid&gt;&lt;publications&gt;&lt;publication&gt;&lt;subtype&gt;-1000&lt;/subtype&gt;&lt;place&gt;Lüneburg&lt;/place&gt;&lt;publisher&gt;meon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Kyong&lt;/middleNames&gt;&lt;/author&gt;&lt;/authors&gt;&lt;/publication&gt;&lt;/publications&gt;&lt;cites&gt;&lt;cite&gt;&lt;page&gt;60&lt;/page&gt;&lt;/cite&gt;&lt;/cites&gt;&lt;/citation&gt;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60)</w:t>
      </w:r>
      <w:r w:rsidR="00256E7A" w:rsidRPr="008E31AB">
        <w:rPr>
          <w:rFonts w:ascii="Times New Roman" w:hAnsi="Times New Roman" w:cs="Times New Roman"/>
        </w:rPr>
        <w:fldChar w:fldCharType="end"/>
      </w:r>
      <w:r w:rsidRPr="008E31AB">
        <w:rPr>
          <w:rFonts w:ascii="Times New Roman" w:hAnsi="Times New Roman" w:cs="Times New Roman"/>
        </w:rPr>
        <w:t xml:space="preserve">. Homophily, as it is currently applied to network science, Chun argues, both “assumes and creates segregation”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&lt;citation&gt;&lt;priority&gt;32&lt;/priority&gt;&lt;uuid&gt;C9BBB1B4-64F7-4253-9ECC-0F63F5FE58B9&lt;/uuid&gt;&lt;publications&gt;&lt;publication&gt;&lt;subtype&gt;-1000&lt;/subtype&gt;&lt;place&gt;Lüneburg&lt;/place&gt;&lt;publisher&gt;meon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Kyong&lt;/middleNames&gt;&lt;/author&gt;&lt;/authors&gt;&lt;/publication&gt;&lt;/publications&gt;&lt;cites&gt;&lt;cite&gt;&lt;page&gt;76&lt;/page&gt;&lt;/cite&gt;&lt;/cites&gt;&lt;/citation&gt;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76)</w:t>
      </w:r>
      <w:r w:rsidR="00256E7A" w:rsidRPr="008E31AB">
        <w:rPr>
          <w:rFonts w:ascii="Times New Roman" w:hAnsi="Times New Roman" w:cs="Times New Roman"/>
        </w:rPr>
        <w:fldChar w:fldCharType="end"/>
      </w:r>
      <w:r w:rsidRPr="008E31AB">
        <w:rPr>
          <w:rFonts w:ascii="Times New Roman" w:hAnsi="Times New Roman" w:cs="Times New Roman"/>
        </w:rPr>
        <w:t xml:space="preserve"> in a fashion that allows it to operate “like money laundering for bias”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&lt;citation&gt;&lt;priority&gt;33&lt;/priority&gt;&lt;uuid&gt;7C0BF868-B3C3-4872-8147-A2694CA60F87&lt;/uuid&gt;&lt;publications&gt;&lt;publication&gt;&lt;subtype&gt;-1000&lt;/subtype&gt;&lt;place&gt;Lüneburg&lt;/place&gt;&lt;publisher&gt;meon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Kyong&lt;/middleNames&gt;&lt;/author&gt;&lt;/authors&gt;&lt;/publication&gt;&lt;/publications&gt;&lt;cites&gt;&lt;cite&gt;&lt;page&gt;62-63&lt;/page&gt;&lt;/cite&gt;&lt;/cites&gt;&lt;/citation&gt;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62-63)</w:t>
      </w:r>
      <w:r w:rsidR="00256E7A" w:rsidRPr="008E31AB">
        <w:rPr>
          <w:rFonts w:ascii="Times New Roman" w:hAnsi="Times New Roman" w:cs="Times New Roman"/>
        </w:rPr>
        <w:fldChar w:fldCharType="end"/>
      </w:r>
      <w:r w:rsidRPr="008E31AB">
        <w:rPr>
          <w:rFonts w:ascii="Times New Roman" w:hAnsi="Times New Roman" w:cs="Times New Roman"/>
        </w:rPr>
        <w:t xml:space="preserve">. Importantly, however, the analogy to money laundering is imperfect: it cannot be resolved with “better, cleaner data”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&lt;citation&gt;&lt;priority&gt;34&lt;/priority&gt;&lt;uuid&gt;6C6CFAD8-C751-494B-A565-7C4DD3E079F5&lt;/uuid&gt;&lt;publications&gt;&lt;publication&gt;&lt;subtype&gt;-1000&lt;/subtype&gt;&lt;place&gt;Lüneburg&lt;/place&gt;&lt;publisher&gt;meon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Kyong&lt;/middleNames&gt;&lt;/author&gt;&lt;/authors&gt;&lt;/publication&gt;&lt;/publications&gt;&lt;cites&gt;&lt;cite&gt;&lt;page&gt;64&lt;/page&gt;&lt;/cite&gt;&lt;/cites&gt;&lt;/citation&gt;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64)</w:t>
      </w:r>
      <w:r w:rsidR="00256E7A" w:rsidRPr="008E31AB">
        <w:rPr>
          <w:rFonts w:ascii="Times New Roman" w:hAnsi="Times New Roman" w:cs="Times New Roman"/>
        </w:rPr>
        <w:fldChar w:fldCharType="end"/>
      </w:r>
      <w:r w:rsidRPr="008E31AB">
        <w:rPr>
          <w:rFonts w:ascii="Times New Roman" w:hAnsi="Times New Roman" w:cs="Times New Roman"/>
        </w:rPr>
        <w:t xml:space="preserve">. Instead, Chun insists, “new theories of connection—which do not presume a dangerously banal and reciprocal notion of friendship—are needed”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&lt;citation&gt;&lt;priority&gt;35&lt;/priority&gt;&lt;uuid&gt;47C51EEA-67FB-4B73-A2B1-91FE1B508487&lt;/uuid&gt;&lt;publications&gt;&lt;publication&gt;&lt;subtype&gt;-1000&lt;/subtype&gt;&lt;place&gt;Lüneburg&lt;/place&gt;&lt;publisher&gt;meon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Kyong&lt;/middleNames&gt;&lt;/author&gt;&lt;/authors&gt;&lt;/publication&gt;&lt;/publications&gt;&lt;cites&gt;&lt;cite&gt;&lt;page&gt;89&lt;/page&gt;&lt;/cite&gt;&lt;/cites&gt;&lt;/citation&gt;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 89)</w:t>
      </w:r>
      <w:r w:rsidR="00256E7A" w:rsidRPr="008E31AB">
        <w:rPr>
          <w:rFonts w:ascii="Times New Roman" w:hAnsi="Times New Roman" w:cs="Times New Roman"/>
        </w:rPr>
        <w:fldChar w:fldCharType="end"/>
      </w:r>
      <w:r w:rsidRPr="008E31AB">
        <w:rPr>
          <w:rFonts w:ascii="Times New Roman" w:hAnsi="Times New Roman" w:cs="Times New Roman"/>
        </w:rPr>
        <w:t>, a call to action which places its emphasis not on the information provided to an alg</w:t>
      </w:r>
      <w:r w:rsidRPr="008E31AB">
        <w:rPr>
          <w:rFonts w:ascii="Times New Roman" w:hAnsi="Times New Roman" w:cs="Times New Roman"/>
        </w:rPr>
        <w:t>orithm but on the algorithm’s procedures.</w:t>
      </w:r>
    </w:p>
    <w:p w:rsidR="000000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1" w:name="procedural_argument"/>
      <w:r w:rsidRPr="008E31AB">
        <w:rPr>
          <w:rFonts w:ascii="Times New Roman" w:hAnsi="Times New Roman" w:cs="Times New Roman"/>
        </w:rPr>
        <w:t>An</w:t>
      </w:r>
      <w:bookmarkEnd w:id="31"/>
      <w:r w:rsidRPr="008E31AB">
        <w:rPr>
          <w:rFonts w:ascii="Times New Roman" w:hAnsi="Times New Roman" w:cs="Times New Roman"/>
        </w:rPr>
        <w:t xml:space="preserve"> additional and perhaps-unexpected resource, for scrutinizing algorithms critically, comes from the work of those who study games, especially video games. </w:t>
      </w:r>
      <w:r w:rsidRPr="008E31AB">
        <w:rPr>
          <w:rFonts w:ascii="Times New Roman" w:hAnsi="Times New Roman" w:cs="Times New Roman"/>
        </w:rPr>
        <w:t>[Ian Bogost argues</w:t>
      </w:r>
      <w:r w:rsidRPr="008E31AB">
        <w:rPr>
          <w:rFonts w:ascii="Times New Roman" w:hAnsi="Times New Roman" w:cs="Times New Roman"/>
        </w:rPr>
        <w:t xml:space="preserve"> that procedures contain </w:t>
      </w:r>
      <w:r w:rsidRPr="008E31AB">
        <w:rPr>
          <w:rFonts w:ascii="Times New Roman" w:hAnsi="Times New Roman" w:cs="Times New Roman"/>
          <w:i/>
          <w:iCs/>
        </w:rPr>
        <w:t>arguments</w:t>
      </w:r>
      <w:r w:rsidRPr="008E31AB">
        <w:rPr>
          <w:rFonts w:ascii="Times New Roman" w:hAnsi="Times New Roman" w:cs="Times New Roman"/>
        </w:rPr>
        <w:t>.]</w:t>
      </w:r>
      <w:r w:rsidRPr="008E31AB">
        <w:rPr>
          <w:rFonts w:ascii="Times New Roman" w:hAnsi="Times New Roman" w:cs="Times New Roman"/>
        </w:rPr>
        <w:t xml:space="preserve"> This framework allows us to see that all research methodologies, including non-digital ones, contain implicit arguments about the nature of what is studied. </w:t>
      </w:r>
      <w:r w:rsidRPr="008E31AB">
        <w:rPr>
          <w:rFonts w:ascii="Times New Roman" w:hAnsi="Times New Roman" w:cs="Times New Roman"/>
        </w:rPr>
        <w:t>[EXAMPLE PROCEDURE FROM MY MATERIALS - something non-computati</w:t>
      </w:r>
      <w:r w:rsidRPr="008E31AB">
        <w:rPr>
          <w:rFonts w:ascii="Times New Roman" w:hAnsi="Times New Roman" w:cs="Times New Roman"/>
        </w:rPr>
        <w:t>onal?]</w:t>
      </w:r>
      <w:r w:rsidRPr="008E31AB">
        <w:rPr>
          <w:rFonts w:ascii="Times New Roman" w:hAnsi="Times New Roman" w:cs="Times New Roman"/>
        </w:rPr>
        <w:t xml:space="preserve"> </w:t>
      </w:r>
    </w:p>
    <w:p w:rsidR="000000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2" w:name="reparative_DH"/>
      <w:r w:rsidRPr="008E31AB">
        <w:rPr>
          <w:rFonts w:ascii="Times New Roman" w:hAnsi="Times New Roman" w:cs="Times New Roman"/>
        </w:rPr>
        <w:t>As</w:t>
      </w:r>
      <w:bookmarkEnd w:id="32"/>
      <w:r w:rsidRPr="008E31AB">
        <w:rPr>
          <w:rFonts w:ascii="Times New Roman" w:hAnsi="Times New Roman" w:cs="Times New Roman"/>
        </w:rPr>
        <w:t xml:space="preserve"> I encounter the limitations of the various information and tools with through which I attempt to understand the 1790s, my goal is to do something other than facilely observe that they are limited. Critique, in many ven</w:t>
      </w:r>
      <w:r w:rsidRPr="008E31AB">
        <w:rPr>
          <w:rFonts w:ascii="Times New Roman" w:hAnsi="Times New Roman" w:cs="Times New Roman"/>
        </w:rPr>
        <w:t xml:space="preserve">ues, still has valuable new information to contribute regarding the contemporary digital landscape. Drucker, Noble, and Chun’s warnings about the subjective nature of data and algorithms, for example, all </w:t>
      </w:r>
      <w:r w:rsidRPr="008E31AB">
        <w:rPr>
          <w:rFonts w:ascii="Times New Roman" w:hAnsi="Times New Roman" w:cs="Times New Roman"/>
        </w:rPr>
        <w:t>[HAVE REAL AUDIENCES]</w:t>
      </w:r>
      <w:r w:rsidRPr="008E31AB">
        <w:rPr>
          <w:rFonts w:ascii="Times New Roman" w:hAnsi="Times New Roman" w:cs="Times New Roman"/>
        </w:rPr>
        <w:t>. In part because their critiq</w:t>
      </w:r>
      <w:r w:rsidRPr="008E31AB">
        <w:rPr>
          <w:rFonts w:ascii="Times New Roman" w:hAnsi="Times New Roman" w:cs="Times New Roman"/>
        </w:rPr>
        <w:t>ues have been presented so effectively, however, I do not give critique a central role here. Most of the digital artefacts that I examine have been created, not by ever-hungering capitalist corporations, but by my fellow scholars. In the spirit of laying d</w:t>
      </w:r>
      <w:r w:rsidRPr="008E31AB">
        <w:rPr>
          <w:rFonts w:ascii="Times New Roman" w:hAnsi="Times New Roman" w:cs="Times New Roman"/>
        </w:rPr>
        <w:t xml:space="preserve">own the next few stones in the building of a cathedral begun long before me, </w:t>
      </w:r>
      <w:r w:rsidRPr="008E31AB">
        <w:rPr>
          <w:rFonts w:ascii="Times New Roman" w:hAnsi="Times New Roman" w:cs="Times New Roman"/>
        </w:rPr>
        <w:t>[I WANT TO BUILD]</w:t>
      </w:r>
      <w:r w:rsidRPr="008E31AB">
        <w:rPr>
          <w:rFonts w:ascii="Times New Roman" w:hAnsi="Times New Roman" w:cs="Times New Roman"/>
        </w:rPr>
        <w:t xml:space="preserve">. In a digital humanities context, a focus on building connections can be mundanely practical: typing indexes from print works into spreadsheets, </w:t>
      </w:r>
      <w:r w:rsidRPr="008E31AB">
        <w:rPr>
          <w:rFonts w:ascii="Times New Roman" w:hAnsi="Times New Roman" w:cs="Times New Roman"/>
        </w:rPr>
        <w:t>[DATA CLEANING]</w:t>
      </w:r>
      <w:r w:rsidRPr="008E31AB">
        <w:rPr>
          <w:rFonts w:ascii="Times New Roman" w:hAnsi="Times New Roman" w:cs="Times New Roman"/>
        </w:rPr>
        <w:t>,</w:t>
      </w:r>
      <w:r w:rsidRPr="008E31AB">
        <w:rPr>
          <w:rFonts w:ascii="Times New Roman" w:hAnsi="Times New Roman" w:cs="Times New Roman"/>
        </w:rPr>
        <w:t xml:space="preserve"> writing programs to process metadata: all of these maintain the functional usability of existing resources in new contexts. </w:t>
      </w:r>
      <w:r w:rsidRPr="008E31AB">
        <w:rPr>
          <w:rFonts w:ascii="Times New Roman" w:hAnsi="Times New Roman" w:cs="Times New Roman"/>
        </w:rPr>
        <w:t>[But not just maintaining them, repairing them.]</w:t>
      </w:r>
      <w:r w:rsidRPr="008E31AB">
        <w:rPr>
          <w:rFonts w:ascii="Times New Roman" w:hAnsi="Times New Roman" w:cs="Times New Roman"/>
        </w:rPr>
        <w:t xml:space="preserve"> </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By marrying “surface reading” and “distant reading” I may seem to leave “reparative reading” behind: after all, Felski’s call for postcritical analysis explicitly insists</w:t>
      </w:r>
      <w:r w:rsidRPr="008E31AB">
        <w:rPr>
          <w:rFonts w:ascii="Times New Roman" w:hAnsi="Times New Roman" w:cs="Times New Roman"/>
        </w:rPr>
        <w:t>, “Sometimes serious thinking calls for a judicious decrease rather than and increase of distance” (CITE). Felski then defines a decrease of distance as “a willingness to acknowledge and more fully engage our attachments”: it is in this readiness to acknow</w:t>
      </w:r>
      <w:r w:rsidRPr="008E31AB">
        <w:rPr>
          <w:rFonts w:ascii="Times New Roman" w:hAnsi="Times New Roman" w:cs="Times New Roman"/>
        </w:rPr>
        <w:t xml:space="preserve">ledge and embrace the </w:t>
      </w:r>
      <w:r w:rsidRPr="008E31AB">
        <w:rPr>
          <w:rFonts w:ascii="Times New Roman" w:hAnsi="Times New Roman" w:cs="Times New Roman"/>
        </w:rPr>
        <w:t>[DETAILS OF SOMETHING-SOMETHING]</w:t>
      </w:r>
    </w:p>
    <w:p w:rsidR="000000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w:t>
      </w:r>
      <w:bookmarkStart w:id="33" w:name="queer_DH-1"/>
      <w:bookmarkEnd w:id="33"/>
      <w:r w:rsidRPr="008E31AB">
        <w:rPr>
          <w:rFonts w:ascii="Times New Roman" w:hAnsi="Times New Roman" w:cs="Times New Roman"/>
        </w:rPr>
        <w:t>Queer</w:t>
      </w:r>
      <w:r w:rsidRPr="008E31AB">
        <w:rPr>
          <w:rFonts w:ascii="Times New Roman" w:hAnsi="Times New Roman" w:cs="Times New Roman"/>
        </w:rPr>
        <w:t xml:space="preserve"> DH” is now a vibrant field in its own right.]</w:t>
      </w:r>
      <w:r w:rsidRPr="008E31AB">
        <w:rPr>
          <w:rFonts w:ascii="Times New Roman" w:hAnsi="Times New Roman" w:cs="Times New Roman"/>
        </w:rPr>
        <w:t xml:space="preserve"> </w:t>
      </w:r>
      <w:r w:rsidRPr="008E31AB">
        <w:rPr>
          <w:rFonts w:ascii="Times New Roman" w:hAnsi="Times New Roman" w:cs="Times New Roman"/>
        </w:rPr>
        <w:t>[WRITE UP HISTORY / BROAD CATEGORIES OF QUEER DH RESEARCH]</w:t>
      </w:r>
      <w:r w:rsidRPr="008E31AB">
        <w:rPr>
          <w:rFonts w:ascii="Times New Roman" w:hAnsi="Times New Roman" w:cs="Times New Roman"/>
        </w:rPr>
        <w:t xml:space="preserve"> I draw on this work in my pursuit of less “extractive”</w:t>
      </w:r>
      <w:r w:rsidRPr="008E31AB">
        <w:rPr>
          <w:rFonts w:ascii="Times New Roman" w:hAnsi="Times New Roman" w:cs="Times New Roman"/>
        </w:rPr>
        <w:t xml:space="preserve"> and more anti-oppressive digital humanities methodologies.</w:t>
      </w:r>
    </w:p>
    <w:p w:rsidR="00000000" w:rsidRPr="008E31AB" w:rsidRDefault="005A0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p>
    <w:p w:rsidR="00000000" w:rsidRPr="00250AA7"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4" w:name="surprise"/>
      <w:r w:rsidRPr="008E31AB">
        <w:rPr>
          <w:rFonts w:ascii="Times New Roman" w:hAnsi="Times New Roman" w:cs="Times New Roman"/>
        </w:rPr>
        <w:t>Thus</w:t>
      </w:r>
      <w:bookmarkEnd w:id="34"/>
      <w:r w:rsidRPr="008E31AB">
        <w:rPr>
          <w:rFonts w:ascii="Times New Roman" w:hAnsi="Times New Roman" w:cs="Times New Roman"/>
        </w:rPr>
        <w:t xml:space="preserve"> far, the importance of queer theory to DH is evident. But what about the other direction? Just as, I argue, both DH and bibliography have important resources to offer to each</w:t>
      </w:r>
      <w:r w:rsidRPr="008E31AB">
        <w:rPr>
          <w:rFonts w:ascii="Times New Roman" w:hAnsi="Times New Roman" w:cs="Times New Roman"/>
        </w:rPr>
        <w:t xml:space="preserve"> other, so to do I argue that DH has something to offer to the elements of queer theory that are concerned with reparative reading. Specifically, a well-formulated DH praxis can introduce a new relationship to the experience of </w:t>
      </w:r>
      <w:r w:rsidRPr="008E31AB">
        <w:rPr>
          <w:rFonts w:ascii="Times New Roman" w:hAnsi="Times New Roman" w:cs="Times New Roman"/>
          <w:i/>
          <w:iCs/>
        </w:rPr>
        <w:t>surprise</w:t>
      </w:r>
      <w:r w:rsidRPr="008E31AB">
        <w:rPr>
          <w:rFonts w:ascii="Times New Roman" w:hAnsi="Times New Roman" w:cs="Times New Roman"/>
        </w:rPr>
        <w:t xml:space="preserve"> which is so challen</w:t>
      </w:r>
      <w:r w:rsidRPr="008E31AB">
        <w:rPr>
          <w:rFonts w:ascii="Times New Roman" w:hAnsi="Times New Roman" w:cs="Times New Roman"/>
        </w:rPr>
        <w:t xml:space="preserve">ging in paranoid reading. The most common dismissals of DH research are attempts to say, “we already knew that” — essentially, </w:t>
      </w:r>
      <w:r w:rsidRPr="008E31AB">
        <w:rPr>
          <w:rFonts w:ascii="Times New Roman" w:hAnsi="Times New Roman" w:cs="Times New Roman"/>
        </w:rPr>
        <w:t>[PARANOID AVOIDANCE OF UNPLEASANT SURPRISE FROM DH THREAT]</w:t>
      </w:r>
      <w:r w:rsidRPr="008E31AB">
        <w:rPr>
          <w:rFonts w:ascii="Times New Roman" w:hAnsi="Times New Roman" w:cs="Times New Roman"/>
        </w:rPr>
        <w:t xml:space="preserve">. This reaction invites two responses. First, </w:t>
      </w:r>
      <w:r w:rsidRPr="008E31AB">
        <w:rPr>
          <w:rFonts w:ascii="Times New Roman" w:hAnsi="Times New Roman" w:cs="Times New Roman"/>
        </w:rPr>
        <w:t>[if the experiment told u</w:t>
      </w:r>
      <w:r w:rsidRPr="008E31AB">
        <w:rPr>
          <w:rFonts w:ascii="Times New Roman" w:hAnsi="Times New Roman" w:cs="Times New Roman"/>
        </w:rPr>
        <w:t>s that everything we knew was COMPLETELY WRONG, this would not be very good because probably at least some of what we know is right]</w:t>
      </w:r>
      <w:r w:rsidRPr="008E31AB">
        <w:rPr>
          <w:rFonts w:ascii="Times New Roman" w:hAnsi="Times New Roman" w:cs="Times New Roman"/>
        </w:rPr>
        <w:t xml:space="preserve">. </w:t>
      </w:r>
      <w:r w:rsidRPr="008E31AB">
        <w:rPr>
          <w:rFonts w:ascii="Times New Roman" w:hAnsi="Times New Roman" w:cs="Times New Roman"/>
        </w:rPr>
        <w:t xml:space="preserve">[Experiments fall into two categories: those which tell us about our methods, and those which tell us about our fields of </w:t>
      </w:r>
      <w:r w:rsidRPr="008E31AB">
        <w:rPr>
          <w:rFonts w:ascii="Times New Roman" w:hAnsi="Times New Roman" w:cs="Times New Roman"/>
        </w:rPr>
        <w:t>study]</w:t>
      </w:r>
      <w:r w:rsidRPr="008E31AB">
        <w:rPr>
          <w:rFonts w:ascii="Times New Roman" w:hAnsi="Times New Roman" w:cs="Times New Roman"/>
        </w:rPr>
        <w:t xml:space="preserve">. Second, as scholars such as Ted Underwood have noted, it is often only </w:t>
      </w:r>
      <w:r w:rsidRPr="008E31AB">
        <w:rPr>
          <w:rFonts w:ascii="Times New Roman" w:hAnsi="Times New Roman" w:cs="Times New Roman"/>
          <w:i/>
          <w:iCs/>
        </w:rPr>
        <w:t>retroactively</w:t>
      </w:r>
      <w:r w:rsidRPr="008E31AB">
        <w:rPr>
          <w:rFonts w:ascii="Times New Roman" w:hAnsi="Times New Roman" w:cs="Times New Roman"/>
        </w:rPr>
        <w:t xml:space="preserve"> that these discoveries are declared to be “obvious” results which everyone “already knew” </w:t>
      </w:r>
      <w:r w:rsidRPr="008E31AB">
        <w:rPr>
          <w:rFonts w:ascii="Times New Roman" w:hAnsi="Times New Roman" w:cs="Times New Roman"/>
        </w:rPr>
        <w:t>(CITE)</w:t>
      </w:r>
      <w:r w:rsidRPr="008E31AB">
        <w:rPr>
          <w:rFonts w:ascii="Times New Roman" w:hAnsi="Times New Roman" w:cs="Times New Roman"/>
        </w:rPr>
        <w:t>. If we are asked to form an explicit hypothesis in advance, we mig</w:t>
      </w:r>
      <w:r w:rsidRPr="008E31AB">
        <w:rPr>
          <w:rFonts w:ascii="Times New Roman" w:hAnsi="Times New Roman" w:cs="Times New Roman"/>
        </w:rPr>
        <w:t xml:space="preserve">ht be very surprised by the exact numbers. </w:t>
      </w:r>
      <w:r w:rsidRPr="008E31AB">
        <w:rPr>
          <w:rFonts w:ascii="Times New Roman" w:hAnsi="Times New Roman" w:cs="Times New Roman"/>
        </w:rPr>
        <w:t>[CONCLUSION]</w:t>
      </w:r>
    </w:p>
    <w:p w:rsidR="00000000" w:rsidRPr="008E31AB"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sz w:val="26"/>
          <w:szCs w:val="26"/>
        </w:rPr>
      </w:pPr>
      <w:r w:rsidRPr="008E31AB">
        <w:rPr>
          <w:rFonts w:cs="Georgia"/>
          <w:b/>
          <w:bCs/>
          <w:sz w:val="26"/>
          <w:szCs w:val="26"/>
        </w:rPr>
        <w:t xml:space="preserve">3.  </w:t>
      </w:r>
      <w:r w:rsidR="00F912DF">
        <w:rPr>
          <w:rFonts w:cs="Georgia"/>
          <w:b/>
          <w:bCs/>
          <w:sz w:val="26"/>
          <w:szCs w:val="26"/>
        </w:rPr>
        <w:t>Experiment Design</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5" w:name="overall_goal"/>
      <w:r w:rsidRPr="008E31AB">
        <w:rPr>
          <w:rFonts w:ascii="Times New Roman" w:hAnsi="Times New Roman" w:cs="Times New Roman"/>
        </w:rPr>
        <w:t>Having</w:t>
      </w:r>
      <w:bookmarkEnd w:id="35"/>
      <w:r w:rsidRPr="008E31AB">
        <w:rPr>
          <w:rFonts w:ascii="Times New Roman" w:hAnsi="Times New Roman" w:cs="Times New Roman"/>
        </w:rPr>
        <w:t xml:space="preserve"> delineated a large and complex scholarl</w:t>
      </w:r>
      <w:r w:rsidRPr="008E31AB">
        <w:rPr>
          <w:rFonts w:ascii="Times New Roman" w:hAnsi="Times New Roman" w:cs="Times New Roman"/>
        </w:rPr>
        <w:t>y context for this work, and made some preliminary efforts toward synthesis of these disparate backgrounds, it is time, now, to delineate the research born of this context. This dissertation proceeds in two major parts. The first examines the 1790s through</w:t>
      </w:r>
      <w:r w:rsidRPr="008E31AB">
        <w:rPr>
          <w:rFonts w:ascii="Times New Roman" w:hAnsi="Times New Roman" w:cs="Times New Roman"/>
        </w:rPr>
        <w:t xml:space="preserve"> the lens of ‘titles,’ and the second through ‘persons.’ In both cases my central interest is the vexed category of ‘popularity.’ With both ‘titles’ and ‘persons’, I establish the materials with which I will be working and their implicit models. Using the </w:t>
      </w:r>
      <w:r w:rsidRPr="008E31AB">
        <w:rPr>
          <w:rFonts w:ascii="Times New Roman" w:hAnsi="Times New Roman" w:cs="Times New Roman"/>
        </w:rPr>
        <w:t xml:space="preserve">information they make most readily accessible, I explore which works and individuals emerge as </w:t>
      </w:r>
      <w:r w:rsidRPr="008E31AB">
        <w:rPr>
          <w:rFonts w:ascii="Times New Roman" w:hAnsi="Times New Roman" w:cs="Times New Roman"/>
        </w:rPr>
        <w:lastRenderedPageBreak/>
        <w:t>‘popular’ or ‘important’ in each resource. I also probe each resource for its representation of (or failure to represent) my touchstone authors, Ann Radcliffe, C</w:t>
      </w:r>
      <w:r w:rsidRPr="008E31AB">
        <w:rPr>
          <w:rFonts w:ascii="Times New Roman" w:hAnsi="Times New Roman" w:cs="Times New Roman"/>
        </w:rPr>
        <w:t>harlotte Turner Smith, Hannah More, and Mary Robinson. The resulting findings are primarily used to evaluate how the underlying digital resources participate in or resist the projects of canon-building. Then, for both titles and persons, there is a ‘turn.’</w:t>
      </w:r>
      <w:r w:rsidRPr="008E31AB">
        <w:rPr>
          <w:rFonts w:ascii="Times New Roman" w:hAnsi="Times New Roman" w:cs="Times New Roman"/>
        </w:rPr>
        <w:t xml:space="preserve"> For each area of inquiry I introduce a novel experiment which synthesizes my materials and repurposes them. These experiments are then used to draw conclusions about 1790s print culture.</w:t>
      </w:r>
    </w:p>
    <w:p w:rsidR="00000000" w:rsidRPr="00F912DF"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F912DF">
        <w:rPr>
          <w:rFonts w:cs="Georgia"/>
          <w:b/>
          <w:bCs/>
          <w:i/>
          <w:iCs/>
          <w:sz w:val="26"/>
          <w:szCs w:val="26"/>
        </w:rPr>
        <w:t xml:space="preserve">3.1.  </w:t>
      </w:r>
      <w:r w:rsidR="00F912DF" w:rsidRPr="00F912DF">
        <w:rPr>
          <w:rFonts w:cs="Georgia"/>
          <w:b/>
          <w:bCs/>
          <w:i/>
          <w:iCs/>
          <w:sz w:val="26"/>
          <w:szCs w:val="26"/>
        </w:rPr>
        <w:t>Titles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 xml:space="preserve">The first phase of this project takes up </w:t>
      </w:r>
      <w:r w:rsidRPr="008E31AB">
        <w:rPr>
          <w:rFonts w:ascii="Times New Roman" w:hAnsi="Times New Roman" w:cs="Times New Roman"/>
        </w:rPr>
        <w:t>titles and databases. Throughout this work, a ‘title’ is the broadest possible umbrella term for a text: it is synonymous with ‘a database entry which I believe to represent a printed work.’ Each individual database will shape the precise correspondences b</w:t>
      </w:r>
      <w:r w:rsidRPr="008E31AB">
        <w:rPr>
          <w:rFonts w:ascii="Times New Roman" w:hAnsi="Times New Roman" w:cs="Times New Roman"/>
        </w:rPr>
        <w:t>etween a ‘title’ and the printed texts about which I use ‘titles’ to reason. For example, it will vary based on my source whether multiple editions of the same work are several ‘titles’ or one ‘title,’ and whether the titles exclusively represent ‘books’ o</w:t>
      </w:r>
      <w:r w:rsidRPr="008E31AB">
        <w:rPr>
          <w:rFonts w:ascii="Times New Roman" w:hAnsi="Times New Roman" w:cs="Times New Roman"/>
        </w:rPr>
        <w:t>r also include chapbooks, broadsheets, or even ephemera. Due to the inscrutability of digital infrastructure discussed above, it is often not possible for me to know prior to experimentation what kinds of titles I am working with. Chapter two, therefore, t</w:t>
      </w:r>
      <w:r w:rsidRPr="008E31AB">
        <w:rPr>
          <w:rFonts w:ascii="Times New Roman" w:hAnsi="Times New Roman" w:cs="Times New Roman"/>
        </w:rPr>
        <w:t>wo takes up contemporary digital archives directly, examining corpora of eighteenth-century literature through the same critical lens by which anthologies and classroom teaching are often scrutinized.</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6" w:name="ch_2"/>
      <w:r w:rsidRPr="008E31AB">
        <w:rPr>
          <w:rFonts w:ascii="Times New Roman" w:hAnsi="Times New Roman" w:cs="Times New Roman"/>
        </w:rPr>
        <w:t>In</w:t>
      </w:r>
      <w:bookmarkEnd w:id="36"/>
      <w:r w:rsidRPr="008E31AB">
        <w:rPr>
          <w:rFonts w:ascii="Times New Roman" w:hAnsi="Times New Roman" w:cs="Times New Roman"/>
        </w:rPr>
        <w:t xml:space="preserve"> chapter two, I make the case that digital archives can implicitly shape scholarly research, and begin the process of revealing and interrogating their invisible assumptions. The chapter begins with a task somewhere between a literature review and a scient</w:t>
      </w:r>
      <w:r w:rsidRPr="008E31AB">
        <w:rPr>
          <w:rFonts w:ascii="Times New Roman" w:hAnsi="Times New Roman" w:cs="Times New Roman"/>
        </w:rPr>
        <w:t xml:space="preserve">ific meta-analysis. My first goal will be to survey as broadly as possible the accessible mass holdings of eighteenth-century </w:t>
      </w:r>
      <w:r w:rsidRPr="008E31AB">
        <w:rPr>
          <w:rFonts w:ascii="Times New Roman" w:hAnsi="Times New Roman" w:cs="Times New Roman"/>
        </w:rPr>
        <w:lastRenderedPageBreak/>
        <w:t>texts (all those containing at least 100 works from the 1790s). I expect to find systematic exclusions where archives are investin</w:t>
      </w:r>
      <w:r w:rsidRPr="008E31AB">
        <w:rPr>
          <w:rFonts w:ascii="Times New Roman" w:hAnsi="Times New Roman" w:cs="Times New Roman"/>
        </w:rPr>
        <w:t>g more labour in their holdings, with narrower selections as they move from bibliographic data to facsimiles to scholarly transcripts. To contextualize these decisions about inclusion, I research the history of how each corpus was formed. As part of this d</w:t>
      </w:r>
      <w:r w:rsidRPr="008E31AB">
        <w:rPr>
          <w:rFonts w:ascii="Times New Roman" w:hAnsi="Times New Roman" w:cs="Times New Roman"/>
        </w:rPr>
        <w:t>emystification process, I also discuss and theorize the difficulties involved in researching these histories: drawing on, for example, my experience with HathiTrust’s codebase, I critique the assumption that digital resources make all information transpare</w:t>
      </w:r>
      <w:r w:rsidRPr="008E31AB">
        <w:rPr>
          <w:rFonts w:ascii="Times New Roman" w:hAnsi="Times New Roman" w:cs="Times New Roman"/>
        </w:rPr>
        <w:t>nt and accessible. Returning to the actual contents of each archive, I discuss the nature of their exclusions, and consider paths to greater inclusivity.  The second chapter thus establishes the corpora which will drive my argument in chapter three, and wi</w:t>
      </w:r>
      <w:r w:rsidRPr="008E31AB">
        <w:rPr>
          <w:rFonts w:ascii="Times New Roman" w:hAnsi="Times New Roman" w:cs="Times New Roman"/>
        </w:rPr>
        <w:t>ll shape the later phases of my research in chapters four and five.</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In chapter three, I synthesize these disparate sources of texts and metadata, to examine popularity as it manifests in print culture. I begin by creating my own ‘superset’ database of all</w:t>
      </w:r>
      <w:r w:rsidRPr="008E31AB">
        <w:rPr>
          <w:rFonts w:ascii="Times New Roman" w:hAnsi="Times New Roman" w:cs="Times New Roman"/>
        </w:rPr>
        <w:t xml:space="preserve"> records. I then query this database through random sampling and topic modelling. Both random sampling and topic modelling, as methodologies, allow me to examine information outside of its pre-designed data structures. Random sampling, which Steven Zwicker</w:t>
      </w:r>
      <w:r w:rsidRPr="008E31AB">
        <w:rPr>
          <w:rFonts w:ascii="Times New Roman" w:hAnsi="Times New Roman" w:cs="Times New Roman"/>
        </w:rPr>
        <w:t xml:space="preserve">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&lt;citation&gt;&lt;priority&gt;36&lt;/priority&gt;&lt;uuid&gt;3B14C94C-B4C8-4219-AD18-DFB1695E2A17&lt;/uuid&gt;&lt;publications&gt;&lt;publication&gt;&lt;subtype&gt;400&lt;/subtype&gt;&lt;title&gt;Is There Such a Thing as Restoration Literature?&lt;/title&gt;&lt;url&gt;http://hlq.ucpress.edu/cgi/doi/10.1525/hlq.2006.69.3.425&lt;/url&gt;&lt;volume&gt;69&lt;/volume&gt;&lt;publication_date&gt;99200609001200000000220000&lt;/publication_date&gt;&lt;uuid&gt;309038DE-F336-4B1B-81A3-FAAA1B057784&lt;/uuid&gt;&lt;type&gt;400&lt;/type&gt;&lt;number&gt;3&lt;/number&gt;&lt;citekey&gt;Zwicker:2006ck&lt;/citekey&gt;&lt;doi&gt;10.1525/hlq.2006.69.3.425&lt;/doi&gt;&lt;startpage&gt;425&lt;/startpage&gt;&lt;endpage&gt;450&lt;/endpage&gt;&lt;bundle&gt;&lt;publication&gt;&lt;title&gt;Huntington Library Quarterly&lt;/title&gt;&lt;uuid&gt;0253DF07-FFD2-4EDD-8FF4-6E32AD9DAE86&lt;/uuid&gt;&lt;subtype&gt;-100&lt;/subtype&gt;&lt;type&gt;-100&lt;/type&gt;&lt;/publication&gt;&lt;/bundle&gt;&lt;authors&gt;&lt;author&gt;&lt;lastName&gt;Zwicker&lt;/lastName&gt;&lt;firstName&gt;Steven&lt;/firstName&gt;&lt;middleNames&gt;N&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(Zwicker)</w:t>
      </w:r>
      <w:r w:rsidR="00256E7A" w:rsidRPr="008E31AB">
        <w:rPr>
          <w:rFonts w:ascii="Times New Roman" w:hAnsi="Times New Roman" w:cs="Times New Roman"/>
        </w:rPr>
        <w:fldChar w:fldCharType="end"/>
      </w:r>
      <w:r w:rsidRPr="008E31AB">
        <w:rPr>
          <w:rFonts w:ascii="Times New Roman" w:hAnsi="Times New Roman" w:cs="Times New Roman"/>
        </w:rPr>
        <w:t xml:space="preserve"> and Leo Lahti, Niko Ilomäki, and Mikko Tolonen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&lt;citation&gt;&lt;priority&gt;37&lt;/priority&gt;&lt;uuid&gt;26528797-D80A-46FB-B2F6-BE27A79F56B6&lt;/uuid&gt;&lt;publications&gt;&lt;publication&gt;&lt;subtype&gt;400&lt;/subtype&gt;&lt;title&gt;A Quantitative Study of History in the English Short-Title Catalogue (ESTC), 1470-1800&lt;/title&gt;&lt;url&gt;https://www.liberquarterly.eu/article/10.18352/lq.10112/&lt;/url&gt;&lt;volume&gt;25&lt;/volume&gt;&lt;publication_date&gt;99201512041200000000222000&lt;/publication_date&gt;&lt;uuid&gt;1CC50C17-39B6-4B0D-B161-6FF902EFDD34&lt;/uuid&gt;&lt;type&gt;400&lt;/type&gt;&lt;number&gt;2&lt;/number&gt;&lt;citekey&gt;Lahti:2015dd&lt;/citekey&gt;&lt;doi&gt;10.18352/lq.10112&lt;/doi&gt;&lt;startpage&gt;87&lt;/startpage&gt;&lt;endpage&gt;31&lt;/endpage&gt;&lt;bundle&gt;&lt;publication&gt;&lt;title&gt;LIBER Quarterly&lt;/title&gt;&lt;uuid&gt;07122BC6-793C-44FA-A696-1C3815A06AF7&lt;/uuid&gt;&lt;subtype&gt;-100&lt;/subtype&gt;&lt;type&gt;-100&lt;/type&gt;&lt;/publication&gt;&lt;/bundle&gt;&lt;authors&gt;&lt;author&gt;&lt;lastName&gt;Lahti&lt;/lastName&gt;&lt;firstName&gt;Leo&lt;/firstName&gt;&lt;/author&gt;&lt;author&gt;&lt;lastName&gt;Ilomäki&lt;/lastName&gt;&lt;firstName&gt;Niko&lt;/firstName&gt;&lt;/author&gt;&lt;author&gt;&lt;lastName&gt;Tolonen&lt;/lastName&gt;&lt;firstName&gt;Mikko&lt;/firstName&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(Lahti, Ilomäki, and Tolonen)</w:t>
      </w:r>
      <w:r w:rsidR="00256E7A" w:rsidRPr="008E31AB">
        <w:rPr>
          <w:rFonts w:ascii="Times New Roman" w:hAnsi="Times New Roman" w:cs="Times New Roman"/>
        </w:rPr>
        <w:fldChar w:fldCharType="end"/>
      </w:r>
      <w:r w:rsidRPr="008E31AB">
        <w:rPr>
          <w:rFonts w:ascii="Times New Roman" w:hAnsi="Times New Roman" w:cs="Times New Roman"/>
        </w:rPr>
        <w:t xml:space="preserve"> have applied successfully to the English Short Title Catalogue’s holdings, makes it feasible to apply a greater level of human scrutiny to a large body of texts. Topi</w:t>
      </w:r>
      <w:r w:rsidRPr="008E31AB">
        <w:rPr>
          <w:rFonts w:ascii="Times New Roman" w:hAnsi="Times New Roman" w:cs="Times New Roman"/>
        </w:rPr>
        <w:t>c modelling makes it feasible regularize otherwise-disparate materials without imposing a pre-defined ontology. My use of topic modelling differs somewhat from its typical use in literary distant reading, which generally applies topic models to the full te</w:t>
      </w:r>
      <w:r w:rsidRPr="008E31AB">
        <w:rPr>
          <w:rFonts w:ascii="Times New Roman" w:hAnsi="Times New Roman" w:cs="Times New Roman"/>
        </w:rPr>
        <w:t xml:space="preserve">xt of literary works, and examines topics themselves as proxies for subtle elements of textual content. I model only the titles of works, taking advantage of the eighteenth century’s </w:t>
      </w:r>
      <w:r w:rsidRPr="008E31AB">
        <w:rPr>
          <w:rFonts w:ascii="Times New Roman" w:hAnsi="Times New Roman" w:cs="Times New Roman"/>
        </w:rPr>
        <w:lastRenderedPageBreak/>
        <w:t>distinctively rich title conventions.</w:t>
      </w:r>
      <w:r w:rsidRPr="008E31AB">
        <w:rPr>
          <w:rFonts w:ascii="Times New Roman" w:hAnsi="Times New Roman" w:cs="Times New Roman"/>
          <w:vertAlign w:val="superscript"/>
        </w:rPr>
        <w:footnoteReference w:id="11"/>
      </w:r>
      <w:r w:rsidRPr="008E31AB">
        <w:rPr>
          <w:rFonts w:ascii="Times New Roman" w:hAnsi="Times New Roman" w:cs="Times New Roman"/>
        </w:rPr>
        <w:t xml:space="preserve"> </w:t>
      </w:r>
      <w:bookmarkStart w:id="37" w:name="ch_3"/>
      <w:r w:rsidRPr="008E31AB">
        <w:rPr>
          <w:rFonts w:ascii="Times New Roman" w:hAnsi="Times New Roman" w:cs="Times New Roman"/>
        </w:rPr>
        <w:t>Both</w:t>
      </w:r>
      <w:bookmarkEnd w:id="37"/>
      <w:r w:rsidRPr="008E31AB">
        <w:rPr>
          <w:rFonts w:ascii="Times New Roman" w:hAnsi="Times New Roman" w:cs="Times New Roman"/>
        </w:rPr>
        <w:t xml:space="preserve"> of these methods allow me to use my ‘superset’ database to ask questions about 1790s literature itself. Influenced by Lesser and Farmer’s articulation of “structures of popularity,” I consider popularit</w:t>
      </w:r>
      <w:r w:rsidRPr="008E31AB">
        <w:rPr>
          <w:rFonts w:ascii="Times New Roman" w:hAnsi="Times New Roman" w:cs="Times New Roman"/>
        </w:rPr>
        <w:t xml:space="preserve">y in terms of total number of editions, frequency of reprinting, and market share. After presenting my proposals for how to calculate each of these metrics, I ask: what was most popular during the decade, according to my corpora? How do the corpora differ </w:t>
      </w:r>
      <w:r w:rsidRPr="008E31AB">
        <w:rPr>
          <w:rFonts w:ascii="Times New Roman" w:hAnsi="Times New Roman" w:cs="Times New Roman"/>
        </w:rPr>
        <w:t>in their answers, and why? Many of the most reprinted works substantially pre-date the 1790s in their composition. Accordingly, taking up David Brewer’s challenge to account for the increased “footprint” of some texts beyond the moment of their original pu</w:t>
      </w:r>
      <w:r w:rsidRPr="008E31AB">
        <w:rPr>
          <w:rFonts w:ascii="Times New Roman" w:hAnsi="Times New Roman" w:cs="Times New Roman"/>
        </w:rPr>
        <w:t>blication, I also pay attention to works originally written before the 1790s which nonetheless can be considered important “1790s literature” due to prominent reprinting. This inquiry’s first question is one of discovery: what works resurface in the 1790s?</w:t>
      </w:r>
      <w:r w:rsidRPr="008E31AB">
        <w:rPr>
          <w:rFonts w:ascii="Times New Roman" w:hAnsi="Times New Roman" w:cs="Times New Roman"/>
        </w:rPr>
        <w:t xml:space="preserve"> Its next question is one of close-reading and historical context: what makes them seem newly relevant? The chapter as a whole, then, presents a sustained study of the relative popularity of the most prominent works printed during the 1790s, and seeks to a</w:t>
      </w:r>
      <w:r w:rsidRPr="008E31AB">
        <w:rPr>
          <w:rFonts w:ascii="Times New Roman" w:hAnsi="Times New Roman" w:cs="Times New Roman"/>
        </w:rPr>
        <w:t>nswer how these prominent works might affect what we define as “popular literature.”</w:t>
      </w:r>
    </w:p>
    <w:p w:rsidR="00000000" w:rsidRPr="00F912DF" w:rsidRDefault="005A05A8" w:rsidP="00250AA7">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rFonts w:cs="Georgia"/>
          <w:b/>
          <w:bCs/>
          <w:i/>
          <w:iCs/>
          <w:sz w:val="26"/>
          <w:szCs w:val="26"/>
        </w:rPr>
      </w:pPr>
      <w:r w:rsidRPr="00F912DF">
        <w:rPr>
          <w:rFonts w:cs="Georgia"/>
          <w:b/>
          <w:bCs/>
          <w:i/>
          <w:iCs/>
          <w:sz w:val="26"/>
          <w:szCs w:val="26"/>
        </w:rPr>
        <w:t xml:space="preserve">3.2.  </w:t>
      </w:r>
      <w:r w:rsidR="00F912DF" w:rsidRPr="00F912DF">
        <w:rPr>
          <w:rFonts w:cs="Georgia"/>
          <w:b/>
          <w:bCs/>
          <w:i/>
          <w:iCs/>
          <w:sz w:val="26"/>
          <w:szCs w:val="26"/>
        </w:rPr>
        <w:t>Persons</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r w:rsidRPr="008E31AB">
        <w:rPr>
          <w:rFonts w:ascii="Times New Roman" w:hAnsi="Times New Roman" w:cs="Times New Roman"/>
        </w:rPr>
        <w:t>The second phase of the project takes up persons and networks. As in the first phase of the project, it is a substantial undertaking simply t</w:t>
      </w:r>
      <w:r w:rsidRPr="008E31AB">
        <w:rPr>
          <w:rFonts w:ascii="Times New Roman" w:hAnsi="Times New Roman" w:cs="Times New Roman"/>
        </w:rPr>
        <w:t xml:space="preserve">o recover contemporary printing practices; this </w:t>
      </w:r>
      <w:r w:rsidRPr="008E31AB">
        <w:rPr>
          <w:rFonts w:ascii="Times New Roman" w:hAnsi="Times New Roman" w:cs="Times New Roman"/>
        </w:rPr>
        <w:lastRenderedPageBreak/>
        <w:t>time, rather than asking what was printed, I ask who it was printed by. A great deal of scholarly work already exists on printing circles, coterie publishing, and individual publishing houses. My project cons</w:t>
      </w:r>
      <w:r w:rsidRPr="008E31AB">
        <w:rPr>
          <w:rFonts w:ascii="Times New Roman" w:hAnsi="Times New Roman" w:cs="Times New Roman"/>
        </w:rPr>
        <w:t>ults this scholarship to extract and encode connections between authors, printers, and publishers (but not patrons, readers, or other persons not immediately involved in the production of printed texts) in order to synthesize the implicit social networks u</w:t>
      </w:r>
      <w:r w:rsidRPr="008E31AB">
        <w:rPr>
          <w:rFonts w:ascii="Times New Roman" w:hAnsi="Times New Roman" w:cs="Times New Roman"/>
        </w:rPr>
        <w:t>nderlying 1790s print production.</w:t>
      </w:r>
      <w:r w:rsidRPr="008E31AB">
        <w:rPr>
          <w:rFonts w:ascii="Times New Roman" w:hAnsi="Times New Roman" w:cs="Times New Roman"/>
          <w:vertAlign w:val="superscript"/>
        </w:rPr>
        <w:footnoteReference w:id="12"/>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8" w:name="ch_4"/>
      <w:r w:rsidRPr="008E31AB">
        <w:rPr>
          <w:rFonts w:ascii="Times New Roman" w:hAnsi="Times New Roman" w:cs="Times New Roman"/>
        </w:rPr>
        <w:t>Chapter</w:t>
      </w:r>
      <w:bookmarkEnd w:id="38"/>
      <w:r w:rsidRPr="008E31AB">
        <w:rPr>
          <w:rFonts w:ascii="Times New Roman" w:hAnsi="Times New Roman" w:cs="Times New Roman"/>
        </w:rPr>
        <w:t xml:space="preserve"> four introduces my mapping of the social world of print pr</w:t>
      </w:r>
      <w:r w:rsidRPr="008E31AB">
        <w:rPr>
          <w:rFonts w:ascii="Times New Roman" w:hAnsi="Times New Roman" w:cs="Times New Roman"/>
        </w:rPr>
        <w:t xml:space="preserve">oduction 1789-99. My understanding and use of network analysis is contextualized in light of Wendy Chun’s work on networks in “Queerying Homophily” </w:t>
      </w:r>
      <w:r w:rsidR="00256E7A" w:rsidRPr="008E31AB">
        <w:rPr>
          <w:rFonts w:ascii="Times New Roman" w:hAnsi="Times New Roman" w:cs="Times New Roman"/>
        </w:rPr>
        <w:fldChar w:fldCharType="begin"/>
      </w:r>
      <w:r w:rsidR="00256E7A" w:rsidRPr="008E31AB">
        <w:rPr>
          <w:rFonts w:ascii="Times New Roman" w:hAnsi="Times New Roman" w:cs="Times New Roman"/>
        </w:rPr>
        <w:instrText xml:space="preserve"> ADDIN PAPERS2_CITATIONS &lt;citation&gt;&lt;priority&gt;38&lt;/priority&gt;&lt;uuid&gt;166B3A71-7C21-4BBA-A9D5-B72CA0DF6765&lt;/uuid&gt;&lt;publications&gt;&lt;publication&gt;&lt;subtype&gt;-1000&lt;/subtype&gt;&lt;place&gt;Lüneburg&lt;/place&gt;&lt;publisher&gt;meon press&lt;/publisher&gt;&lt;title&gt;Queerying Homophily &lt;/title&gt;&lt;publication_date&gt;99201811221200000000222000&lt;/publication_date&gt;&lt;uuid&gt;529E119F-CE13-4F30-977C-C35B88BF4BD2&lt;/uuid&gt;&lt;type&gt;-1000&lt;/type&gt;&lt;bundle&gt;&lt;publication&gt;&lt;subtype&gt;0&lt;/subtype&gt;&lt;place&gt;Lüneburg&lt;/place&gt;&lt;publisher&gt;meon press&lt;/publisher&gt;&lt;title&gt;Pattern Discrimination&lt;/title&gt;&lt;url&gt;https://www.ssoar.info/ssoar/handle/document/60224&lt;/url&gt;&lt;publication_date&gt;99201811221200000000222000&lt;/publication_date&gt;&lt;uuid&gt;0EFB48A0-2420-4C3D-BBD7-04A219AEA9DA&lt;/uuid&gt;&lt;type&gt;0&lt;/type&gt;&lt;citekey&gt;PatternDisc:2018cg&lt;/citekey&gt;&lt;doi&gt;10.14619/1457&lt;/doi&gt;&lt;startpage&gt;1&lt;/startpage&gt;&lt;endpage&gt;140&lt;/endpage&gt;&lt;authors&gt;&lt;author&gt;&lt;lastName&gt;Apprich&lt;/lastName&gt;&lt;firstName&gt;C&lt;/firstName&gt;&lt;/author&gt;&lt;author&gt;&lt;lastName&gt;Chun&lt;/lastName&gt;&lt;firstName&gt;Wendy&lt;/firstName&gt;&lt;middleNames&gt;Hui Kyong&lt;/middleNames&gt;&lt;/author&gt;&lt;author&gt;&lt;lastName&gt;Cramer&lt;/lastName&gt;&lt;firstName&gt;F&lt;/firstName&gt;&lt;/author&gt;&lt;author&gt;&lt;lastName&gt;Steyerl&lt;/lastName&gt;&lt;firstName&gt;H&lt;/firstName&gt;&lt;/author&gt;&lt;/authors&gt;&lt;/publication&gt;&lt;/bundle&gt;&lt;authors&gt;&lt;author&gt;&lt;lastName&gt;Chun&lt;/lastName&gt;&lt;firstName&gt;Wendy&lt;/firstName&gt;&lt;middleNames&gt;Hui Kyong&lt;/middleNames&gt;&lt;/author&gt;&lt;/authors&gt;&lt;/publication&gt;&lt;/publications&gt;&lt;cites&gt;&lt;/cites&gt;&lt;/citation&gt;</w:instrText>
      </w:r>
      <w:r w:rsidR="00256E7A" w:rsidRPr="008E31AB">
        <w:rPr>
          <w:rFonts w:ascii="Times New Roman" w:hAnsi="Times New Roman" w:cs="Times New Roman"/>
        </w:rPr>
        <w:fldChar w:fldCharType="separate"/>
      </w:r>
      <w:r w:rsidR="00256E7A" w:rsidRPr="008E31AB">
        <w:rPr>
          <w:rFonts w:ascii="Times New Roman" w:hAnsi="Times New Roman" w:cs="Times New Roman"/>
        </w:rPr>
        <w:t>(Chun)</w:t>
      </w:r>
      <w:r w:rsidR="00256E7A" w:rsidRPr="008E31AB">
        <w:rPr>
          <w:rFonts w:ascii="Times New Roman" w:hAnsi="Times New Roman" w:cs="Times New Roman"/>
        </w:rPr>
        <w:fldChar w:fldCharType="end"/>
      </w:r>
      <w:r w:rsidRPr="008E31AB">
        <w:rPr>
          <w:rFonts w:ascii="Times New Roman" w:hAnsi="Times New Roman" w:cs="Times New Roman"/>
        </w:rPr>
        <w:t>. I describe my methodology and its assumptions, and provide a rich description of my resu</w:t>
      </w:r>
      <w:r w:rsidRPr="008E31AB">
        <w:rPr>
          <w:rFonts w:ascii="Times New Roman" w:hAnsi="Times New Roman" w:cs="Times New Roman"/>
        </w:rPr>
        <w:t>lting network graph. The graph I create may show one large interconnected network, or several separate networks of varying sizes; these networks may show highly distinct clusters, or evenly interconnected webs. Drawing on mathematical graph theory, the cha</w:t>
      </w:r>
      <w:r w:rsidRPr="008E31AB">
        <w:rPr>
          <w:rFonts w:ascii="Times New Roman" w:hAnsi="Times New Roman" w:cs="Times New Roman"/>
        </w:rPr>
        <w:t>pter will explain the implications of whichever shape the network ultimately displays. It will also present an overview of the people I identify as the “major players” in the publishing world of the 1790s, both mathematically (looking for nodes with variou</w:t>
      </w:r>
      <w:r w:rsidRPr="008E31AB">
        <w:rPr>
          <w:rFonts w:ascii="Times New Roman" w:hAnsi="Times New Roman" w:cs="Times New Roman"/>
        </w:rPr>
        <w:t>s kinds of centrality) and in the scholarship.</w:t>
      </w:r>
    </w:p>
    <w:p w:rsidR="00000000" w:rsidRPr="008E31AB" w:rsidRDefault="005A05A8"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 New Roman" w:hAnsi="Times New Roman" w:cs="Times New Roman"/>
        </w:rPr>
      </w:pPr>
      <w:bookmarkStart w:id="39" w:name="ch_5"/>
      <w:r w:rsidRPr="008E31AB">
        <w:rPr>
          <w:rFonts w:ascii="Times New Roman" w:hAnsi="Times New Roman" w:cs="Times New Roman"/>
        </w:rPr>
        <w:t>Having</w:t>
      </w:r>
      <w:bookmarkEnd w:id="39"/>
      <w:r w:rsidRPr="008E31AB">
        <w:rPr>
          <w:rFonts w:ascii="Times New Roman" w:hAnsi="Times New Roman" w:cs="Times New Roman"/>
        </w:rPr>
        <w:t xml:space="preserve"> recaptured these complex networks in some depth, I can then examine them, in chapter five, for their relation to our current understanding of mainstream and radical--or as I am terming them “ma</w:t>
      </w:r>
      <w:r w:rsidRPr="008E31AB">
        <w:rPr>
          <w:rFonts w:ascii="Times New Roman" w:hAnsi="Times New Roman" w:cs="Times New Roman"/>
        </w:rPr>
        <w:t xml:space="preserve">instream” and “non-mainstream”--printing circles. My network graphs model individual political affiliation as a complex, socially defined practice rather than a set of concrete </w:t>
      </w:r>
      <w:r w:rsidRPr="008E31AB">
        <w:rPr>
          <w:rFonts w:ascii="Times New Roman" w:hAnsi="Times New Roman" w:cs="Times New Roman"/>
        </w:rPr>
        <w:lastRenderedPageBreak/>
        <w:t>and stable ideological stances. This chapter will look for traces of affiliatio</w:t>
      </w:r>
      <w:r w:rsidRPr="008E31AB">
        <w:rPr>
          <w:rFonts w:ascii="Times New Roman" w:hAnsi="Times New Roman" w:cs="Times New Roman"/>
        </w:rPr>
        <w:t>n in the print practices of publishers and authors. I consider individual printers with political allegiances, as in Dissenting societies, radical publishers, and correspondence societies. This then enables me to consider authors’ strategic choices as they</w:t>
      </w:r>
      <w:r w:rsidRPr="008E31AB">
        <w:rPr>
          <w:rFonts w:ascii="Times New Roman" w:hAnsi="Times New Roman" w:cs="Times New Roman"/>
        </w:rPr>
        <w:t xml:space="preserve"> publish with different printers. Having identified radical elements in the publishing world, I interrogate the radicals’ claims to marginalization. I suspect that I might find that they were not as socially estranged from the mainstream as they describe t</w:t>
      </w:r>
      <w:r w:rsidRPr="008E31AB">
        <w:rPr>
          <w:rFonts w:ascii="Times New Roman" w:hAnsi="Times New Roman" w:cs="Times New Roman"/>
        </w:rPr>
        <w:t>hemselves, and that their printed works may accordingly have been less marginal. I discuss alternative print markets and alternative circulation, in context with the print production which they are alternatives to. The circulation of works in manuscript pr</w:t>
      </w:r>
      <w:r w:rsidRPr="008E31AB">
        <w:rPr>
          <w:rFonts w:ascii="Times New Roman" w:hAnsi="Times New Roman" w:cs="Times New Roman"/>
        </w:rPr>
        <w:t xml:space="preserve">esents me with two challenges which will be discussed here. The first challenge is methodological: the circulation of manuscripts clearly occurred, and may have constituted “publication” within social circles, but manuscripts fall outside my purview. This </w:t>
      </w:r>
      <w:r w:rsidRPr="008E31AB">
        <w:rPr>
          <w:rFonts w:ascii="Times New Roman" w:hAnsi="Times New Roman" w:cs="Times New Roman"/>
        </w:rPr>
        <w:t>chapter will therefore discuss the nature and rough shape of the gap which the exclusion of manuscript works leaves in my study. The second task of this chapter is more theoretical: as queer and decolonial DH scholars note, there is an ethical choice impli</w:t>
      </w:r>
      <w:r w:rsidRPr="008E31AB">
        <w:rPr>
          <w:rFonts w:ascii="Times New Roman" w:hAnsi="Times New Roman" w:cs="Times New Roman"/>
        </w:rPr>
        <w:t>cated in the decision to systematically discover, collect, and expose communities which intentionally operated below the notice of state observation. Historical distance prevents me from worrying about causing direct harm through my work, but nonetheless I</w:t>
      </w:r>
      <w:r w:rsidRPr="008E31AB">
        <w:rPr>
          <w:rFonts w:ascii="Times New Roman" w:hAnsi="Times New Roman" w:cs="Times New Roman"/>
        </w:rPr>
        <w:t xml:space="preserve"> critically interrogate my own research practices and contextualize my choices with the horizon of expectations within the radical circles I expose. Finally, having discussed the networks of radical and mainstream publishing in the 1790s, I also compare th</w:t>
      </w:r>
      <w:r w:rsidRPr="008E31AB">
        <w:rPr>
          <w:rFonts w:ascii="Times New Roman" w:hAnsi="Times New Roman" w:cs="Times New Roman"/>
        </w:rPr>
        <w:t xml:space="preserve">e position of radical publishers in the 1790s with their status in the corpora discussed in chapters two and three, where they may in fact be marginalized. Together, these approaches further complicate the story of popularity which the </w:t>
      </w:r>
      <w:r w:rsidRPr="008E31AB">
        <w:rPr>
          <w:rFonts w:ascii="Times New Roman" w:hAnsi="Times New Roman" w:cs="Times New Roman"/>
        </w:rPr>
        <w:lastRenderedPageBreak/>
        <w:t>dissertation challen</w:t>
      </w:r>
      <w:r w:rsidRPr="008E31AB">
        <w:rPr>
          <w:rFonts w:ascii="Times New Roman" w:hAnsi="Times New Roman" w:cs="Times New Roman"/>
        </w:rPr>
        <w:t>ges elsewhere, by suggesting ways to reassess of the popularity of radical works.</w:t>
      </w:r>
    </w:p>
    <w:p w:rsidR="00256E7A" w:rsidRPr="008E31AB" w:rsidRDefault="00250AA7" w:rsidP="00571F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center"/>
        <w:outlineLvl w:val="0"/>
        <w:rPr>
          <w:rFonts w:cs="Georgia"/>
          <w:b/>
          <w:bCs/>
          <w:sz w:val="26"/>
          <w:szCs w:val="26"/>
        </w:rPr>
      </w:pPr>
      <w:r>
        <w:rPr>
          <w:rFonts w:cs="Georgia"/>
          <w:b/>
          <w:bCs/>
          <w:sz w:val="26"/>
          <w:szCs w:val="26"/>
        </w:rPr>
        <w:t>Works Cited</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Bainbridge, Simon. </w:t>
      </w:r>
      <w:r w:rsidRPr="00250AA7">
        <w:rPr>
          <w:rFonts w:ascii="Times New Roman" w:hAnsi="Times New Roman" w:cs="Times New Roman"/>
          <w:i/>
          <w:iCs/>
        </w:rPr>
        <w:t>British Poetry and the Revolutionary and Napoleonic Wars</w:t>
      </w:r>
      <w:r w:rsidRPr="00250AA7">
        <w:rPr>
          <w:rFonts w:ascii="Times New Roman" w:hAnsi="Times New Roman" w:cs="Times New Roman"/>
        </w:rPr>
        <w:t>. Oxford University Press, 2003.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Cairo, Alberto. “Infographics to Explain, Data Visualizations to Explore.” </w:t>
      </w:r>
      <w:r w:rsidRPr="00250AA7">
        <w:rPr>
          <w:rFonts w:ascii="Times New Roman" w:hAnsi="Times New Roman" w:cs="Times New Roman"/>
          <w:i/>
          <w:iCs/>
        </w:rPr>
        <w:t>The Functional Art Alberto Cairos Weblog on Visualization, Infographics, and Data Journalism</w:t>
      </w:r>
      <w:r w:rsidRPr="00250AA7">
        <w:rPr>
          <w:rFonts w:ascii="Times New Roman" w:hAnsi="Times New Roman" w:cs="Times New Roman"/>
        </w:rPr>
        <w:t>. N.p., 16 Mar. 2014.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Cairo, Alberto. </w:t>
      </w:r>
      <w:r w:rsidRPr="00250AA7">
        <w:rPr>
          <w:rFonts w:ascii="Times New Roman" w:hAnsi="Times New Roman" w:cs="Times New Roman"/>
          <w:i/>
          <w:iCs/>
        </w:rPr>
        <w:t>The Truthful Art: Data, Charts, and Maps for Communication</w:t>
      </w:r>
      <w:r w:rsidRPr="00250AA7">
        <w:rPr>
          <w:rFonts w:ascii="Times New Roman" w:hAnsi="Times New Roman" w:cs="Times New Roman"/>
        </w:rPr>
        <w:t>. San Francisco: New Riders, 2016.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Chun, Wendy Hui Kyong. “Queerying Homophily.” </w:t>
      </w:r>
      <w:r w:rsidRPr="00250AA7">
        <w:rPr>
          <w:rFonts w:ascii="Times New Roman" w:hAnsi="Times New Roman" w:cs="Times New Roman"/>
          <w:i/>
          <w:iCs/>
        </w:rPr>
        <w:t>Pattern Discrimination</w:t>
      </w:r>
      <w:r w:rsidRPr="00250AA7">
        <w:rPr>
          <w:rFonts w:ascii="Times New Roman" w:hAnsi="Times New Roman" w:cs="Times New Roman"/>
        </w:rPr>
        <w:t>. Lüneburg: meon press, 2018.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Clery, E J. </w:t>
      </w:r>
      <w:r w:rsidRPr="00250AA7">
        <w:rPr>
          <w:rFonts w:ascii="Times New Roman" w:hAnsi="Times New Roman" w:cs="Times New Roman"/>
          <w:i/>
          <w:iCs/>
        </w:rPr>
        <w:t>The Rise of Supernatural Fiction</w:t>
      </w:r>
      <w:r w:rsidRPr="00250AA7">
        <w:rPr>
          <w:rFonts w:ascii="Times New Roman" w:hAnsi="Times New Roman" w:cs="Times New Roman"/>
        </w:rPr>
        <w:t>. Print.</w:t>
      </w:r>
    </w:p>
    <w:p w:rsidR="00256E7A"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Cronin, Richard. </w:t>
      </w:r>
      <w:r w:rsidRPr="00250AA7">
        <w:rPr>
          <w:rFonts w:ascii="Times New Roman" w:hAnsi="Times New Roman" w:cs="Times New Roman"/>
          <w:i/>
          <w:iCs/>
        </w:rPr>
        <w:t>The Politics of Romantic Poetry</w:t>
      </w:r>
      <w:r w:rsidRPr="00250AA7">
        <w:rPr>
          <w:rFonts w:ascii="Times New Roman" w:hAnsi="Times New Roman" w:cs="Times New Roman"/>
        </w:rPr>
        <w:t>. 2000. Print.</w:t>
      </w:r>
    </w:p>
    <w:p w:rsidR="001224F0" w:rsidRPr="00250AA7" w:rsidRDefault="001224F0" w:rsidP="001224F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1224F0">
        <w:rPr>
          <w:rFonts w:ascii="Times New Roman" w:hAnsi="Times New Roman" w:cs="Times New Roman"/>
        </w:rPr>
        <w:t xml:space="preserve">Drucker, Johanna. “Humanities Approaches to Graphical Display.” </w:t>
      </w:r>
      <w:r w:rsidRPr="001224F0">
        <w:rPr>
          <w:rFonts w:ascii="Times New Roman" w:hAnsi="Times New Roman" w:cs="Times New Roman"/>
          <w:i/>
          <w:iCs/>
        </w:rPr>
        <w:t>Digital Humanities Quarterly</w:t>
      </w:r>
      <w:r w:rsidRPr="001224F0">
        <w:rPr>
          <w:rFonts w:ascii="Times New Roman" w:hAnsi="Times New Roman" w:cs="Times New Roman"/>
        </w:rPr>
        <w:t xml:space="preserve"> 5.1 (2011): 1–23.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Earhart, Amy E. </w:t>
      </w:r>
      <w:r w:rsidRPr="00250AA7">
        <w:rPr>
          <w:rFonts w:ascii="Times New Roman" w:hAnsi="Times New Roman" w:cs="Times New Roman"/>
          <w:i/>
          <w:iCs/>
        </w:rPr>
        <w:t>Traces of the Old, Uses of the New: the Emergence of Digital Literary Studies</w:t>
      </w:r>
      <w:r w:rsidRPr="00250AA7">
        <w:rPr>
          <w:rFonts w:ascii="Times New Roman" w:hAnsi="Times New Roman" w:cs="Times New Roman"/>
        </w:rPr>
        <w:t>. Vol. 11. University of Michigan Press, 2017.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Felski, Rita. </w:t>
      </w:r>
      <w:r w:rsidRPr="00250AA7">
        <w:rPr>
          <w:rFonts w:ascii="Times New Roman" w:hAnsi="Times New Roman" w:cs="Times New Roman"/>
          <w:i/>
          <w:iCs/>
        </w:rPr>
        <w:t>The Limits of Critique</w:t>
      </w:r>
      <w:r w:rsidRPr="00250AA7">
        <w:rPr>
          <w:rFonts w:ascii="Times New Roman" w:hAnsi="Times New Roman" w:cs="Times New Roman"/>
        </w:rPr>
        <w:t>. University of Chicago Press, 2015.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Gamer, Michael. </w:t>
      </w:r>
      <w:r w:rsidRPr="00250AA7">
        <w:rPr>
          <w:rFonts w:ascii="Times New Roman" w:hAnsi="Times New Roman" w:cs="Times New Roman"/>
          <w:i/>
          <w:iCs/>
        </w:rPr>
        <w:t>Romanticism and the Gothic</w:t>
      </w:r>
      <w:r w:rsidRPr="00250AA7">
        <w:rPr>
          <w:rFonts w:ascii="Times New Roman" w:hAnsi="Times New Roman" w:cs="Times New Roman"/>
        </w:rPr>
        <w:t>.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Guillory, John. </w:t>
      </w:r>
      <w:r w:rsidRPr="00250AA7">
        <w:rPr>
          <w:rFonts w:ascii="Times New Roman" w:hAnsi="Times New Roman" w:cs="Times New Roman"/>
          <w:i/>
          <w:iCs/>
        </w:rPr>
        <w:t>Cultural Capital: the Problem of Literary Canon Formation</w:t>
      </w:r>
      <w:r w:rsidRPr="00250AA7">
        <w:rPr>
          <w:rFonts w:ascii="Times New Roman" w:hAnsi="Times New Roman" w:cs="Times New Roman"/>
        </w:rPr>
        <w:t>. University of Chicago Press, 1993.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lastRenderedPageBreak/>
        <w:t xml:space="preserve">Lahti, Leo, Niko Ilomäki, and Mikko Tolonen. “A Quantitative Study of History in the English Short-Title Catalogue (ESTC), 1470-1800.” </w:t>
      </w:r>
      <w:r w:rsidRPr="00250AA7">
        <w:rPr>
          <w:rFonts w:ascii="Times New Roman" w:hAnsi="Times New Roman" w:cs="Times New Roman"/>
          <w:i/>
          <w:iCs/>
        </w:rPr>
        <w:t>LIBER Quarterly</w:t>
      </w:r>
      <w:r w:rsidRPr="00250AA7">
        <w:rPr>
          <w:rFonts w:ascii="Times New Roman" w:hAnsi="Times New Roman" w:cs="Times New Roman"/>
        </w:rPr>
        <w:t xml:space="preserve"> 25.2 (2015): 87–31.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Mee, Jon. </w:t>
      </w:r>
      <w:r w:rsidRPr="00250AA7">
        <w:rPr>
          <w:rFonts w:ascii="Times New Roman" w:hAnsi="Times New Roman" w:cs="Times New Roman"/>
          <w:i/>
          <w:iCs/>
        </w:rPr>
        <w:t>Print, Publicity, and Popular Radicalism in the 1790s: the Laurel of Liberty</w:t>
      </w:r>
      <w:r w:rsidRPr="00250AA7">
        <w:rPr>
          <w:rFonts w:ascii="Times New Roman" w:hAnsi="Times New Roman" w:cs="Times New Roman"/>
        </w:rPr>
        <w:t>. 2016. Print.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Noble, Safiya. </w:t>
      </w:r>
      <w:r w:rsidRPr="00250AA7">
        <w:rPr>
          <w:rFonts w:ascii="Times New Roman" w:hAnsi="Times New Roman" w:cs="Times New Roman"/>
          <w:i/>
          <w:iCs/>
        </w:rPr>
        <w:t>Algorithms of Oppression</w:t>
      </w:r>
      <w:r w:rsidRPr="00250AA7">
        <w:rPr>
          <w:rFonts w:ascii="Times New Roman" w:hAnsi="Times New Roman" w:cs="Times New Roman"/>
        </w:rPr>
        <w:t>. NYU Press, 2018. Print.</w:t>
      </w:r>
    </w:p>
    <w:p w:rsidR="001A259D" w:rsidRDefault="001A259D" w:rsidP="001A259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1A259D">
        <w:rPr>
          <w:rFonts w:ascii="Times New Roman" w:hAnsi="Times New Roman" w:cs="Times New Roman"/>
        </w:rPr>
        <w:t>Sedgwick, Eve Kosofsky. “Paranoid Reading and Reparative Reading</w:t>
      </w:r>
      <w:r>
        <w:rPr>
          <w:rFonts w:ascii="Times New Roman" w:hAnsi="Times New Roman" w:cs="Times New Roman"/>
        </w:rPr>
        <w:t xml:space="preserve">: </w:t>
      </w:r>
      <w:r w:rsidRPr="001A259D">
        <w:rPr>
          <w:rFonts w:ascii="Times New Roman" w:hAnsi="Times New Roman" w:cs="Times New Roman"/>
        </w:rPr>
        <w:t>Or, You're So Paranoid, You Probabl</w:t>
      </w:r>
      <w:r>
        <w:rPr>
          <w:rFonts w:ascii="Times New Roman" w:hAnsi="Times New Roman" w:cs="Times New Roman"/>
        </w:rPr>
        <w:t>y Think This Essay Is About You</w:t>
      </w:r>
      <w:r w:rsidRPr="001A259D">
        <w:rPr>
          <w:rFonts w:ascii="Times New Roman" w:hAnsi="Times New Roman" w:cs="Times New Roman"/>
        </w:rPr>
        <w:t xml:space="preserve">.” </w:t>
      </w:r>
      <w:r w:rsidRPr="001A259D">
        <w:rPr>
          <w:rFonts w:ascii="Times New Roman" w:hAnsi="Times New Roman" w:cs="Times New Roman"/>
          <w:i/>
          <w:iCs/>
        </w:rPr>
        <w:t>Touching Feeling</w:t>
      </w:r>
      <w:r w:rsidRPr="001A259D">
        <w:rPr>
          <w:rFonts w:ascii="Times New Roman" w:hAnsi="Times New Roman" w:cs="Times New Roman"/>
        </w:rPr>
        <w:t>. Durham &amp; Lond</w:t>
      </w:r>
      <w:r>
        <w:rPr>
          <w:rFonts w:ascii="Times New Roman" w:hAnsi="Times New Roman" w:cs="Times New Roman"/>
        </w:rPr>
        <w:t>on: N.p., 2003. 123–151. Print.</w:t>
      </w:r>
    </w:p>
    <w:p w:rsidR="00256E7A" w:rsidRPr="00250AA7" w:rsidRDefault="00256E7A" w:rsidP="001A259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Saavedra, Ryan. “Socialist Rep. Alexandria Ocasio-Cortez (D- NY) Claims That Algorithms, Which Are Driven by Math, Are Racist.” </w:t>
      </w:r>
      <w:r w:rsidR="000D5DA6">
        <w:rPr>
          <w:rFonts w:ascii="Times New Roman" w:hAnsi="Times New Roman" w:cs="Times New Roman"/>
        </w:rPr>
        <w:t>Tweet.</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Taylor, George. </w:t>
      </w:r>
      <w:r w:rsidRPr="00250AA7">
        <w:rPr>
          <w:rFonts w:ascii="Times New Roman" w:hAnsi="Times New Roman" w:cs="Times New Roman"/>
          <w:i/>
          <w:iCs/>
        </w:rPr>
        <w:t>The French Revolution and the London Stage, 1789-1805</w:t>
      </w:r>
      <w:r w:rsidRPr="00250AA7">
        <w:rPr>
          <w:rFonts w:ascii="Times New Roman" w:hAnsi="Times New Roman" w:cs="Times New Roman"/>
        </w:rPr>
        <w:t>. Cambridge: Cambridge University Press, 2001. Web.</w:t>
      </w:r>
    </w:p>
    <w:p w:rsidR="00256E7A"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Tufte, E R. </w:t>
      </w:r>
      <w:r w:rsidRPr="00250AA7">
        <w:rPr>
          <w:rFonts w:ascii="Times New Roman" w:hAnsi="Times New Roman" w:cs="Times New Roman"/>
          <w:i/>
          <w:iCs/>
        </w:rPr>
        <w:t>The Visual Display of Quantitative Information</w:t>
      </w:r>
      <w:r w:rsidRPr="00250AA7">
        <w:rPr>
          <w:rFonts w:ascii="Times New Roman" w:hAnsi="Times New Roman" w:cs="Times New Roman"/>
        </w:rPr>
        <w:t>. 2nd ed. Graphics Press, 2001. Print.</w:t>
      </w:r>
    </w:p>
    <w:p w:rsidR="005A05A8" w:rsidRPr="00250AA7" w:rsidRDefault="00256E7A" w:rsidP="00250AA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400" w:hanging="400"/>
        <w:rPr>
          <w:rFonts w:ascii="Times New Roman" w:hAnsi="Times New Roman" w:cs="Times New Roman"/>
        </w:rPr>
      </w:pPr>
      <w:r w:rsidRPr="00250AA7">
        <w:rPr>
          <w:rFonts w:ascii="Times New Roman" w:hAnsi="Times New Roman" w:cs="Times New Roman"/>
        </w:rPr>
        <w:t xml:space="preserve">Zwicker, Steven N. “Is There Such a Thing as Restoration Literature?.” </w:t>
      </w:r>
      <w:r w:rsidRPr="00250AA7">
        <w:rPr>
          <w:rFonts w:ascii="Times New Roman" w:hAnsi="Times New Roman" w:cs="Times New Roman"/>
          <w:i/>
          <w:iCs/>
        </w:rPr>
        <w:t>Huntington Library Quarterly</w:t>
      </w:r>
      <w:r w:rsidRPr="00250AA7">
        <w:rPr>
          <w:rFonts w:ascii="Times New Roman" w:hAnsi="Times New Roman" w:cs="Times New Roman"/>
        </w:rPr>
        <w:t xml:space="preserve"> 69.3 (2006): 425–450. Web.</w:t>
      </w:r>
      <w:r w:rsidRPr="008E31AB">
        <w:fldChar w:fldCharType="begin"/>
      </w:r>
      <w:r w:rsidRPr="008E31AB">
        <w:instrText xml:space="preserve"> ADDIN PAPERS2_CITATIONS &lt;papers2_bibliography/&gt;</w:instrText>
      </w:r>
      <w:r w:rsidRPr="008E31AB">
        <w:fldChar w:fldCharType="separate"/>
      </w:r>
      <w:r w:rsidRPr="008E31AB">
        <w:fldChar w:fldCharType="end"/>
      </w:r>
    </w:p>
    <w:sectPr w:rsidR="005A05A8" w:rsidRPr="00250AA7">
      <w:headerReference w:type="default" r:id="rId8"/>
      <w:footerReference w:type="default" r:id="rId9"/>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5A8" w:rsidRDefault="005A05A8">
      <w:r>
        <w:separator/>
      </w:r>
    </w:p>
  </w:endnote>
  <w:endnote w:type="continuationSeparator" w:id="0">
    <w:p w:rsidR="005A05A8" w:rsidRDefault="005A0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571F93" w:rsidRDefault="005A05A8">
    <w:pPr>
      <w:widowControl/>
      <w:jc w:val="center"/>
      <w:rPr>
        <w:rFonts w:cs="Helvetica"/>
        <w:sz w:val="22"/>
        <w:szCs w:val="22"/>
      </w:rPr>
    </w:pPr>
    <w:r w:rsidRPr="00571F93">
      <w:rPr>
        <w:rFonts w:cs="Helvetica"/>
        <w:sz w:val="22"/>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5A8" w:rsidRDefault="005A05A8">
      <w:r>
        <w:separator/>
      </w:r>
    </w:p>
  </w:footnote>
  <w:footnote w:type="continuationSeparator" w:id="0">
    <w:p w:rsidR="005A05A8" w:rsidRDefault="005A05A8">
      <w:r>
        <w:continuationSeparator/>
      </w:r>
    </w:p>
  </w:footnote>
  <w:footnote w:id="1">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It may also be the case, of course, that even fields with a long history of graphical display would benefit from greater scrutiny of the evidence they use; see: the Data Dinosaur. But this is beyond the remit of what an Eng</w:t>
      </w:r>
      <w:r w:rsidRPr="005A05A8">
        <w:rPr>
          <w:rFonts w:ascii="Times New Roman" w:hAnsi="Times New Roman" w:cs="Times New Roman"/>
          <w:sz w:val="20"/>
          <w:szCs w:val="20"/>
        </w:rPr>
        <w:t>lish PhD can address.</w:t>
      </w:r>
    </w:p>
  </w:footnote>
  <w:footnote w:id="2">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I cite Tufte and Cairo as the thinkers whose design philosophies best accord with my own current understanding of the work and craft of persuasive data visualization, but m</w:t>
      </w:r>
      <w:r w:rsidRPr="005A05A8">
        <w:rPr>
          <w:rFonts w:ascii="Times New Roman" w:hAnsi="Times New Roman" w:cs="Times New Roman"/>
          <w:sz w:val="20"/>
          <w:szCs w:val="20"/>
        </w:rPr>
        <w:t>y actual practical training as a graphic designer is indebted to Judith Galas, Sonia Davis Gutiérrez, and Tom Hapgood.</w:t>
      </w:r>
    </w:p>
  </w:footnote>
  <w:footnote w:id="3">
    <w:p w:rsidR="00000000" w:rsidRPr="005A05A8" w:rsidRDefault="005A05A8" w:rsidP="008E31AB">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1. show comparisons, contrasts, differences</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2. show causality, mechanism, explanation, systemic structure (intervention relies on manipulable causality -- can't do anything with the information without causalit</w:t>
      </w:r>
      <w:r w:rsidRPr="005A05A8">
        <w:rPr>
          <w:rFonts w:ascii="Times New Roman" w:hAnsi="Times New Roman" w:cs="Times New Roman"/>
          <w:sz w:val="20"/>
          <w:szCs w:val="20"/>
        </w:rPr>
        <w:t>y)</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3. show multiple variables (3 or more) -- the world is multivariate</w:t>
      </w:r>
      <w:r w:rsidR="008E31AB" w:rsidRPr="005A05A8">
        <w:rPr>
          <w:rFonts w:ascii="Times New Roman" w:hAnsi="Times New Roman" w:cs="Times New Roman"/>
          <w:sz w:val="20"/>
          <w:szCs w:val="20"/>
        </w:rPr>
        <w:t xml:space="preserve">. 4. </w:t>
      </w:r>
      <w:r w:rsidR="008E31AB" w:rsidRPr="005A05A8">
        <w:rPr>
          <w:rFonts w:ascii="Times New Roman" w:hAnsi="Times New Roman" w:cs="Times New Roman"/>
          <w:i/>
          <w:iCs/>
          <w:sz w:val="20"/>
          <w:szCs w:val="20"/>
        </w:rPr>
        <w:t>completely integrate</w:t>
      </w:r>
      <w:r w:rsidRPr="005A05A8">
        <w:rPr>
          <w:rFonts w:ascii="Times New Roman" w:hAnsi="Times New Roman" w:cs="Times New Roman"/>
          <w:sz w:val="20"/>
          <w:szCs w:val="20"/>
        </w:rPr>
        <w:t> </w:t>
      </w:r>
      <w:r w:rsidR="008E31AB" w:rsidRPr="005A05A8">
        <w:rPr>
          <w:rFonts w:ascii="Times New Roman" w:hAnsi="Times New Roman" w:cs="Times New Roman"/>
          <w:sz w:val="20"/>
          <w:szCs w:val="20"/>
        </w:rPr>
        <w:t>words, numbers, maps, graphics</w:t>
      </w:r>
      <w:r w:rsidRPr="005A05A8">
        <w:rPr>
          <w:rFonts w:ascii="Times New Roman" w:hAnsi="Times New Roman" w:cs="Times New Roman"/>
          <w:sz w:val="20"/>
          <w:szCs w:val="20"/>
        </w:rPr>
        <w:t>, etc. Provide information at exact point of need</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5. documentation must thoroughly describe evidence and its sources, pro</w:t>
      </w:r>
      <w:r w:rsidRPr="005A05A8">
        <w:rPr>
          <w:rFonts w:ascii="Times New Roman" w:hAnsi="Times New Roman" w:cs="Times New Roman"/>
          <w:sz w:val="20"/>
          <w:szCs w:val="20"/>
        </w:rPr>
        <w:t>vide complete measurement scales</w:t>
      </w:r>
      <w:r w:rsidR="008E31AB" w:rsidRPr="005A05A8">
        <w:rPr>
          <w:rFonts w:ascii="Times New Roman" w:hAnsi="Times New Roman" w:cs="Times New Roman"/>
          <w:sz w:val="20"/>
          <w:szCs w:val="20"/>
        </w:rPr>
        <w:t xml:space="preserve">. </w:t>
      </w:r>
      <w:r w:rsidRPr="005A05A8">
        <w:rPr>
          <w:rFonts w:ascii="Times New Roman" w:hAnsi="Times New Roman" w:cs="Times New Roman"/>
          <w:sz w:val="20"/>
          <w:szCs w:val="20"/>
        </w:rPr>
        <w:t>6. presentations succeed based on their content. for better presentations, get better content.</w:t>
      </w:r>
    </w:p>
  </w:footnote>
  <w:footnote w:id="4">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Although these events, of course, did not occur on January 1 or December 31, respectively, the entirety of 1789 and 1799 are both included in my study here, out of sheer techno</w:t>
      </w:r>
      <w:r w:rsidRPr="005A05A8">
        <w:rPr>
          <w:rFonts w:ascii="Times New Roman" w:hAnsi="Times New Roman" w:cs="Times New Roman"/>
          <w:sz w:val="20"/>
          <w:szCs w:val="20"/>
        </w:rPr>
        <w:t>logical necessity.</w:t>
      </w:r>
    </w:p>
  </w:footnote>
  <w:footnote w:id="5">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By this, Mee means “both attacks on personalities by the radical press but also the dev</w:t>
      </w:r>
      <w:r w:rsidRPr="005A05A8">
        <w:rPr>
          <w:rFonts w:ascii="Times New Roman" w:hAnsi="Times New Roman" w:cs="Times New Roman"/>
          <w:sz w:val="20"/>
          <w:szCs w:val="20"/>
        </w:rPr>
        <w:t xml:space="preserve">elopment of personae by writers and booksellers” </w:t>
      </w:r>
      <w:r w:rsidR="00256E7A" w:rsidRPr="005A05A8">
        <w:rPr>
          <w:rFonts w:ascii="Times New Roman" w:hAnsi="Times New Roman" w:cs="Times New Roman"/>
          <w:sz w:val="20"/>
          <w:szCs w:val="20"/>
        </w:rPr>
        <w:fldChar w:fldCharType="begin"/>
      </w:r>
      <w:r w:rsidR="00256E7A" w:rsidRPr="005A05A8">
        <w:rPr>
          <w:rFonts w:ascii="Times New Roman" w:hAnsi="Times New Roman" w:cs="Times New Roman"/>
          <w:sz w:val="20"/>
          <w:szCs w:val="20"/>
        </w:rPr>
        <w:instrText xml:space="preserve"> ADDIN PAPERS2_CITATIONS &lt;citation&gt;&lt;priority&gt;21&lt;/priority&gt;&lt;uuid&gt;48D1D55D-ACA6-4CA0-B96B-5BCE458E02D0&lt;/uuid&gt;&lt;publications&gt;&lt;publication&gt;&lt;subtype&gt;1&lt;/subtype&gt;&lt;title&gt;Print, publicity, and popular radicalism in the 1790s: the laurel of liberty&lt;/title&gt;&lt;url&gt;https://books.google.com/books?hl=en&amp;amp;lr=&amp;amp;id=TZErDAAAQBAJ&amp;amp;oi=fnd&amp;amp;pg=PR8&amp;amp;dq=Print+publicity+and+popular+radicalism+in+the+1790s+the+laurel+of+liberty&amp;amp;ots=n8-6zZ2Ugw&amp;amp;sig=5VZ2uy1YJB-iwUepOA7Qqvb1rC4&lt;/url&gt;&lt;publication_date&gt;99201600001200000000200000&lt;/publication_date&gt;&lt;uuid&gt;66567C16-0BF1-40E3-987C-F86502460E8C&lt;/uuid&gt;&lt;type&gt;0&lt;/type&gt;&lt;citekey&gt;Mee:2016wk&lt;/citekey&gt;&lt;authors&gt;&lt;author&gt;&lt;lastName&gt;Mee&lt;/lastName&gt;&lt;firstName&gt;Jon&lt;/firstName&gt;&lt;/author&gt;&lt;/authors&gt;&lt;/publication&gt;&lt;/publications&gt;&lt;cites&gt;&lt;cite&gt;&lt;page&gt;29&lt;/page&gt;&lt;/cite&gt;&lt;/cites&gt;&lt;/citation&gt;</w:instrText>
      </w:r>
      <w:r w:rsidR="00256E7A" w:rsidRPr="005A05A8">
        <w:rPr>
          <w:rFonts w:ascii="Times New Roman" w:hAnsi="Times New Roman" w:cs="Times New Roman"/>
          <w:sz w:val="20"/>
          <w:szCs w:val="20"/>
        </w:rPr>
        <w:fldChar w:fldCharType="separate"/>
      </w:r>
      <w:r w:rsidR="00256E7A" w:rsidRPr="005A05A8">
        <w:rPr>
          <w:rFonts w:ascii="Times New Roman" w:hAnsi="Times New Roman" w:cs="Times New Roman"/>
          <w:sz w:val="20"/>
          <w:szCs w:val="20"/>
        </w:rPr>
        <w:t>(Mee 29)</w:t>
      </w:r>
      <w:r w:rsidR="00256E7A" w:rsidRPr="005A05A8">
        <w:rPr>
          <w:rFonts w:ascii="Times New Roman" w:hAnsi="Times New Roman" w:cs="Times New Roman"/>
          <w:sz w:val="20"/>
          <w:szCs w:val="20"/>
        </w:rPr>
        <w:fldChar w:fldCharType="end"/>
      </w:r>
      <w:r w:rsidRPr="005A05A8">
        <w:rPr>
          <w:rFonts w:ascii="Times New Roman" w:hAnsi="Times New Roman" w:cs="Times New Roman"/>
          <w:sz w:val="20"/>
          <w:szCs w:val="20"/>
        </w:rPr>
        <w:t>.</w:t>
      </w:r>
    </w:p>
  </w:footnote>
  <w:footnote w:id="6">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I have heard it q</w:t>
      </w:r>
      <w:r w:rsidRPr="005A05A8">
        <w:rPr>
          <w:rFonts w:ascii="Times New Roman" w:hAnsi="Times New Roman" w:cs="Times New Roman"/>
          <w:sz w:val="20"/>
          <w:szCs w:val="20"/>
        </w:rPr>
        <w:t>uipped more than once in digital humanities gatherings that you always think you’re going to get your texts from somewhere else, but Project Gutenberg is where you’ll actually get them.</w:t>
      </w:r>
    </w:p>
  </w:footnote>
  <w:footnote w:id="7">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https</w:t>
      </w:r>
      <w:r w:rsidRPr="005A05A8">
        <w:rPr>
          <w:rFonts w:ascii="Times New Roman" w:hAnsi="Times New Roman" w:cs="Times New Roman"/>
          <w:sz w:val="20"/>
          <w:szCs w:val="20"/>
        </w:rPr>
        <w:t>://books.google.ca/intl/en/googlebooks/partners/</w:t>
      </w:r>
    </w:p>
  </w:footnote>
  <w:footnote w:id="8">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CITE http://languagelog.ldc.upenn.edu/nll/?p=1701</w:t>
      </w:r>
    </w:p>
  </w:footnote>
  <w:footnote w:id="9">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https://</w:t>
      </w:r>
      <w:r w:rsidRPr="005A05A8">
        <w:rPr>
          <w:rFonts w:ascii="Times New Roman" w:hAnsi="Times New Roman" w:cs="Times New Roman"/>
          <w:sz w:val="20"/>
          <w:szCs w:val="20"/>
        </w:rPr>
        <w:t>archive.org/about/</w:t>
      </w:r>
    </w:p>
  </w:footnote>
  <w:footnote w:id="10">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As a recurrent Freudian slip, I have more than once typo’d the word “data” as “danger”</w:t>
      </w:r>
    </w:p>
  </w:footnote>
  <w:footnote w:id="11">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For example, a typical title in t</w:t>
      </w:r>
      <w:r w:rsidRPr="005A05A8">
        <w:rPr>
          <w:rFonts w:ascii="Times New Roman" w:hAnsi="Times New Roman" w:cs="Times New Roman"/>
          <w:sz w:val="20"/>
          <w:szCs w:val="20"/>
        </w:rPr>
        <w:t>he English Short Title Catalogue for the decade is “The injustice and impolicy of the slave-trade, and of the slavery of the Africans: illustrated in a sermon preached before the Connecticut Society for the Promotion of Freedom, and for the Relief of Perso</w:t>
      </w:r>
      <w:r w:rsidRPr="005A05A8">
        <w:rPr>
          <w:rFonts w:ascii="Times New Roman" w:hAnsi="Times New Roman" w:cs="Times New Roman"/>
          <w:sz w:val="20"/>
          <w:szCs w:val="20"/>
        </w:rPr>
        <w:t>ns Unlawfully Holden in Bondage, at their annual meeting in New-Haven, September 15, 1791. / By Jonathan Edwards, D.D. Pastor of a church in New-Haven. ; To which is added, A short sketch of the evidence for the abolition of the slave-trade, delivered befo</w:t>
      </w:r>
      <w:r w:rsidRPr="005A05A8">
        <w:rPr>
          <w:rFonts w:ascii="Times New Roman" w:hAnsi="Times New Roman" w:cs="Times New Roman"/>
          <w:sz w:val="20"/>
          <w:szCs w:val="20"/>
        </w:rPr>
        <w:t>re a committee of the British House of Commons.” The usefulness of this title, as an advertisement for (if not necessarily an accurate representative of!) the work’s content, I argue, presents an opportunity unique to the eighteenth century. The eighteenth</w:t>
      </w:r>
      <w:r w:rsidRPr="005A05A8">
        <w:rPr>
          <w:rFonts w:ascii="Times New Roman" w:hAnsi="Times New Roman" w:cs="Times New Roman"/>
          <w:sz w:val="20"/>
          <w:szCs w:val="20"/>
        </w:rPr>
        <w:t xml:space="preserve"> century is often dismissed as unsuitable for computational distant reading because eighteenth century printed type produces very low-quality OCR transcripts — but a focus on OCR-based distant reading itself seems to me like a response to the poverty of pa</w:t>
      </w:r>
      <w:r w:rsidRPr="005A05A8">
        <w:rPr>
          <w:rFonts w:ascii="Times New Roman" w:hAnsi="Times New Roman" w:cs="Times New Roman"/>
          <w:sz w:val="20"/>
          <w:szCs w:val="20"/>
        </w:rPr>
        <w:t>ratextual material in later literature.</w:t>
      </w:r>
    </w:p>
  </w:footnote>
  <w:footnote w:id="12">
    <w:p w:rsidR="00000000" w:rsidRPr="005A05A8" w:rsidRDefault="005A05A8">
      <w:pPr>
        <w:pStyle w:val="Footnote"/>
        <w:widowControl/>
        <w:ind w:firstLine="360"/>
        <w:rPr>
          <w:rFonts w:ascii="Times New Roman" w:hAnsi="Times New Roman" w:cs="Times New Roman"/>
          <w:sz w:val="20"/>
          <w:szCs w:val="20"/>
        </w:rPr>
      </w:pPr>
      <w:r w:rsidRPr="005A05A8">
        <w:rPr>
          <w:rFonts w:ascii="Times New Roman" w:hAnsi="Times New Roman" w:cs="Times New Roman"/>
          <w:sz w:val="20"/>
          <w:szCs w:val="20"/>
          <w:vertAlign w:val="superscript"/>
        </w:rPr>
        <w:footnoteRef/>
      </w:r>
      <w:r w:rsidRPr="005A05A8">
        <w:rPr>
          <w:rFonts w:ascii="Times New Roman" w:hAnsi="Times New Roman" w:cs="Times New Roman"/>
          <w:sz w:val="20"/>
          <w:szCs w:val="20"/>
        </w:rPr>
        <w:t xml:space="preserve"> </w:t>
      </w:r>
      <w:r w:rsidRPr="005A05A8">
        <w:rPr>
          <w:rFonts w:ascii="Times New Roman" w:hAnsi="Times New Roman" w:cs="Times New Roman"/>
          <w:sz w:val="20"/>
          <w:szCs w:val="20"/>
        </w:rPr>
        <w:t>I begin my research for this chapter by encoding only a few existing studies, in order to evaluate the feasibility of my method at scale. It is possible that, rather than directly consulting the more richly historically-</w:t>
      </w:r>
      <w:r w:rsidRPr="005A05A8">
        <w:rPr>
          <w:rFonts w:ascii="Times New Roman" w:hAnsi="Times New Roman" w:cs="Times New Roman"/>
          <w:sz w:val="20"/>
          <w:szCs w:val="20"/>
        </w:rPr>
        <w:t>informed work of other scholars, I will instead fall back on inferring networks from the author and publisher metadata included with the corpora examined in chapters two and three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A05A8">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9B0"/>
    <w:rsid w:val="0005252F"/>
    <w:rsid w:val="000D5DA6"/>
    <w:rsid w:val="000E45B3"/>
    <w:rsid w:val="001224F0"/>
    <w:rsid w:val="001A259D"/>
    <w:rsid w:val="00250AA7"/>
    <w:rsid w:val="00256E7A"/>
    <w:rsid w:val="002B6718"/>
    <w:rsid w:val="00571F93"/>
    <w:rsid w:val="005A05A8"/>
    <w:rsid w:val="007F199B"/>
    <w:rsid w:val="008E31AB"/>
    <w:rsid w:val="00B24351"/>
    <w:rsid w:val="00C90DC4"/>
    <w:rsid w:val="00D829B0"/>
    <w:rsid w:val="00DB055D"/>
    <w:rsid w:val="00F912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C7D67"/>
  <w14:defaultImageDpi w14:val="0"/>
  <w15:docId w15:val="{68FF4962-FF3C-F647-9EBE-BDFBF703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Georgi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Georgia" w:hAnsi="Georgia"/>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rFonts w:ascii="Georgia" w:hAnsi="Georgia"/>
      <w:sz w:val="24"/>
      <w:szCs w:val="24"/>
      <w:lang w:val="en-US"/>
    </w:rPr>
  </w:style>
  <w:style w:type="paragraph" w:customStyle="1" w:styleId="Footnote">
    <w:name w:val="Footnote"/>
    <w:uiPriority w:val="99"/>
    <w:pPr>
      <w:widowControl w:val="0"/>
      <w:autoSpaceDE w:val="0"/>
      <w:autoSpaceDN w:val="0"/>
      <w:adjustRightInd w:val="0"/>
    </w:pPr>
    <w:rPr>
      <w:rFonts w:ascii="Georgia" w:hAnsi="Georgia"/>
      <w:sz w:val="24"/>
      <w:szCs w:val="24"/>
      <w:lang w:val="en-US"/>
    </w:rPr>
  </w:style>
  <w:style w:type="paragraph" w:styleId="BalloonText">
    <w:name w:val="Balloon Text"/>
    <w:basedOn w:val="Normal"/>
    <w:link w:val="BalloonTextChar"/>
    <w:uiPriority w:val="99"/>
    <w:semiHidden/>
    <w:unhideWhenUsed/>
    <w:rsid w:val="00D829B0"/>
    <w:rPr>
      <w:rFonts w:ascii="Times New Roman" w:hAnsi="Times New Roman" w:cs="Times New Roman"/>
      <w:sz w:val="18"/>
      <w:szCs w:val="18"/>
    </w:rPr>
  </w:style>
  <w:style w:type="character" w:customStyle="1" w:styleId="BalloonTextChar">
    <w:name w:val="Balloon Text Char"/>
    <w:link w:val="BalloonText"/>
    <w:uiPriority w:val="99"/>
    <w:semiHidden/>
    <w:rsid w:val="00D829B0"/>
    <w:rPr>
      <w:rFonts w:ascii="Times New Roman" w:hAnsi="Times New Roman" w:cs="Times New Roman"/>
      <w:sz w:val="18"/>
      <w:szCs w:val="18"/>
      <w:lang w:val="en-US"/>
    </w:rPr>
  </w:style>
  <w:style w:type="paragraph" w:styleId="Header">
    <w:name w:val="header"/>
    <w:basedOn w:val="Normal"/>
    <w:link w:val="HeaderChar"/>
    <w:uiPriority w:val="99"/>
    <w:unhideWhenUsed/>
    <w:rsid w:val="00571F93"/>
    <w:pPr>
      <w:tabs>
        <w:tab w:val="center" w:pos="4680"/>
        <w:tab w:val="right" w:pos="9360"/>
      </w:tabs>
    </w:pPr>
  </w:style>
  <w:style w:type="character" w:customStyle="1" w:styleId="HeaderChar">
    <w:name w:val="Header Char"/>
    <w:link w:val="Header"/>
    <w:uiPriority w:val="99"/>
    <w:rsid w:val="00571F93"/>
    <w:rPr>
      <w:rFonts w:ascii="Georgia" w:hAnsi="Georgia"/>
      <w:lang w:val="en-US"/>
    </w:rPr>
  </w:style>
  <w:style w:type="paragraph" w:styleId="Footer">
    <w:name w:val="footer"/>
    <w:basedOn w:val="Normal"/>
    <w:link w:val="FooterChar"/>
    <w:uiPriority w:val="99"/>
    <w:unhideWhenUsed/>
    <w:rsid w:val="00571F93"/>
    <w:pPr>
      <w:tabs>
        <w:tab w:val="center" w:pos="4680"/>
        <w:tab w:val="right" w:pos="9360"/>
      </w:tabs>
    </w:pPr>
  </w:style>
  <w:style w:type="character" w:customStyle="1" w:styleId="FooterChar">
    <w:name w:val="Footer Char"/>
    <w:link w:val="Footer"/>
    <w:uiPriority w:val="99"/>
    <w:rsid w:val="00571F93"/>
    <w:rPr>
      <w:rFonts w:ascii="Georgia" w:hAnsi="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scrivcmt://4D050EC1-F5F0-48B4-B6EC-E6C31DBCC5B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crivcmt://26087BCC-148F-4626-B984-5CA87FD425F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13235</Words>
  <Characters>75441</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88500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
  <dc:creator>Lawrence Evalyn</dc:creator>
  <cp:keywords/>
  <dc:description/>
  <cp:lastModifiedBy>Blind Referee</cp:lastModifiedBy>
  <cp:revision>2</cp:revision>
  <dcterms:created xsi:type="dcterms:W3CDTF">2019-03-01T22:31:00Z</dcterms:created>
  <dcterms:modified xsi:type="dcterms:W3CDTF">2019-03-01T22:31:00Z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id="http://www.zotero.org/styles/modern-language-association"/&gt;&lt;format class="21"/&gt;&lt;count citations="39" publications="17"/&gt;&lt;/info&gt;PAPERS2_INFO_END</vt:lpwstr>
  </property>
</Properties>
</file>