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F4A7C"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1.  </w:t>
      </w:r>
      <w:bookmarkStart w:id="0" w:name="intro"/>
      <w:r>
        <w:rPr>
          <w:rFonts w:cs="Georgia"/>
          <w:b/>
          <w:bCs/>
          <w:sz w:val="26"/>
          <w:szCs w:val="26"/>
        </w:rPr>
        <w:t>intro</w:t>
      </w:r>
      <w:bookmarkEnd w:id="0"/>
    </w:p>
    <w:p w14:paraId="12A9285A"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7E7DCC1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This dissertation in concerned with the mechanism by which texts do or don’t ‘enter’ into ‘canons’ o</w:t>
      </w:r>
      <w:r>
        <w:rPr>
          <w:rFonts w:ascii="Times New Roman" w:hAnsi="Times New Roman" w:cs="Times New Roman"/>
        </w:rPr>
        <w:t>f writings, particularly in the heightened political environment of England in the 1790s. In service of this goal, this dissertation seeks to determine, in as minute detail as possible, what the print landscape in England 1789-99 was actually like. It also</w:t>
      </w:r>
      <w:r>
        <w:rPr>
          <w:rFonts w:ascii="Times New Roman" w:hAnsi="Times New Roman" w:cs="Times New Roman"/>
        </w:rPr>
        <w:t xml:space="preserve"> seeks to explain, in equally minute detail, why this task of ‘objective’ historical recovery is, in fact, impossible. In the process, I show how our persistently perplexing questions about canons can be asked, and answered, in new ways with digital tools.</w:t>
      </w:r>
      <w:r>
        <w:rPr>
          <w:rFonts w:ascii="Times New Roman" w:hAnsi="Times New Roman" w:cs="Times New Roman"/>
        </w:rPr>
        <w:t xml:space="preserve"> Computational methods, in their close association with ‘big data’, are often advertised as the solution to the problems of scale which are presumed to motivate the formation of selective canons. As my own computational experimentation will reveal, however</w:t>
      </w:r>
      <w:r>
        <w:rPr>
          <w:rFonts w:ascii="Times New Roman" w:hAnsi="Times New Roman" w:cs="Times New Roman"/>
        </w:rPr>
        <w:t>, computational study more commonly undertakes the same judgment and valuation of texts that characterizes ‘canon formation,’ and displaces this process onto ‘corpus building.’ It is difficult, when faced with flawed and complex competing narratives, to re</w:t>
      </w:r>
      <w:r>
        <w:rPr>
          <w:rFonts w:ascii="Times New Roman" w:hAnsi="Times New Roman" w:cs="Times New Roman"/>
        </w:rPr>
        <w:t>sist the impulse to simply critique and reject all options. If we may learn any lessons from the 1790s, however, surely one must be the danger of universal paranoia. Accordingly, this dissertation takes place within three scholarly conversations: the digit</w:t>
      </w:r>
      <w:r>
        <w:rPr>
          <w:rFonts w:ascii="Times New Roman" w:hAnsi="Times New Roman" w:cs="Times New Roman"/>
        </w:rPr>
        <w:t>al humanities, as an increasingly self-reflective set of practices; eighteenth century studies, and the challenges presented by the 1790s; and the frameworks of reparative reading within queer theory which seem to offer valuable resources for both. The rem</w:t>
      </w:r>
      <w:r>
        <w:rPr>
          <w:rFonts w:ascii="Times New Roman" w:hAnsi="Times New Roman" w:cs="Times New Roman"/>
        </w:rPr>
        <w:t xml:space="preserve">ainder of this chapter will describe in more detail the relevant scholarship in all three fields, then discuss the overlaps between them which enable my work. Finally, this chapter will conclude with a description of the two computational experiments </w:t>
      </w:r>
      <w:r>
        <w:rPr>
          <w:rFonts w:ascii="Times New Roman" w:hAnsi="Times New Roman" w:cs="Times New Roman"/>
        </w:rPr>
        <w:lastRenderedPageBreak/>
        <w:t>which</w:t>
      </w:r>
      <w:r>
        <w:rPr>
          <w:rFonts w:ascii="Times New Roman" w:hAnsi="Times New Roman" w:cs="Times New Roman"/>
        </w:rPr>
        <w:t xml:space="preserve"> drive the dissertation as a whole, situating them within the three fields, and providing a sketch of their development across the dissertation.</w:t>
      </w:r>
    </w:p>
    <w:p w14:paraId="3B0BDF4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180AA56"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1.1.  </w:t>
      </w:r>
      <w:bookmarkStart w:id="1" w:name="DH"/>
      <w:r>
        <w:rPr>
          <w:rFonts w:cs="Georgia"/>
          <w:b/>
          <w:bCs/>
          <w:sz w:val="26"/>
          <w:szCs w:val="26"/>
        </w:rPr>
        <w:t>DH</w:t>
      </w:r>
      <w:bookmarkEnd w:id="1"/>
    </w:p>
    <w:p w14:paraId="50138A65"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18B126C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field of “digital humanities,” now several scholarly generations into its development, has e</w:t>
      </w:r>
      <w:r>
        <w:rPr>
          <w:rFonts w:ascii="Times New Roman" w:hAnsi="Times New Roman" w:cs="Times New Roman"/>
        </w:rPr>
        <w:t>ntered the phase in which so many scholars are carrying out “DH” research that no universally-acceptable definition of “DH” can exist. Many definitions are fundamentally methodological.</w:t>
      </w:r>
      <w:r>
        <w:rPr>
          <w:rFonts w:ascii="Times New Roman" w:hAnsi="Times New Roman" w:cs="Times New Roman"/>
          <w:vertAlign w:val="superscript"/>
        </w:rPr>
        <w:footnoteReference w:id="1"/>
      </w:r>
      <w:r>
        <w:rPr>
          <w:rFonts w:ascii="Times New Roman" w:hAnsi="Times New Roman" w:cs="Times New Roman"/>
        </w:rPr>
        <w:t xml:space="preserve"> These definitions descri</w:t>
      </w:r>
      <w:r>
        <w:rPr>
          <w:rFonts w:ascii="Times New Roman" w:hAnsi="Times New Roman" w:cs="Times New Roman"/>
        </w:rPr>
        <w:t>be what might be called a “computational humanities.” Other definitions take up the new importance of digitality in daily life.</w:t>
      </w:r>
      <w:r>
        <w:rPr>
          <w:rFonts w:ascii="Times New Roman" w:hAnsi="Times New Roman" w:cs="Times New Roman"/>
          <w:vertAlign w:val="superscript"/>
        </w:rPr>
        <w:footnoteReference w:id="2"/>
      </w:r>
      <w:r>
        <w:rPr>
          <w:rFonts w:ascii="Times New Roman" w:hAnsi="Times New Roman" w:cs="Times New Roman"/>
        </w:rPr>
        <w:t xml:space="preserve"> </w:t>
      </w:r>
      <w:bookmarkStart w:id="2" w:name="many_definitions_of_DH"/>
      <w:r>
        <w:rPr>
          <w:rFonts w:ascii="Times New Roman" w:hAnsi="Times New Roman" w:cs="Times New Roman"/>
        </w:rPr>
        <w:t>This</w:t>
      </w:r>
      <w:bookmarkEnd w:id="2"/>
      <w:r>
        <w:rPr>
          <w:rFonts w:ascii="Times New Roman" w:hAnsi="Times New Roman" w:cs="Times New Roman"/>
        </w:rPr>
        <w:t xml:space="preserve"> kind of work is increasingly descr</w:t>
      </w:r>
      <w:r>
        <w:rPr>
          <w:rFonts w:ascii="Times New Roman" w:hAnsi="Times New Roman" w:cs="Times New Roman"/>
        </w:rPr>
        <w:t>ibed as “digital cultural studies.” In positioning this work as a “DH” dissertation, I might at first glance seem to belong squarely within the first framework, that of the “computational humanities.” To be sure, much of this work is intended to apply exis</w:t>
      </w:r>
      <w:r>
        <w:rPr>
          <w:rFonts w:ascii="Times New Roman" w:hAnsi="Times New Roman" w:cs="Times New Roman"/>
        </w:rPr>
        <w:t>ting computational methodologies to conduct otherwise old-fashioned literary research. My objects of study are by no means contemporary. Several of my contributions, too, are purely methodological in nature, in the development of new code and new guideline</w:t>
      </w:r>
      <w:r>
        <w:rPr>
          <w:rFonts w:ascii="Times New Roman" w:hAnsi="Times New Roman" w:cs="Times New Roman"/>
        </w:rPr>
        <w:t xml:space="preserve">s for computational research using particular digital resources. However, as a fuller discussion of Johanna Drucker’s distinction between “data” and “capta” will elucidate later in this chapter, no computational research exists separately from a specific, </w:t>
      </w:r>
      <w:r>
        <w:rPr>
          <w:rFonts w:ascii="Times New Roman" w:hAnsi="Times New Roman" w:cs="Times New Roman"/>
        </w:rPr>
        <w:t xml:space="preserve">local, culturally-defined context. Accordingly, my computational research into eighteenth century literature and my development of new computational methodologies are both </w:t>
      </w:r>
      <w:r>
        <w:rPr>
          <w:rFonts w:ascii="Times New Roman" w:hAnsi="Times New Roman" w:cs="Times New Roman"/>
        </w:rPr>
        <w:lastRenderedPageBreak/>
        <w:t>inevitably tied to “digital culture.” My results often have more to say about contem</w:t>
      </w:r>
      <w:r>
        <w:rPr>
          <w:rFonts w:ascii="Times New Roman" w:hAnsi="Times New Roman" w:cs="Times New Roman"/>
        </w:rPr>
        <w:t>porary digital archives, and the history of literary record-keeping, than they do about the eighteenth century itself. I therefore rely on an extensive body of work in cultural digital studies to examine not only the eighteenth century, but eighteenth cent</w:t>
      </w:r>
      <w:r>
        <w:rPr>
          <w:rFonts w:ascii="Times New Roman" w:hAnsi="Times New Roman" w:cs="Times New Roman"/>
        </w:rPr>
        <w:t>ury studies.</w:t>
      </w:r>
    </w:p>
    <w:p w14:paraId="5F294AD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4E296DA1" w14:textId="6048B0C4"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Often discussed as synonymous with “DH” is a set of practices described as “distant reading.” Distant reading is undergoing a shift away from its figurehead in Franco Moretti, who famously coined the original term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&lt;citation&gt;&lt;priority&gt;0&lt;/priority&gt;&lt;uuid&gt;AE812987-DFF7-4B2B-B436-7AE25D1C3701&lt;/uuid&gt;&lt;publications&gt;&lt;publication&gt;&lt;subtype&gt;400&lt;/subtype&gt;&lt;title&gt;Conjectures on world literature&lt;/title&gt;&lt;url&gt;https://newleftreview.org/II/1/franco-moretti-conjectures-on-world-literature&lt;/url&gt;&lt;volume&gt;1&lt;/volume&gt;&lt;publication_date&gt;99200001011200000000222000&lt;/publication_date&gt;&lt;uuid&gt;95E3AD2F-DD3B-4393-966C-ECF2ACE60E13&lt;/uuid&gt;&lt;type&gt;400&lt;/type&gt;&lt;citekey&gt;Moretti:2000ul&lt;/citekey&gt;&lt;bundle&gt;&lt;publication&gt;&lt;title&gt;New Left Review&lt;/title&gt;&lt;uuid&gt;F2686907-413A-436F-A44C-7568A568A04E&lt;/uuid&gt;&lt;subtype&gt;-100&lt;/subtype&gt;&lt;type&gt;-100&lt;/type&gt;&lt;/publication&gt;&lt;/bundle&gt;&lt;authors&gt;&lt;author&gt;&lt;lastName&gt;Moretti&lt;/lastName&gt;&lt;firstName&gt;Franco&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(Moretti)</w:t>
      </w:r>
      <w:r w:rsidR="008335DF">
        <w:rPr>
          <w:rFonts w:ascii="Times New Roman" w:hAnsi="Times New Roman" w:cs="Times New Roman"/>
        </w:rPr>
        <w:fldChar w:fldCharType="end"/>
      </w:r>
      <w:r>
        <w:rPr>
          <w:rFonts w:ascii="Times New Roman" w:hAnsi="Times New Roman" w:cs="Times New Roman"/>
        </w:rPr>
        <w:t>. If we</w:t>
      </w:r>
      <w:r>
        <w:rPr>
          <w:rFonts w:ascii="Times New Roman" w:hAnsi="Times New Roman" w:cs="Times New Roman"/>
        </w:rPr>
        <w:t xml:space="preserve"> wish to think about distant reading without Moretti, Ted Underwood and Rachel Buurma both provide valuable histories. Ted Underwood’s “Genealogy of Distant Reading” presents a history of distant reading which is not for the most part centrally concerned w</w:t>
      </w:r>
      <w:r>
        <w:rPr>
          <w:rFonts w:ascii="Times New Roman" w:hAnsi="Times New Roman" w:cs="Times New Roman"/>
        </w:rPr>
        <w:t xml:space="preserve">ith computers, and therefore fundamentally distinct from concepts of “digital humanities”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&lt;citation&gt;&lt;priority&gt;1&lt;/priority&gt;&lt;uuid&gt;C9BD600C-F63A-4EC2-AFEB-F45CA44253E8&lt;/uuid&gt;&lt;publications&gt;&lt;publication&gt;&lt;subtype&gt;400&lt;/subtype&gt;&lt;title&gt;A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(Underwood)</w:t>
      </w:r>
      <w:r w:rsidR="008335DF">
        <w:rPr>
          <w:rFonts w:ascii="Times New Roman" w:hAnsi="Times New Roman" w:cs="Times New Roman"/>
        </w:rPr>
        <w:fldChar w:fldCharType="end"/>
      </w:r>
      <w:r>
        <w:rPr>
          <w:rFonts w:ascii="Times New Roman" w:hAnsi="Times New Roman" w:cs="Times New Roman"/>
        </w:rPr>
        <w:t xml:space="preserve">. In Underwood’s history, distant reading is “a tradition continuous with earlier forms of macroscopic literary history, distinguished only by </w:t>
      </w:r>
      <w:r>
        <w:rPr>
          <w:rFonts w:ascii="Times New Roman" w:hAnsi="Times New Roman" w:cs="Times New Roman"/>
        </w:rPr>
        <w:t xml:space="preserve">an increasingly experimental method, organized by samples and hypotheses that get defined before conclusions are drawn”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&lt;citation&gt;&lt;priority&gt;2&lt;/priority&gt;&lt;uuid&gt;F565436A-EC38-416C-88AB-32FB80134158&lt;/uuid&gt;&lt;publications&gt;&lt;publication&gt;&lt;subtype&gt;400&lt;/subtype&gt;&lt;title&gt;A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(Underwood)</w:t>
      </w:r>
      <w:r w:rsidR="008335DF">
        <w:rPr>
          <w:rFonts w:ascii="Times New Roman" w:hAnsi="Times New Roman" w:cs="Times New Roman"/>
        </w:rPr>
        <w:fldChar w:fldCharType="end"/>
      </w:r>
      <w:r>
        <w:rPr>
          <w:rFonts w:ascii="Times New Roman" w:hAnsi="Times New Roman" w:cs="Times New Roman"/>
        </w:rPr>
        <w:t xml:space="preserve">. Underwood “tease[s] out the elided social-scientific genealogy behind distant reading”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&lt;citation&gt;&lt;priority&gt;3&lt;/priority&gt;&lt;uuid&gt;0A95D82C-A96B-4AAE-858A-B6257E1584F1&lt;/uuid&gt;&lt;publications&gt;&lt;publication&gt;&lt;subtype&gt;400&lt;/subtype&gt;&lt;title&gt;A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(Underwood)</w:t>
      </w:r>
      <w:r w:rsidR="008335DF">
        <w:rPr>
          <w:rFonts w:ascii="Times New Roman" w:hAnsi="Times New Roman" w:cs="Times New Roman"/>
        </w:rPr>
        <w:fldChar w:fldCharType="end"/>
      </w:r>
      <w:r>
        <w:rPr>
          <w:rFonts w:ascii="Times New Roman" w:hAnsi="Times New Roman" w:cs="Times New Roman"/>
        </w:rPr>
        <w:t xml:space="preserve"> to argue that the term “[d]istant reading was not coined to describe a radically new method. The first occurrence of the phrase, in [Franco Moretti’s] ’Conjectures on World Literature,’ seems in fact to describe the familiar scholarly activity </w:t>
      </w:r>
      <w:r>
        <w:rPr>
          <w:rFonts w:ascii="Times New Roman" w:hAnsi="Times New Roman" w:cs="Times New Roman"/>
        </w:rPr>
        <w:t xml:space="preserve">of aggregating and summarizing previous research”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&lt;citation&gt;&lt;priority&gt;4&lt;/priority&gt;&lt;uuid&gt;BA44783C-F2F0-402E-AA16-5278D97A8CE7&lt;/uuid&gt;&lt;publications&gt;&lt;publication&gt;&lt;subtype&gt;400&lt;/subtype&gt;&lt;title&gt;A Genealogy of Distant Reading &lt;/title&gt;&lt;volume&gt;11&lt;/volume&gt;&lt;publication_date&gt;99201700001200000000200000&lt;/publication_date&gt;&lt;uuid&gt;2AD8FE18-8FC9-42D9-AEF5-4D91DADF4D19&lt;/uuid&gt;&lt;type&gt;400&lt;/type&gt;&lt;number&gt;2&lt;/number&gt;&lt;citekey&gt;Underwood:2017uca&lt;/citekey&gt;&lt;startpage&gt;1&lt;/startpage&gt;&lt;endpage&gt;11&lt;/endpage&gt;&lt;bundle&gt;&lt;publication&gt;&lt;title&gt;Digital Humanities Quarterly&lt;/title&gt;&lt;uuid&gt;8ACC988A-F4B5-4133-B004-91A42F37A852&lt;/uuid&gt;&lt;subtype&gt;-100&lt;/subtype&gt;&lt;type&gt;-100&lt;/type&gt;&lt;/publication&gt;&lt;/bundle&gt;&lt;authors&gt;&lt;author&gt;&lt;lastName&gt;Underwood&lt;/lastName&gt;&lt;firstName&gt;Te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(Underwood)</w:t>
      </w:r>
      <w:r w:rsidR="008335DF">
        <w:rPr>
          <w:rFonts w:ascii="Times New Roman" w:hAnsi="Times New Roman" w:cs="Times New Roman"/>
        </w:rPr>
        <w:fldChar w:fldCharType="end"/>
      </w:r>
      <w:r>
        <w:rPr>
          <w:rFonts w:ascii="Times New Roman" w:hAnsi="Times New Roman" w:cs="Times New Roman"/>
        </w:rPr>
        <w:t>.</w:t>
      </w:r>
    </w:p>
    <w:p w14:paraId="265F8A9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44C4A0C3" w14:textId="77777777" w:rsidR="003975BD"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Rachel Buurma’s history of Josephine Miles adds a specifically computational alternate geneaology for distant reading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&lt;citation&gt;&lt;priority&gt;5&lt;/priority&gt;&lt;uuid&gt;77A47ED3-22BE-488F-BA2E-3E0D47A15977&lt;/uuid&gt;&lt;publications&gt;&lt;publication&gt;&lt;subtype&gt;403&lt;/subtype&gt;&lt;title&gt;Search and Replace: Josephine Miles and the Origins of Distant Reading </w:instrText>
      </w:r>
    </w:p>
    <w:p w14:paraId="3021D89F" w14:textId="58FA76B6" w:rsidR="00000000" w:rsidRDefault="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instrText>&lt;/title&gt;&lt;publication_date&gt;99201804181200000000222000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(Buurma and Heffernan)</w:t>
      </w:r>
      <w:r w:rsidR="008335DF">
        <w:rPr>
          <w:rFonts w:ascii="Times New Roman" w:hAnsi="Times New Roman" w:cs="Times New Roman"/>
        </w:rPr>
        <w:fldChar w:fldCharType="end"/>
      </w:r>
      <w:r w:rsidR="00C67F0E">
        <w:rPr>
          <w:rFonts w:ascii="Times New Roman" w:hAnsi="Times New Roman" w:cs="Times New Roman"/>
        </w:rPr>
        <w:t xml:space="preserve">. Miles is proposed as an alternative not </w:t>
      </w:r>
      <w:r w:rsidR="00C67F0E">
        <w:rPr>
          <w:rFonts w:ascii="Times New Roman" w:hAnsi="Times New Roman" w:cs="Times New Roman"/>
        </w:rPr>
        <w:lastRenderedPageBreak/>
        <w:t>to Moretti, but to Roberto Busa, who is often credited with the first large-scale computational literary study. Miles’ history, briefly, is as follows:</w:t>
      </w:r>
    </w:p>
    <w:p w14:paraId="1D80148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73E934EE" w14:textId="77777777" w:rsidR="003975BD" w:rsidRDefault="00C67F0E">
      <w:pPr>
        <w:pStyle w:val="BlockQuote"/>
        <w:widowControl/>
        <w:rPr>
          <w:rFonts w:ascii="Times New Roman" w:hAnsi="Times New Roman" w:cs="Times New Roman"/>
        </w:rPr>
      </w:pPr>
      <w:r>
        <w:rPr>
          <w:rFonts w:ascii="Times New Roman" w:hAnsi="Times New Roman" w:cs="Times New Roman"/>
        </w:rPr>
        <w:t>In the 1930s, as a graduate student at Berkeley, she complete</w:t>
      </w:r>
      <w:r>
        <w:rPr>
          <w:rFonts w:ascii="Times New Roman" w:hAnsi="Times New Roman" w:cs="Times New Roman"/>
        </w:rPr>
        <w:t xml:space="preserve">d her first distant reading project: an analysis of the adjectives favored by Romantic poets. In the 1940s, with the aid of a Guggenheim, she expanded this work into a large-scale study of the phrasal forms of the poetry of the 1640s, 1740s, and 1840s. In </w:t>
      </w:r>
      <w:r>
        <w:rPr>
          <w:rFonts w:ascii="Times New Roman" w:hAnsi="Times New Roman" w:cs="Times New Roman"/>
        </w:rPr>
        <w:t>all of this distant reading work, Miles created her tabulations by hand, with pen and graph paper. She also directed possibly the first literary concordance to use machine methods. In the early 1950s, Miles became project director of an abandoned index-car</w:t>
      </w:r>
      <w:r>
        <w:rPr>
          <w:rFonts w:ascii="Times New Roman" w:hAnsi="Times New Roman" w:cs="Times New Roman"/>
        </w:rPr>
        <w:t xml:space="preserve">d-based Concordance to the Poetical Works of John Dryden. Partnering with the Electrical Engineering department at Berkeley, and contracting with their computer lab and its IBM tabulation machine, Miles used machine methods to complete the concordance. It </w:t>
      </w:r>
      <w:r>
        <w:rPr>
          <w:rFonts w:ascii="Times New Roman" w:hAnsi="Times New Roman" w:cs="Times New Roman"/>
        </w:rPr>
        <w:t>was published in 1957, six years after she and several woman graduate students and woman punch-card operators began the work. It was thus begun around the time that Busa circulated early proof-of-concept drafts of his concordance to the complete works of S</w:t>
      </w:r>
      <w:r>
        <w:rPr>
          <w:rFonts w:ascii="Times New Roman" w:hAnsi="Times New Roman" w:cs="Times New Roman"/>
        </w:rPr>
        <w:t xml:space="preserve">t. Thomas Aquinas, and published 17 years before the first volumes of the 56-volume Index Thomasticus began to appear.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&lt;citation&gt;&lt;priority&gt;6&lt;/priority&gt;&lt;uuid&gt;4927AC5F-C8E5-4BC5-8F86-F46B7703BFB5&lt;/uuid&gt;&lt;publications&gt;&lt;publication&gt;&lt;subtype&gt;403&lt;/subtype&gt;&lt;title&gt;Search and Replace: Josephine Miles and the Origins of Distant Reading </w:instrText>
      </w:r>
    </w:p>
    <w:p w14:paraId="746475B7" w14:textId="6E7D04AE" w:rsidR="00000000" w:rsidRDefault="003975BD">
      <w:pPr>
        <w:pStyle w:val="BlockQuote"/>
        <w:widowControl/>
        <w:rPr>
          <w:rFonts w:ascii="Times New Roman" w:hAnsi="Times New Roman" w:cs="Times New Roman"/>
        </w:rPr>
      </w:pPr>
      <w:r>
        <w:rPr>
          <w:rFonts w:ascii="Times New Roman" w:hAnsi="Times New Roman" w:cs="Times New Roman"/>
        </w:rPr>
        <w:instrText>&lt;/title&gt;&lt;publication_date&gt;99201804181200000000222000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(Buurma and Heffernan)</w:t>
      </w:r>
      <w:r w:rsidR="008335DF">
        <w:rPr>
          <w:rFonts w:ascii="Times New Roman" w:hAnsi="Times New Roman" w:cs="Times New Roman"/>
        </w:rPr>
        <w:fldChar w:fldCharType="end"/>
      </w:r>
    </w:p>
    <w:p w14:paraId="4D04D960" w14:textId="77777777" w:rsidR="00000000" w:rsidRDefault="00C67F0E">
      <w:pPr>
        <w:pStyle w:val="BlockQuote"/>
        <w:widowControl/>
        <w:rPr>
          <w:rFonts w:ascii="Times New Roman" w:hAnsi="Times New Roman" w:cs="Times New Roman"/>
        </w:rPr>
      </w:pPr>
    </w:p>
    <w:p w14:paraId="2AB5E3A6" w14:textId="77777777" w:rsidR="003975BD"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Buurma brings Miles’ history to our attention not simply because Miles predates Busa, as a correction of a minor ma</w:t>
      </w:r>
      <w:r>
        <w:rPr>
          <w:rFonts w:ascii="Times New Roman" w:hAnsi="Times New Roman" w:cs="Times New Roman"/>
        </w:rPr>
        <w:t>tter of fact.</w:t>
      </w:r>
      <w:r>
        <w:rPr>
          <w:rFonts w:ascii="Times New Roman" w:hAnsi="Times New Roman" w:cs="Times New Roman"/>
          <w:vertAlign w:val="superscript"/>
        </w:rPr>
        <w:footnoteReference w:id="3"/>
      </w:r>
      <w:r>
        <w:rPr>
          <w:rFonts w:ascii="Times New Roman" w:hAnsi="Times New Roman" w:cs="Times New Roman"/>
        </w:rPr>
        <w:t xml:space="preserve"> Rather, Buurma emphasizes, Miles’ origin story for computational literary study “can stand as an example of how we might write a history of literary scholarship that does not center origin</w:t>
      </w:r>
      <w:r>
        <w:rPr>
          <w:rFonts w:ascii="Times New Roman" w:hAnsi="Times New Roman" w:cs="Times New Roman"/>
        </w:rPr>
        <w:t xml:space="preserve">ality and individual accomplishment”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&lt;citation&gt;&lt;priority&gt;8&lt;/priority&gt;&lt;uuid&gt;19BC6367-2A12-4D59-BC98-ADD6A4DB9659&lt;/uuid&gt;&lt;publications&gt;&lt;publication&gt;&lt;subtype&gt;403&lt;/subtype&gt;&lt;title&gt;Search and Replace: Josephine Miles and the Origins of Distant Reading </w:instrText>
      </w:r>
    </w:p>
    <w:p w14:paraId="2B63670E" w14:textId="77777777" w:rsidR="003975BD" w:rsidRDefault="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instrText>&lt;/title&gt;&lt;publication_date&gt;99201804181200000000222000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(Buurma and Heffernan)</w:t>
      </w:r>
      <w:r w:rsidR="008335DF">
        <w:rPr>
          <w:rFonts w:ascii="Times New Roman" w:hAnsi="Times New Roman" w:cs="Times New Roman"/>
        </w:rPr>
        <w:fldChar w:fldCharType="end"/>
      </w:r>
      <w:r w:rsidR="00C67F0E">
        <w:rPr>
          <w:rFonts w:ascii="Times New Roman" w:hAnsi="Times New Roman" w:cs="Times New Roman"/>
        </w:rPr>
        <w:t xml:space="preserve">. Unlike Busa, Miles not only gave authorship to the (female) graduate students who carried out much of the labour of creating the concordances, she also thanked and credited the </w:t>
      </w:r>
      <w:r w:rsidR="00C67F0E">
        <w:rPr>
          <w:rFonts w:ascii="Times New Roman" w:hAnsi="Times New Roman" w:cs="Times New Roman"/>
        </w:rPr>
        <w:lastRenderedPageBreak/>
        <w:t xml:space="preserve">(female) punch card </w:t>
      </w:r>
      <w:r w:rsidR="00C67F0E">
        <w:rPr>
          <w:rFonts w:ascii="Times New Roman" w:hAnsi="Times New Roman" w:cs="Times New Roman"/>
        </w:rPr>
        <w:t>operators who encoded the resulting data.</w:t>
      </w:r>
      <w:r w:rsidR="00C67F0E">
        <w:rPr>
          <w:rFonts w:ascii="Times New Roman" w:hAnsi="Times New Roman" w:cs="Times New Roman"/>
          <w:vertAlign w:val="superscript"/>
        </w:rPr>
        <w:footnoteReference w:id="4"/>
      </w:r>
      <w:r w:rsidR="00C67F0E">
        <w:rPr>
          <w:rFonts w:ascii="Times New Roman" w:hAnsi="Times New Roman" w:cs="Times New Roman"/>
        </w:rPr>
        <w:t xml:space="preserve"> </w:t>
      </w:r>
      <w:bookmarkStart w:id="3" w:name="distant_reading_without_Morett"/>
      <w:r w:rsidR="00C67F0E">
        <w:rPr>
          <w:rFonts w:ascii="Times New Roman" w:hAnsi="Times New Roman" w:cs="Times New Roman"/>
        </w:rPr>
        <w:t>Moreover</w:t>
      </w:r>
      <w:bookmarkEnd w:id="3"/>
      <w:r w:rsidR="00C67F0E">
        <w:rPr>
          <w:rFonts w:ascii="Times New Roman" w:hAnsi="Times New Roman" w:cs="Times New Roman"/>
        </w:rPr>
        <w:t xml:space="preserve">, when talking of Penny Gee, one of the female staff members of the computer lab, </w:t>
      </w:r>
      <w:r w:rsidR="00C67F0E">
        <w:rPr>
          <w:rFonts w:ascii="Times New Roman" w:hAnsi="Times New Roman" w:cs="Times New Roman"/>
        </w:rPr>
        <w:t xml:space="preserve">Miles praises her as “‘very smart and good’ and—most importantly—a true collaborator, as opposed to those ‘IBM people from San Jose’ … ‘I’ve never been able to connect with them,’ Miles explains, ‘though I did with Penny Gee. She really taught me’” </w:t>
      </w:r>
      <w:r w:rsidR="008335DF">
        <w:rPr>
          <w:rFonts w:ascii="Times New Roman" w:hAnsi="Times New Roman" w:cs="Times New Roman"/>
        </w:rPr>
        <w:fldChar w:fldCharType="begin"/>
      </w:r>
      <w:r>
        <w:rPr>
          <w:rFonts w:ascii="Times New Roman" w:hAnsi="Times New Roman" w:cs="Times New Roman"/>
        </w:rPr>
        <w:instrText xml:space="preserve"> ADDIN PAPERS2_CITATIONS &lt;citation&gt;&lt;priority&gt;9&lt;/priority&gt;&lt;uuid&gt;0DF46632-88C5-43E0-A45F-CA0A3DEEE045&lt;/uuid&gt;&lt;publications&gt;&lt;publication&gt;&lt;subtype&gt;403&lt;/subtype&gt;&lt;title&gt;Search and Replace: Josephine Miles and the Origins of Distant Reading </w:instrText>
      </w:r>
    </w:p>
    <w:p w14:paraId="4E6AB111" w14:textId="0C40F7BE" w:rsidR="00000000" w:rsidRDefault="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instrText>&lt;/title&gt;&lt;publication_date&gt;99201804181200000000222000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(Buurma and Heffernan)</w:t>
      </w:r>
      <w:r w:rsidR="008335DF">
        <w:rPr>
          <w:rFonts w:ascii="Times New Roman" w:hAnsi="Times New Roman" w:cs="Times New Roman"/>
        </w:rPr>
        <w:fldChar w:fldCharType="end"/>
      </w:r>
      <w:r w:rsidR="00C67F0E">
        <w:rPr>
          <w:rFonts w:ascii="Times New Roman" w:hAnsi="Times New Roman" w:cs="Times New Roman"/>
        </w:rPr>
        <w:t xml:space="preserve">. Of the positive qualities highlighted here, only one, “smart,” is traditionally valorized among literary critics: to be “good,” a “collaborator,” who can “connect” and “teach” — as I will discuss more fully in section 1.3 when I turn to Eve </w:t>
      </w:r>
      <w:r w:rsidR="00C67F0E">
        <w:rPr>
          <w:rFonts w:ascii="Times New Roman" w:hAnsi="Times New Roman" w:cs="Times New Roman"/>
        </w:rPr>
        <w:t>Sedgwick’s critique of paranoid reading, these qualities are often seen as incompatible with the singular authority of the figure of ‘the critic.’ Miles’ work, too, struggled to find appreciation “among literary critics who viewed her datasets as merely pr</w:t>
      </w:r>
      <w:r w:rsidR="00C67F0E">
        <w:rPr>
          <w:rFonts w:ascii="Times New Roman" w:hAnsi="Times New Roman" w:cs="Times New Roman"/>
        </w:rPr>
        <w:t xml:space="preserve">eparatory to the true work of evaluation” </w:t>
      </w:r>
      <w:r>
        <w:rPr>
          <w:rFonts w:ascii="Times New Roman" w:hAnsi="Times New Roman" w:cs="Times New Roman"/>
        </w:rPr>
        <w:t>(Buurma).</w:t>
      </w:r>
    </w:p>
    <w:p w14:paraId="6E17C6A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12C903E" w14:textId="333459EB"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4" w:name="critiques_of_distant_reading"/>
      <w:r>
        <w:rPr>
          <w:rFonts w:ascii="Times New Roman" w:hAnsi="Times New Roman" w:cs="Times New Roman"/>
        </w:rPr>
        <w:t>Lauren</w:t>
      </w:r>
      <w:bookmarkEnd w:id="4"/>
      <w:r>
        <w:rPr>
          <w:rFonts w:ascii="Times New Roman" w:hAnsi="Times New Roman" w:cs="Times New Roman"/>
        </w:rPr>
        <w:t xml:space="preserve"> Klein’s paper at MLA 2018, “Distant Reading after Moretti,” in </w:t>
      </w:r>
      <w:r>
        <w:rPr>
          <w:rFonts w:ascii="Times New Roman" w:hAnsi="Times New Roman" w:cs="Times New Roman"/>
        </w:rPr>
        <w:t xml:space="preserve">fact poses the turn away from Moretti as an urgent imperative: “what do we do about distant reading, now that we know that Franco Moretti, the man who coined the phrase ‘distant reading,’ and who remains its most famous exemplar, is among the men named as </w:t>
      </w:r>
      <w:r>
        <w:rPr>
          <w:rFonts w:ascii="Times New Roman" w:hAnsi="Times New Roman" w:cs="Times New Roman"/>
        </w:rPr>
        <w:t>a result of the #MeToo movement”</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&lt;citation&gt;&lt;priority&gt;10&lt;/priority&gt;&lt;uuid&gt;79D5DB56-2ED0-468B-BC4D-0139EDA76015&lt;/uuid&gt;&lt;publications&gt;&lt;publication&gt;&lt;subtype&gt;420&lt;/subtype&gt;&lt;title&gt;Distant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(Klein)</w:t>
      </w:r>
      <w:r w:rsidR="008335DF">
        <w:rPr>
          <w:rFonts w:ascii="Times New Roman" w:hAnsi="Times New Roman" w:cs="Times New Roman"/>
        </w:rPr>
        <w:fldChar w:fldCharType="end"/>
      </w:r>
      <w:r>
        <w:rPr>
          <w:rFonts w:ascii="Times New Roman" w:hAnsi="Times New Roman" w:cs="Times New Roman"/>
        </w:rPr>
        <w:t>}? Klein, drawing on Sara Ahmed’s observation that “sexual harassment is a structural, as well as personal problem,” draws together critiques of distant reading’s exclusion of women in terms of its “issues</w:t>
      </w:r>
      <w:r>
        <w:rPr>
          <w:rFonts w:ascii="Times New Roman" w:hAnsi="Times New Roman" w:cs="Times New Roman"/>
        </w:rPr>
        <w:t xml:space="preserve"> of </w:t>
      </w:r>
      <w:r>
        <w:rPr>
          <w:rFonts w:ascii="Times New Roman" w:hAnsi="Times New Roman" w:cs="Times New Roman"/>
          <w:i/>
          <w:iCs/>
        </w:rPr>
        <w:t>representation</w:t>
      </w:r>
      <w:r>
        <w:rPr>
          <w:rFonts w:ascii="Times New Roman" w:hAnsi="Times New Roman" w:cs="Times New Roman"/>
        </w:rPr>
        <w:t xml:space="preserve"> in the field,” its “unduly masculinized </w:t>
      </w:r>
      <w:r>
        <w:rPr>
          <w:rFonts w:ascii="Times New Roman" w:hAnsi="Times New Roman" w:cs="Times New Roman"/>
          <w:i/>
          <w:iCs/>
        </w:rPr>
        <w:t>rhetorical</w:t>
      </w:r>
      <w:r>
        <w:rPr>
          <w:rFonts w:ascii="Times New Roman" w:hAnsi="Times New Roman" w:cs="Times New Roman"/>
        </w:rPr>
        <w:t xml:space="preserve"> positioning,” its “failure to engage with the </w:t>
      </w:r>
      <w:r>
        <w:rPr>
          <w:rFonts w:ascii="Times New Roman" w:hAnsi="Times New Roman" w:cs="Times New Roman"/>
          <w:i/>
          <w:iCs/>
        </w:rPr>
        <w:t>conceptual</w:t>
      </w:r>
      <w:r>
        <w:rPr>
          <w:rFonts w:ascii="Times New Roman" w:hAnsi="Times New Roman" w:cs="Times New Roman"/>
        </w:rPr>
        <w:t xml:space="preserve"> issues that relate to women,” and the “actual computational </w:t>
      </w:r>
      <w:r>
        <w:rPr>
          <w:rFonts w:ascii="Times New Roman" w:hAnsi="Times New Roman" w:cs="Times New Roman"/>
          <w:i/>
          <w:iCs/>
        </w:rPr>
        <w:t>models</w:t>
      </w:r>
      <w:r>
        <w:rPr>
          <w:rFonts w:ascii="Times New Roman" w:hAnsi="Times New Roman" w:cs="Times New Roman"/>
        </w:rPr>
        <w:t xml:space="preserve"> of gender that are often deployed”</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&lt;citation&gt;&lt;priority&gt;11&lt;/priority&gt;&lt;uuid&gt;2CF8CFEB-1254-4F00-B27B-05649C8E6C25&lt;/uuid&gt;&lt;publications&gt;&lt;publication&gt;&lt;subtype&gt;420&lt;/subtype&gt;&lt;title&gt;Distant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(Klein)</w:t>
      </w:r>
      <w:r w:rsidR="008335DF">
        <w:rPr>
          <w:rFonts w:ascii="Times New Roman" w:hAnsi="Times New Roman" w:cs="Times New Roman"/>
        </w:rPr>
        <w:fldChar w:fldCharType="end"/>
      </w:r>
      <w:r>
        <w:rPr>
          <w:rFonts w:ascii="Times New Roman" w:hAnsi="Times New Roman" w:cs="Times New Roman"/>
        </w:rPr>
        <w:t>. All of</w:t>
      </w:r>
      <w:r>
        <w:rPr>
          <w:rFonts w:ascii="Times New Roman" w:hAnsi="Times New Roman" w:cs="Times New Roman"/>
        </w:rPr>
        <w:t xml:space="preserve"> these critiques of </w:t>
      </w:r>
      <w:r>
        <w:rPr>
          <w:rFonts w:ascii="Times New Roman" w:hAnsi="Times New Roman" w:cs="Times New Roman"/>
        </w:rPr>
        <w:lastRenderedPageBreak/>
        <w:t xml:space="preserve">distant reading, Klein argues, show that “it’s not a </w:t>
      </w:r>
      <w:r>
        <w:rPr>
          <w:rFonts w:ascii="Times New Roman" w:hAnsi="Times New Roman" w:cs="Times New Roman"/>
          <w:i/>
          <w:iCs/>
        </w:rPr>
        <w:t>coincidence</w:t>
      </w:r>
      <w:r>
        <w:rPr>
          <w:rFonts w:ascii="Times New Roman" w:hAnsi="Times New Roman" w:cs="Times New Roman"/>
        </w:rPr>
        <w:t xml:space="preserve"> that distant reading does not deal well with gender, or with sexuality, or with race,” but also that these failings are not inevitable: “it’s not that distant reading </w:t>
      </w:r>
      <w:r>
        <w:rPr>
          <w:rFonts w:ascii="Times New Roman" w:hAnsi="Times New Roman" w:cs="Times New Roman"/>
          <w:i/>
          <w:iCs/>
        </w:rPr>
        <w:t>can’</w:t>
      </w:r>
      <w:r>
        <w:rPr>
          <w:rFonts w:ascii="Times New Roman" w:hAnsi="Times New Roman" w:cs="Times New Roman"/>
          <w:i/>
          <w:iCs/>
        </w:rPr>
        <w:t>t</w:t>
      </w:r>
      <w:r>
        <w:rPr>
          <w:rFonts w:ascii="Times New Roman" w:hAnsi="Times New Roman" w:cs="Times New Roman"/>
        </w:rPr>
        <w:t xml:space="preserve"> do this work,” she insists, “it’s that it’s yet to sufficiently do so”</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&lt;citation&gt;&lt;priority&gt;12&lt;/priority&gt;&lt;uuid&gt;58F756FD-C292-4100-9CB4-4B0D42EC8D9E&lt;/uuid&gt;&lt;publications&gt;&lt;publication&gt;&lt;subtype&gt;420&lt;/subtype&gt;&lt;title&gt;Distant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(Klein)</w:t>
      </w:r>
      <w:r w:rsidR="008335DF">
        <w:rPr>
          <w:rFonts w:ascii="Times New Roman" w:hAnsi="Times New Roman" w:cs="Times New Roman"/>
        </w:rPr>
        <w:fldChar w:fldCharType="end"/>
      </w:r>
      <w:r>
        <w:rPr>
          <w:rFonts w:ascii="Times New Roman" w:hAnsi="Times New Roman" w:cs="Times New Roman"/>
        </w:rPr>
        <w:t>}.</w:t>
      </w:r>
    </w:p>
    <w:p w14:paraId="45A66E5E"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CE4EFCE" w14:textId="4263C509" w:rsidR="00000000" w:rsidRDefault="00C67F0E" w:rsidP="007752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Klein’s prescription for change is not dissimilar to Katherine Bode’s somewhat earlier call for “a new object for data-rich literary history”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&lt;citation&gt;&lt;priority&gt;13&lt;/priority&gt;&lt;uuid&gt;CD9E71BA-2450-4B2A-A302-C195D79E109E&lt;/uuid&gt;&lt;publications&gt;&lt;publication&gt;&lt;subtype&gt;400&lt;/subtype&gt;&lt;title&gt;The equivalence of “close” and “distant” reading; or, toward a new object for Data-Rich literary history&lt;/title&gt;&lt;url&gt;https://read.dukeupress.edu/modern-language-quarterly/article/78/1/77-106/19924&lt;/url&gt;&lt;volume&gt;78&lt;/volume&gt;&lt;publication_date&gt;99201701311200000000222000&lt;/publication_date&gt;&lt;uuid&gt;7307AD69-15EA-4447-B1A2-C87C589905E2&lt;/uuid&gt;&lt;type&gt;400&lt;/type&gt;&lt;number&gt;1&lt;/number&gt;&lt;citekey&gt;Bode:2017ut&lt;/citekey&gt;&lt;doi&gt;10.1215/00267929-3699787&lt;/doi&gt;&lt;startpage&gt;77&lt;/startpage&gt;&lt;endpage&gt;106&lt;/endpage&gt;&lt;bundle&gt;&lt;publication&gt;&lt;title&gt;Modern Language Quarterly&lt;/title&gt;&lt;uuid&gt;DBC4B344-50CF-462F-BBED-2863506CD8E9&lt;/uuid&gt;&lt;subtype&gt;-100&lt;/subtype&gt;&lt;type&gt;-100&lt;/type&gt;&lt;/publication&gt;&lt;/bundle&gt;&lt;authors&gt;&lt;author&gt;&lt;lastName&gt;Bode&lt;/lastName&gt;&lt;firstName&gt;Katherine&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(Bode)</w:t>
      </w:r>
      <w:r w:rsidR="003975BD">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Klein calls for “more corpora—more accessible corpora—that perform the work of recovery or resistance” to allow research “beyond quote ‘representative’ samples, which tend to reproduce the same inequities of representation that affect our cultural record </w:t>
      </w:r>
      <w:r>
        <w:rPr>
          <w:rFonts w:ascii="Times New Roman" w:hAnsi="Times New Roman" w:cs="Times New Roman"/>
        </w:rPr>
        <w:t>as a whole”</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&lt;citation&gt;&lt;priority&gt;13&lt;/priority&gt;&lt;uuid&gt;04EFF8E5-7AE4-4B69-95E5-F11B8225F794&lt;/uuid&gt;&lt;publications&gt;&lt;publication&gt;&lt;subtype&gt;420&lt;/subtype&gt;&lt;title&gt;Distant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(Klein)</w:t>
      </w:r>
      <w:r w:rsidR="008335DF">
        <w:rPr>
          <w:rFonts w:ascii="Times New Roman" w:hAnsi="Times New Roman" w:cs="Times New Roman"/>
        </w:rPr>
        <w:fldChar w:fldCharType="end"/>
      </w:r>
      <w:r>
        <w:rPr>
          <w:rFonts w:ascii="Times New Roman" w:hAnsi="Times New Roman" w:cs="Times New Roman"/>
        </w:rPr>
        <w:t xml:space="preserve">. Klein also suggests a change in how models are formed: “We also need to rethink how we formulate our models. Instead of first asking what </w:t>
      </w:r>
      <w:r>
        <w:rPr>
          <w:rFonts w:ascii="Times New Roman" w:hAnsi="Times New Roman" w:cs="Times New Roman"/>
          <w:i/>
          <w:iCs/>
        </w:rPr>
        <w:t>can</w:t>
      </w:r>
      <w:r>
        <w:rPr>
          <w:rFonts w:ascii="Times New Roman" w:hAnsi="Times New Roman" w:cs="Times New Roman"/>
        </w:rPr>
        <w:t xml:space="preserve"> be modeled—what phenomena we can track at scale—we might instead ask: what might </w:t>
      </w:r>
      <w:r>
        <w:rPr>
          <w:rFonts w:ascii="Times New Roman" w:hAnsi="Times New Roman" w:cs="Times New Roman"/>
        </w:rPr>
        <w:t xml:space="preserve">be </w:t>
      </w:r>
      <w:r>
        <w:rPr>
          <w:rFonts w:ascii="Times New Roman" w:hAnsi="Times New Roman" w:cs="Times New Roman"/>
          <w:i/>
          <w:iCs/>
        </w:rPr>
        <w:t>hidden</w:t>
      </w:r>
      <w:r>
        <w:rPr>
          <w:rFonts w:ascii="Times New Roman" w:hAnsi="Times New Roman" w:cs="Times New Roman"/>
        </w:rPr>
        <w:t xml:space="preserve"> in this corpus? And are there methods we might use to bring out significant texts, or clusters of words, that the eye cannot see?”</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&lt;citation&gt;&lt;priority&gt;14&lt;/priority&gt;&lt;uuid&gt;917B5789-419C-48B1-98CE-1E62F48F41CF&lt;/uuid&gt;&lt;publications&gt;&lt;publication&gt;&lt;subtype&gt;420&lt;/subtype&gt;&lt;title&gt;Distant Reading after Moretti&lt;/title&gt;&lt;publication_date&gt;99201800001200000000200000&lt;/publication_date&gt;&lt;uuid&gt;D65E01B3-A295-4A58-BBE1-7813FA108FE9&lt;/uuid&gt;&lt;type&gt;400&lt;/type&gt;&lt;citekey&gt;Klein:2018to&lt;/citekey&gt;&lt;startpage&gt;1&lt;/startpage&gt;&lt;endpage&gt;4&lt;/endpage&gt;&lt;bundle&gt;&lt;publication&gt;&lt;title&gt;MLA&lt;/title&gt;&lt;uuid&gt;7DFEA623-7A94-4511-B474-73C63EDD0E52&lt;/uuid&gt;&lt;subtype&gt;-200&lt;/subtype&gt;&lt;type&gt;-200&lt;/type&gt;&lt;/publication&gt;&lt;/bundle&gt;&lt;authors&gt;&lt;author&gt;&lt;lastName&gt;Klein&lt;/lastName&gt;&lt;firstName&gt;Laure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(Klein)</w:t>
      </w:r>
      <w:r w:rsidR="008335DF">
        <w:rPr>
          <w:rFonts w:ascii="Times New Roman" w:hAnsi="Times New Roman" w:cs="Times New Roman"/>
        </w:rPr>
        <w:fldChar w:fldCharType="end"/>
      </w:r>
      <w:r>
        <w:rPr>
          <w:rFonts w:ascii="Times New Roman" w:hAnsi="Times New Roman" w:cs="Times New Roman"/>
        </w:rPr>
        <w:t>. Bode, too, despite her strong critique of distant reading as Moretti and Matthew Jockers</w:t>
      </w:r>
      <w:r>
        <w:rPr>
          <w:rFonts w:ascii="Times New Roman" w:hAnsi="Times New Roman" w:cs="Times New Roman"/>
          <w:vertAlign w:val="superscript"/>
        </w:rPr>
        <w:footnoteReference w:id="5"/>
      </w:r>
      <w:r>
        <w:rPr>
          <w:rFonts w:ascii="Times New Roman" w:hAnsi="Times New Roman" w:cs="Times New Roman"/>
        </w:rPr>
        <w:t xml:space="preserve"> </w:t>
      </w:r>
      <w:bookmarkStart w:id="5" w:name="prescription"/>
      <w:r>
        <w:rPr>
          <w:rFonts w:ascii="Times New Roman" w:hAnsi="Times New Roman" w:cs="Times New Roman"/>
        </w:rPr>
        <w:t>have</w:t>
      </w:r>
      <w:bookmarkEnd w:id="5"/>
      <w:r>
        <w:rPr>
          <w:rFonts w:ascii="Times New Roman" w:hAnsi="Times New Roman" w:cs="Times New Roman"/>
        </w:rPr>
        <w:t xml:space="preserve"> conducted it, does not blame distant reading itself. Moretti and Jockers, she argues, “while claiming direct and objective access to ‘everything,’ … represent and explore only a very limited proportion of the literary system, and do so in an ab</w:t>
      </w:r>
      <w:r>
        <w:rPr>
          <w:rFonts w:ascii="Times New Roman" w:hAnsi="Times New Roman" w:cs="Times New Roman"/>
        </w:rPr>
        <w:t>stract and ahistorical way”</w:t>
      </w:r>
      <w:r w:rsidR="007752B5">
        <w:rPr>
          <w:rFonts w:ascii="Times New Roman" w:hAnsi="Times New Roman" w:cs="Times New Roman"/>
        </w:rPr>
        <w:t xml:space="preserve">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&lt;citation&gt;&lt;priority&gt;16&lt;/priority&gt;&lt;uuid&gt;A7F530B7-F7B2-4110-A8F8-C7C0B495CE7B&lt;/uuid&gt;&lt;publications&gt;&lt;publication&gt;&lt;subtype&gt;400&lt;/subtype&gt;&lt;title&gt;The equivalence of “close” and “distant” reading; or, toward a new object for Data-Rich literary history&lt;/title&gt;&lt;url&gt;https://read.dukeupress.edu/modern-language-quarterly/article/78/1/77-106/19924&lt;/url&gt;&lt;volume&gt;78&lt;/volume&gt;&lt;publication_date&gt;99201701311200000000222000&lt;/publication_date&gt;&lt;uuid&gt;7307AD69-15EA-4447-B1A2-C87C589905E2&lt;/uuid&gt;&lt;type&gt;400&lt;/type&gt;&lt;number&gt;1&lt;/number&gt;&lt;citekey&gt;Bode:2017ut&lt;/citekey&gt;&lt;doi&gt;10.1215/00267929-3699787&lt;/doi&gt;&lt;startpage&gt;77&lt;/startpage&gt;&lt;endpage&gt;106&lt;/endpage&gt;&lt;bundle&gt;&lt;publication&gt;&lt;title&gt;Modern Language Quarterly&lt;/title&gt;&lt;uuid&gt;DBC4B344-50CF-462F-BBED-2863506CD8E9&lt;/uuid&gt;&lt;subtype&gt;-100&lt;/subtype&gt;&lt;type&gt;-100&lt;/type&gt;&lt;/publication&gt;&lt;/bundle&gt;&lt;authors&gt;&lt;author&gt;&lt;lastName&gt;Bode&lt;/lastName&gt;&lt;firstName&gt;Katherine&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(Bode)</w:t>
      </w:r>
      <w:r w:rsidR="003975BD">
        <w:rPr>
          <w:rFonts w:ascii="Times New Roman" w:hAnsi="Times New Roman" w:cs="Times New Roman"/>
        </w:rPr>
        <w:fldChar w:fldCharType="end"/>
      </w:r>
      <w:r>
        <w:rPr>
          <w:rFonts w:ascii="Times New Roman" w:hAnsi="Times New Roman" w:cs="Times New Roman"/>
        </w:rPr>
        <w:t>. The many criticisms which Klein compiles, Bode argues, “describe the symptoms – not the essence – of a problem, which in fact inheres in Moretti’s and Jockers’s common neglect of […] the bibliographical and e</w:t>
      </w:r>
      <w:r>
        <w:rPr>
          <w:rFonts w:ascii="Times New Roman" w:hAnsi="Times New Roman" w:cs="Times New Roman"/>
        </w:rPr>
        <w:t xml:space="preserve">ditorial approaches that </w:t>
      </w:r>
      <w:r>
        <w:rPr>
          <w:rFonts w:ascii="Times New Roman" w:hAnsi="Times New Roman" w:cs="Times New Roman"/>
        </w:rPr>
        <w:lastRenderedPageBreak/>
        <w:t xml:space="preserve">explore and explicate the literary-historical record,” a neglect which is itself “not an effect of importing data into literary history but is inherited from the New Criticism”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&lt;citation&gt;&lt;priority&gt;17&lt;/priority&gt;&lt;uuid&gt;EC08FA12-5014-473B-A87E-9174DA12C012&lt;/uuid&gt;&lt;publications&gt;&lt;publication&gt;&lt;subtype&gt;400&lt;/subtype&gt;&lt;title&gt;The equivalence of “close” and “distant” reading; or, toward a new object for Data-Rich literary history&lt;/title&gt;&lt;url&gt;https://read.dukeupress.edu/modern-language-quarterly/article/78/1/77-106/19924&lt;/url&gt;&lt;volume&gt;78&lt;/volume&gt;&lt;publication_date&gt;99201701311200000000222000&lt;/publication_date&gt;&lt;uuid&gt;7307AD69-15EA-4447-B1A2-C87C589905E2&lt;/uuid&gt;&lt;type&gt;400&lt;/type&gt;&lt;number&gt;1&lt;/number&gt;&lt;citekey&gt;Bode:2017ut&lt;/citekey&gt;&lt;doi&gt;10.1215/00267929-3699787&lt;/doi&gt;&lt;startpage&gt;77&lt;/startpage&gt;&lt;endpage&gt;106&lt;/endpage&gt;&lt;bundle&gt;&lt;publication&gt;&lt;title&gt;Modern Language Quarterly&lt;/title&gt;&lt;uuid&gt;DBC4B344-50CF-462F-BBED-2863506CD8E9&lt;/uuid&gt;&lt;subtype&gt;-100&lt;/subtype&gt;&lt;type&gt;-100&lt;/type&gt;&lt;/publication&gt;&lt;/bundle&gt;&lt;authors&gt;&lt;author&gt;&lt;lastName&gt;Bode&lt;/lastName&gt;&lt;firstName&gt;Katherine&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(Bode)</w:t>
      </w:r>
      <w:r w:rsidR="003975BD">
        <w:rPr>
          <w:rFonts w:ascii="Times New Roman" w:hAnsi="Times New Roman" w:cs="Times New Roman"/>
        </w:rPr>
        <w:fldChar w:fldCharType="end"/>
      </w:r>
      <w:r>
        <w:rPr>
          <w:rFonts w:ascii="Times New Roman" w:hAnsi="Times New Roman" w:cs="Times New Roman"/>
        </w:rPr>
        <w:t xml:space="preserve">. Bode proposes, as an alternative, </w:t>
      </w:r>
      <w:r>
        <w:rPr>
          <w:rFonts w:ascii="Times New Roman" w:hAnsi="Times New Roman" w:cs="Times New Roman"/>
        </w:rPr>
        <w:t>the creation of scholarly editions of literary systems, which would not only create new, nuanced corpora and models, but would transparently explain those corpora and models as intentionally-crafted expressions of the particular literary system they are be</w:t>
      </w:r>
      <w:r>
        <w:rPr>
          <w:rFonts w:ascii="Times New Roman" w:hAnsi="Times New Roman" w:cs="Times New Roman"/>
        </w:rPr>
        <w:t>ing used to explore.</w:t>
      </w:r>
    </w:p>
    <w:p w14:paraId="15D07BA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7A241931"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6" w:name="my_methods"/>
      <w:r>
        <w:rPr>
          <w:rFonts w:ascii="Times New Roman" w:hAnsi="Times New Roman" w:cs="Times New Roman"/>
        </w:rPr>
        <w:t>This</w:t>
      </w:r>
      <w:bookmarkEnd w:id="6"/>
      <w:r>
        <w:rPr>
          <w:rFonts w:ascii="Times New Roman" w:hAnsi="Times New Roman" w:cs="Times New Roman"/>
        </w:rPr>
        <w:t xml:space="preserve"> dissertation undertakes computational distant reading. My questions are macroanalytical, and my research proceeds from hypothesis through experiment and results. At every possible point, however, the underlyin</w:t>
      </w:r>
      <w:r>
        <w:rPr>
          <w:rFonts w:ascii="Times New Roman" w:hAnsi="Times New Roman" w:cs="Times New Roman"/>
        </w:rPr>
        <w:t>g methodology will be made visible, and its assumptions scrutinized. Much of the code underlying this project I have written myself. Some has been written at my request. In every case where the code is available to me, the program itself appears in Appendi</w:t>
      </w:r>
      <w:r>
        <w:rPr>
          <w:rFonts w:ascii="Times New Roman" w:hAnsi="Times New Roman" w:cs="Times New Roman"/>
        </w:rPr>
        <w:t xml:space="preserve">x A (“Codebase”), accompanied by a plain-language explanation of how it operates. Where I have used closed-source software, Appendix A contains an explanation of my best guess at its underlying process. My exact use of these tools — sufficient for another </w:t>
      </w:r>
      <w:r>
        <w:rPr>
          <w:rFonts w:ascii="Times New Roman" w:hAnsi="Times New Roman" w:cs="Times New Roman"/>
        </w:rPr>
        <w:t xml:space="preserve">to replicate my work — is provided in Appendix B (“Methodology”). These details are explicated in full in the appendices in order not to over-burden the body of the dissertation, but they are by no means </w:t>
      </w:r>
      <w:r>
        <w:rPr>
          <w:rFonts w:ascii="Times New Roman" w:hAnsi="Times New Roman" w:cs="Times New Roman"/>
          <w:i/>
          <w:iCs/>
        </w:rPr>
        <w:t>confined</w:t>
      </w:r>
      <w:r>
        <w:rPr>
          <w:rFonts w:ascii="Times New Roman" w:hAnsi="Times New Roman" w:cs="Times New Roman"/>
        </w:rPr>
        <w:t xml:space="preserve"> to the appendices. Computation is not a “bl</w:t>
      </w:r>
      <w:r>
        <w:rPr>
          <w:rFonts w:ascii="Times New Roman" w:hAnsi="Times New Roman" w:cs="Times New Roman"/>
        </w:rPr>
        <w:t>ack box” to be consulted for simple answers, but an inextricable from my reasoning and argument.</w:t>
      </w:r>
    </w:p>
    <w:p w14:paraId="55E76C1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A2B12AA" w14:textId="2596A48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My attention to the </w:t>
      </w:r>
      <w:r>
        <w:rPr>
          <w:rFonts w:ascii="Times New Roman" w:hAnsi="Times New Roman" w:cs="Times New Roman"/>
          <w:i/>
          <w:iCs/>
        </w:rPr>
        <w:t>sources</w:t>
      </w:r>
      <w:r>
        <w:rPr>
          <w:rFonts w:ascii="Times New Roman" w:hAnsi="Times New Roman" w:cs="Times New Roman"/>
        </w:rPr>
        <w:t xml:space="preserve"> of digital knowledge creation comes from Johanna Drucker, and her distinction between “data” and “capta.” Drucker, in “Humanities </w:t>
      </w:r>
      <w:r>
        <w:rPr>
          <w:rFonts w:ascii="Times New Roman" w:hAnsi="Times New Roman" w:cs="Times New Roman"/>
        </w:rPr>
        <w:t>Approaches to Graphical Display,” specifically addresses the digital humanities practice of creating, and then close-</w:t>
      </w:r>
      <w:r>
        <w:rPr>
          <w:rFonts w:ascii="Times New Roman" w:hAnsi="Times New Roman" w:cs="Times New Roman"/>
        </w:rPr>
        <w:lastRenderedPageBreak/>
        <w:t>reading, data visualizations. She argues that the tools for visual representation which may be effective in the sciences cannot be simply a</w:t>
      </w:r>
      <w:r>
        <w:rPr>
          <w:rFonts w:ascii="Times New Roman" w:hAnsi="Times New Roman" w:cs="Times New Roman"/>
        </w:rPr>
        <w:t xml:space="preserve">nd uncritically transposed to humanistic subject matter. When an experiment is presented as a ‘data visualization,’ she says, “the rendering of statistical information into graphical form gives it a simplicity and legibility that hides every aspect of the </w:t>
      </w:r>
      <w:r>
        <w:rPr>
          <w:rFonts w:ascii="Times New Roman" w:hAnsi="Times New Roman" w:cs="Times New Roman"/>
        </w:rPr>
        <w:t>original interpretative framework”</w:t>
      </w:r>
      <w:r w:rsidR="007752B5">
        <w:rPr>
          <w:rFonts w:ascii="Times New Roman" w:hAnsi="Times New Roman" w:cs="Times New Roman"/>
        </w:rPr>
        <w:t xml:space="preserve">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&lt;citation&gt;&lt;priority&gt;18&lt;/priority&gt;&lt;uuid&gt;8FEC9CAD-06D8-4EBC-8A62-2FC9215CA771&lt;/uuid&gt;&lt;publications&gt;&lt;publication&gt;&lt;subtype&gt;400&lt;/subtype&gt;&lt;title&gt;Humanities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(Drucker)</w:t>
      </w:r>
      <w:r w:rsidR="003975BD">
        <w:rPr>
          <w:rFonts w:ascii="Times New Roman" w:hAnsi="Times New Roman" w:cs="Times New Roman"/>
        </w:rPr>
        <w:fldChar w:fldCharType="end"/>
      </w:r>
      <w:r>
        <w:rPr>
          <w:rFonts w:ascii="Times New Roman" w:hAnsi="Times New Roman" w:cs="Times New Roman"/>
        </w:rPr>
        <w:t>. In fields where the readers of such charts are also frequent creators of charts, and where norms exist to explicitly describe one’s interpretive frameworks in a methodology section, the simplici</w:t>
      </w:r>
      <w:r>
        <w:rPr>
          <w:rFonts w:ascii="Times New Roman" w:hAnsi="Times New Roman" w:cs="Times New Roman"/>
        </w:rPr>
        <w:t>ty and legibility of an individual chart may be a benefit which does not impede complex scrutiny of the information it presents.</w:t>
      </w:r>
      <w:r>
        <w:rPr>
          <w:rFonts w:ascii="Times New Roman" w:hAnsi="Times New Roman" w:cs="Times New Roman"/>
          <w:vertAlign w:val="superscript"/>
        </w:rPr>
        <w:footnoteReference w:id="6"/>
      </w:r>
      <w:r>
        <w:rPr>
          <w:rFonts w:ascii="Times New Roman" w:hAnsi="Times New Roman" w:cs="Times New Roman"/>
        </w:rPr>
        <w:t xml:space="preserve"> </w:t>
      </w:r>
      <w:bookmarkStart w:id="7" w:name="capta"/>
      <w:r>
        <w:rPr>
          <w:rFonts w:ascii="Times New Roman" w:hAnsi="Times New Roman" w:cs="Times New Roman"/>
        </w:rPr>
        <w:t>In</w:t>
      </w:r>
      <w:bookmarkEnd w:id="7"/>
      <w:r>
        <w:rPr>
          <w:rFonts w:ascii="Times New Roman" w:hAnsi="Times New Roman" w:cs="Times New Roman"/>
        </w:rPr>
        <w:t xml:space="preserve"> a field like literature, however, the “graphical force” of something like a network graph or even a simple pie chart “conceals what the statistician knows very well — that no ‘data’ preexist their parame</w:t>
      </w:r>
      <w:r w:rsidR="007752B5">
        <w:rPr>
          <w:rFonts w:ascii="Times New Roman" w:hAnsi="Times New Roman" w:cs="Times New Roman"/>
        </w:rPr>
        <w:t xml:space="preserve">terization”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&lt;citation&gt;&lt;priority&gt;19&lt;/priority&gt;&lt;uuid&gt;285D87E6-397E-4132-827C-F90052491E05&lt;/uuid&gt;&lt;publications&gt;&lt;publication&gt;&lt;subtype&gt;400&lt;/subtype&gt;&lt;title&gt;Humanities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(Drucker)</w:t>
      </w:r>
      <w:r w:rsidR="003975BD">
        <w:rPr>
          <w:rFonts w:ascii="Times New Roman" w:hAnsi="Times New Roman" w:cs="Times New Roman"/>
        </w:rPr>
        <w:fldChar w:fldCharType="end"/>
      </w:r>
      <w:r>
        <w:rPr>
          <w:rFonts w:ascii="Times New Roman" w:hAnsi="Times New Roman" w:cs="Times New Roman"/>
        </w:rPr>
        <w:t>. Drucker pro</w:t>
      </w:r>
      <w:r>
        <w:rPr>
          <w:rFonts w:ascii="Times New Roman" w:hAnsi="Times New Roman" w:cs="Times New Roman"/>
        </w:rPr>
        <w:t xml:space="preserve">blematizes the term “data,” the etymology of which presents it as a “given” which is stable and independent of observation. She proposes that humanities visualizations embrace, instead, the framework of “capta,” that which is “‘taken’ actively”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&lt;citation&gt;&lt;priority&gt;20&lt;/priority&gt;&lt;uuid&gt;6C56464B-1346-47D2-BE18-A2AD89BA8646&lt;/uuid&gt;&lt;publications&gt;&lt;publication&gt;&lt;subtype&gt;400&lt;/subtype&gt;&lt;title&gt;Humanities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(Drucker)</w:t>
      </w:r>
      <w:r w:rsidR="003975BD">
        <w:rPr>
          <w:rFonts w:ascii="Times New Roman" w:hAnsi="Times New Roman" w:cs="Times New Roman"/>
        </w:rPr>
        <w:fldChar w:fldCharType="end"/>
      </w:r>
      <w:r>
        <w:rPr>
          <w:rFonts w:ascii="Times New Roman" w:hAnsi="Times New Roman" w:cs="Times New Roman"/>
        </w:rPr>
        <w:t>, “fundamentally codependent, constituted relationally, between observer and observed</w:t>
      </w:r>
      <w:r w:rsidR="007752B5">
        <w:rPr>
          <w:rFonts w:ascii="Times New Roman" w:hAnsi="Times New Roman" w:cs="Times New Roman"/>
        </w:rPr>
        <w:t xml:space="preserve"> phenomena”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&lt;citation&gt;&lt;priority&gt;21&lt;/priority&gt;&lt;uuid&gt;D1B2BA8F-C176-4A95-B626-F3B03728A5B2&lt;/uuid&gt;&lt;publications&gt;&lt;publication&gt;&lt;subtype&gt;400&lt;/subtype&gt;&lt;title&gt;Humanities Approaches to Graphical Display &lt;/title&gt;&lt;volume&gt;5&lt;/volume&gt;&lt;publication_date&gt;99201100001200000000200000&lt;/publication_date&gt;&lt;uuid&gt;98332D65-9BAA-43BF-BF44-CB869FEEA781&lt;/uuid&gt;&lt;type&gt;400&lt;/type&gt;&lt;number&gt;1&lt;/number&gt;&lt;citekey&gt;Drucker:2011hu&lt;/citekey&gt;&lt;startpage&gt;1&lt;/startpage&gt;&lt;endpage&gt;23&lt;/endpage&gt;&lt;bundle&gt;&lt;publication&gt;&lt;title&gt;Digital Humanities Quarterly&lt;/title&gt;&lt;uuid&gt;8ACC988A-F4B5-4133-B004-91A42F37A852&lt;/uuid&gt;&lt;subtype&gt;-100&lt;/subtype&gt;&lt;type&gt;-100&lt;/type&gt;&lt;/publication&gt;&lt;/bundle&gt;&lt;authors&gt;&lt;author&gt;&lt;lastName&gt;Drucker&lt;/lastName&gt;&lt;firstName&gt;Johanna&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(Drucker)</w:t>
      </w:r>
      <w:r w:rsidR="003975BD">
        <w:rPr>
          <w:rFonts w:ascii="Times New Roman" w:hAnsi="Times New Roman" w:cs="Times New Roman"/>
        </w:rPr>
        <w:fldChar w:fldCharType="end"/>
      </w:r>
      <w:r>
        <w:rPr>
          <w:rFonts w:ascii="Times New Roman" w:hAnsi="Times New Roman" w:cs="Times New Roman"/>
        </w:rPr>
        <w:t>. Drucker’s assessment shapes my own prioritization of qualitative and reflective computational research. The term “cap</w:t>
      </w:r>
      <w:r>
        <w:rPr>
          <w:rFonts w:ascii="Times New Roman" w:hAnsi="Times New Roman" w:cs="Times New Roman"/>
        </w:rPr>
        <w:t>ta” itself has not seen uptake in subsequent digital humanities scholarship, even in cases where scholars explicitly take Drucker’s warnings to heart. Accordingly, for clarity, this dissertation will continue to use the more usual term “data” to refer to t</w:t>
      </w:r>
      <w:r>
        <w:rPr>
          <w:rFonts w:ascii="Times New Roman" w:hAnsi="Times New Roman" w:cs="Times New Roman"/>
        </w:rPr>
        <w:t>he information gathered for analysis here. However, as I integrate and compare a wide variety of data from many disparate sources, a preliminary task of my analysis is always to determine, as precisely as possible, how the information was captured and quan</w:t>
      </w:r>
      <w:r>
        <w:rPr>
          <w:rFonts w:ascii="Times New Roman" w:hAnsi="Times New Roman" w:cs="Times New Roman"/>
        </w:rPr>
        <w:t xml:space="preserve">tified. </w:t>
      </w:r>
    </w:p>
    <w:p w14:paraId="5177C8D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7B60CC13" w14:textId="7CCF04EF"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Additionally, all of the figures presented in this dissertation are of my own design. My design praxis is informed by the work of Edward Tufte and Alberto Cairo, both of whom provide practical design advice in service of demystifying the visual r</w:t>
      </w:r>
      <w:r>
        <w:rPr>
          <w:rFonts w:ascii="Times New Roman" w:hAnsi="Times New Roman" w:cs="Times New Roman"/>
        </w:rPr>
        <w:t>hetoric by which graphs present their arguments.</w:t>
      </w:r>
      <w:r>
        <w:rPr>
          <w:rFonts w:ascii="Times New Roman" w:hAnsi="Times New Roman" w:cs="Times New Roman"/>
          <w:vertAlign w:val="superscript"/>
        </w:rPr>
        <w:footnoteReference w:id="7"/>
      </w:r>
      <w:r>
        <w:rPr>
          <w:rFonts w:ascii="Times New Roman" w:hAnsi="Times New Roman" w:cs="Times New Roman"/>
        </w:rPr>
        <w:t xml:space="preserve"> Neither Tufte nor Cairo is a scholar of media studies; rather, they are professional practitioners of ‘data visualization’ who reflect critically on the assumptions of t</w:t>
      </w:r>
      <w:r>
        <w:rPr>
          <w:rFonts w:ascii="Times New Roman" w:hAnsi="Times New Roman" w:cs="Times New Roman"/>
        </w:rPr>
        <w:t>heir work. Tufte’s work primarily strives to correct badly-designed data visualizations, and the dangerous decisions that bad design can lead people to. His most famous example is an analysis of the scientists’ report at NASA which led to the ill-fated lau</w:t>
      </w:r>
      <w:r>
        <w:rPr>
          <w:rFonts w:ascii="Times New Roman" w:hAnsi="Times New Roman" w:cs="Times New Roman"/>
        </w:rPr>
        <w:t xml:space="preserve">nch of the Challenger space shuttle in 1986: as his extensive visual analysis argues, the scientists (untrained in graphic design) unintentionally obfuscated crucial information about the day’s launch conditions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&lt;citation&gt;&lt;priority&gt;15&lt;/priority&gt;&lt;uuid&gt;5109C04C-664D-4D0B-805E-DE2C226163DF&lt;/uuid&gt;&lt;publications&gt;&lt;publication&gt;&lt;subtype&gt;1&lt;/subtype&gt;&lt;publisher&gt;Graphics Press&lt;/publisher&gt;&lt;title&gt;The Visual Display of Quantitative Information&lt;/title&gt;&lt;url&gt;http://scholar.google.comjavascript:void(0)&lt;/url&gt;&lt;publication_date&gt;99200100001200000000200000&lt;/publication_date&gt;&lt;uuid&gt;584A8341-3484-4360-BB2B-CAEE3FC7AED1&lt;/uuid&gt;&lt;version&gt;2nd&lt;/version&gt;&lt;type&gt;0&lt;/type&gt;&lt;citekey&gt;Tufte:2001vw&lt;/citekey&gt;&lt;authors&gt;&lt;author&gt;&lt;lastName&gt;Tufte&lt;/lastName&gt;&lt;firstName&gt;E&lt;/firstName&gt;&lt;middleNames&gt;R&lt;/middleNames&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(Tufte)</w:t>
      </w:r>
      <w:r w:rsidR="008335DF">
        <w:rPr>
          <w:rFonts w:ascii="Times New Roman" w:hAnsi="Times New Roman" w:cs="Times New Roman"/>
        </w:rPr>
        <w:fldChar w:fldCharType="end"/>
      </w:r>
      <w:r>
        <w:rPr>
          <w:rFonts w:ascii="Times New Roman" w:hAnsi="Times New Roman" w:cs="Times New Roman"/>
        </w:rPr>
        <w:t xml:space="preserve">. Tufte’s six principles </w:t>
      </w:r>
      <w:r>
        <w:rPr>
          <w:rFonts w:ascii="Times New Roman" w:hAnsi="Times New Roman" w:cs="Times New Roman"/>
        </w:rPr>
        <w:t>of design</w:t>
      </w:r>
      <w:r>
        <w:rPr>
          <w:rFonts w:ascii="Times New Roman" w:hAnsi="Times New Roman" w:cs="Times New Roman"/>
          <w:vertAlign w:val="superscript"/>
        </w:rPr>
        <w:footnoteReference w:id="8"/>
      </w:r>
      <w:r>
        <w:rPr>
          <w:rFonts w:ascii="Times New Roman" w:hAnsi="Times New Roman" w:cs="Times New Roman"/>
        </w:rPr>
        <w:t xml:space="preserve"> </w:t>
      </w:r>
      <w:bookmarkStart w:id="8" w:name="data_viz"/>
      <w:r>
        <w:rPr>
          <w:rFonts w:ascii="Times New Roman" w:hAnsi="Times New Roman" w:cs="Times New Roman"/>
        </w:rPr>
        <w:t>primarily</w:t>
      </w:r>
      <w:bookmarkEnd w:id="8"/>
      <w:r>
        <w:rPr>
          <w:rFonts w:ascii="Times New Roman" w:hAnsi="Times New Roman" w:cs="Times New Roman"/>
        </w:rPr>
        <w:t xml:space="preserve"> seek to guide undertrained designers away from misleading themselves. Cairo, following on Tufte’s work f</w:t>
      </w:r>
      <w:r>
        <w:rPr>
          <w:rFonts w:ascii="Times New Roman" w:hAnsi="Times New Roman" w:cs="Times New Roman"/>
        </w:rPr>
        <w:t xml:space="preserve">rom the perspective of an active journalist, more often turns his attention to successful designs which mislead their audiences intentionally. His </w:t>
      </w:r>
      <w:r>
        <w:rPr>
          <w:rFonts w:ascii="Times New Roman" w:hAnsi="Times New Roman" w:cs="Times New Roman"/>
        </w:rPr>
        <w:lastRenderedPageBreak/>
        <w:t xml:space="preserve">forthcoming book, </w:t>
      </w:r>
      <w:r>
        <w:rPr>
          <w:rFonts w:ascii="Times New Roman" w:hAnsi="Times New Roman" w:cs="Times New Roman"/>
          <w:i/>
          <w:iCs/>
        </w:rPr>
        <w:t>How Charts Lie</w:t>
      </w:r>
      <w:r>
        <w:rPr>
          <w:rFonts w:ascii="Times New Roman" w:hAnsi="Times New Roman" w:cs="Times New Roman"/>
        </w:rPr>
        <w:t xml:space="preserve">, addresses the readers of infographics with insights into visual literacy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&lt;citation&gt;&lt;priority&gt;23&lt;/priority&gt;&lt;uuid&gt;63333364-6F5F-4215-A9C2-472C18DCC423&lt;/uuid&gt;&lt;publications&gt;&lt;publication&gt;&lt;subtype&gt;0&lt;/subtype&gt;&lt;title&gt;How Charts Lie&lt;/title&gt;&lt;publication_date&gt;99201900001200000000200000&lt;/publication_date&gt;&lt;uuid&gt;8A4224B2-E32B-42BD-B610-177B8D91F89F&lt;/uuid&gt;&lt;type&gt;0&lt;/type&gt;&lt;authors&gt;&lt;author&gt;&lt;lastName&gt;Cairo&lt;/lastName&gt;&lt;firstName&gt;Alberto&lt;/firstName&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(Cairo)</w:t>
      </w:r>
      <w:r w:rsidR="003975BD">
        <w:rPr>
          <w:rFonts w:ascii="Times New Roman" w:hAnsi="Times New Roman" w:cs="Times New Roman"/>
        </w:rPr>
        <w:fldChar w:fldCharType="end"/>
      </w:r>
      <w:r>
        <w:rPr>
          <w:rFonts w:ascii="Times New Roman" w:hAnsi="Times New Roman" w:cs="Times New Roman"/>
        </w:rPr>
        <w:t xml:space="preserve">. His preceding book, </w:t>
      </w:r>
      <w:r>
        <w:rPr>
          <w:rFonts w:ascii="Times New Roman" w:hAnsi="Times New Roman" w:cs="Times New Roman"/>
          <w:i/>
          <w:iCs/>
        </w:rPr>
        <w:t>The Truthful Art</w:t>
      </w:r>
      <w:r>
        <w:rPr>
          <w:rFonts w:ascii="Times New Roman" w:hAnsi="Times New Roman" w:cs="Times New Roman"/>
        </w:rPr>
        <w:t xml:space="preserve">, addresses the creators of good-faith infographics with insights into visual manipulation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&lt;citation&gt;&lt;priority&gt;16&lt;/priority&gt;&lt;uuid&gt;7F0C7A4C-C6AD-4B1F-8865-DC9988CDF6C9&lt;/uuid&gt;&lt;publications&gt;&lt;publication&gt;&lt;subtype&gt;1&lt;/subtype&gt;&lt;place&gt;San Francisco&lt;/place&gt;&lt;publisher&gt;New Riders&lt;/publisher&gt;&lt;title&gt;The truthful art: Data, charts, and maps for communication&lt;/title&gt;&lt;url&gt;https://books.google.com/books?hl=en&amp;amp;lr=&amp;amp;id=8dKKCwAAQBAJ&amp;amp;oi=fnd&amp;amp;pg=PT17&amp;amp;dq=The+truthful+art+data+charts+and+maps+for+communication&amp;amp;ots=8S-rQK4IHJ&amp;amp;sig=koN3fhRtF6M2Mqig5WPQPjgIqOw&lt;/url&gt;&lt;publication_date&gt;99201600001200000000200000&lt;/publication_date&gt;&lt;uuid&gt;AAB72F63-AB83-45AE-9F3A-B11D8F371A39&lt;/uuid&gt;&lt;type&gt;0&lt;/type&gt;&lt;citekey&gt;Cairo:2016uv&lt;/citekey&gt;&lt;authors&gt;&lt;author&gt;&lt;lastName&gt;Cairo&lt;/lastName&gt;&lt;firstName&gt;Alberto&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(Cairo)</w:t>
      </w:r>
      <w:r w:rsidR="008335DF">
        <w:rPr>
          <w:rFonts w:ascii="Times New Roman" w:hAnsi="Times New Roman" w:cs="Times New Roman"/>
        </w:rPr>
        <w:fldChar w:fldCharType="end"/>
      </w:r>
      <w:r>
        <w:rPr>
          <w:rFonts w:ascii="Times New Roman" w:hAnsi="Times New Roman" w:cs="Times New Roman"/>
        </w:rPr>
        <w:t>. Cairo draws a distinction between “data visualization” and “infographics”: “an infographi</w:t>
      </w:r>
      <w:r>
        <w:rPr>
          <w:rFonts w:ascii="Times New Roman" w:hAnsi="Times New Roman" w:cs="Times New Roman"/>
        </w:rPr>
        <w:t xml:space="preserve">c tells the stories that its designer wants to explain, but a data visualization lets people build their own insights based on the evidence provided,” summarized more succinctly as “infographics to explain, data visualizations to explore”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&lt;citation&gt;&lt;priority&gt;17&lt;/priority&gt;&lt;uuid&gt;D08B6E62-AA89-4F83-A9A3-E7510395594A&lt;/uuid&gt;&lt;publications&gt;&lt;publication&gt;&lt;subtype&gt;403&lt;/subtype&gt;&lt;title&gt;Infographics to explain, data visualizations to explore&lt;/title&gt;&lt;publication_date&gt;99201403161200000000222000&lt;/publication_date&gt;&lt;uuid&gt;26B1B365-3254-4B0C-A949-3FA7337A580C&lt;/uuid&gt;&lt;type&gt;400&lt;/type&gt;&lt;accepted_date&gt;99201902281200000000222000&lt;/accepted_date&gt;&lt;citekey&gt;Cairo:2014tl&lt;/citekey&gt;&lt;startpage&gt;1&lt;/startpage&gt;&lt;endpage&gt;3&lt;/endpage&gt;&lt;bundle&gt;&lt;publication&gt;&lt;title&gt;The Functional Art Alberto Cairos Weblog on Visualization, Infographics, and Data Journalism&lt;/title&gt;&lt;uuid&gt;F0A118CE-00FB-4197-B23B-087B71ECBBD7&lt;/uuid&gt;&lt;subtype&gt;-300&lt;/subtype&gt;&lt;type&gt;-300&lt;/type&gt;&lt;/publication&gt;&lt;/bundle&gt;&lt;authors&gt;&lt;author&gt;&lt;lastName&gt;Cairo&lt;/lastName&gt;&lt;firstName&gt;Alberto&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(Cairo)</w:t>
      </w:r>
      <w:r w:rsidR="008335DF">
        <w:rPr>
          <w:rFonts w:ascii="Times New Roman" w:hAnsi="Times New Roman" w:cs="Times New Roman"/>
        </w:rPr>
        <w:fldChar w:fldCharType="end"/>
      </w:r>
      <w:r>
        <w:rPr>
          <w:rFonts w:ascii="Times New Roman" w:hAnsi="Times New Roman" w:cs="Times New Roman"/>
        </w:rPr>
        <w:t>. Using this terminology, my argument will proceed with infographics in the body of the dissertation as curated figures to support my argument, with fuller data visualizations available in Appendix C (“Data”) to allow further exploration. Following in bo</w:t>
      </w:r>
      <w:r>
        <w:rPr>
          <w:rFonts w:ascii="Times New Roman" w:hAnsi="Times New Roman" w:cs="Times New Roman"/>
        </w:rPr>
        <w:t>th Tufte and Cairo’s footsteps, I conceive of the figures throughout this dissertation as rhetorical devices. In service of arguing honestly, therefore, my designs — in the body of the dissertation and in Appendix C — are accompanied by footnoted explanati</w:t>
      </w:r>
      <w:r>
        <w:rPr>
          <w:rFonts w:ascii="Times New Roman" w:hAnsi="Times New Roman" w:cs="Times New Roman"/>
        </w:rPr>
        <w:t xml:space="preserve">ons of my design rationale. </w:t>
      </w:r>
    </w:p>
    <w:p w14:paraId="4B81EB4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22C4F6C"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1.2.  </w:t>
      </w:r>
      <w:bookmarkStart w:id="9" w:name="1790s"/>
      <w:bookmarkEnd w:id="9"/>
      <w:r>
        <w:rPr>
          <w:rFonts w:cs="Georgia"/>
          <w:b/>
          <w:bCs/>
          <w:sz w:val="26"/>
          <w:szCs w:val="26"/>
        </w:rPr>
        <w:t>1790s</w:t>
      </w:r>
    </w:p>
    <w:p w14:paraId="08EFBE66"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7068129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All of the computational work in this dissertation does have an aim beyond itself: to recapture, in as minute detail as possible, the print landscape in England between January 1 1789 and December 31 179</w:t>
      </w:r>
      <w:r>
        <w:rPr>
          <w:rFonts w:ascii="Times New Roman" w:hAnsi="Times New Roman" w:cs="Times New Roman"/>
        </w:rPr>
        <w:t xml:space="preserve">9. This eleven-year “decade” was a turbulent one across the Channel, encompassing the whole of the French Revolution, from the Estates General in 1789 to </w:t>
      </w:r>
      <w:r>
        <w:rPr>
          <w:rFonts w:ascii="Times New Roman" w:hAnsi="Times New Roman" w:cs="Times New Roman"/>
        </w:rPr>
        <w:lastRenderedPageBreak/>
        <w:t>Napoleon’s coup in 1799.</w:t>
      </w:r>
      <w:r>
        <w:rPr>
          <w:rFonts w:ascii="Times New Roman" w:hAnsi="Times New Roman" w:cs="Times New Roman"/>
          <w:vertAlign w:val="superscript"/>
        </w:rPr>
        <w:footnoteReference w:id="9"/>
      </w:r>
      <w:r>
        <w:rPr>
          <w:rFonts w:ascii="Times New Roman" w:hAnsi="Times New Roman" w:cs="Times New Roman"/>
        </w:rPr>
        <w:t xml:space="preserve"> </w:t>
      </w:r>
      <w:bookmarkStart w:id="10" w:name="1790s-1"/>
      <w:bookmarkEnd w:id="10"/>
      <w:r>
        <w:rPr>
          <w:rFonts w:ascii="Times New Roman" w:hAnsi="Times New Roman" w:cs="Times New Roman"/>
        </w:rPr>
        <w:t>In</w:t>
      </w:r>
      <w:r>
        <w:rPr>
          <w:rFonts w:ascii="Times New Roman" w:hAnsi="Times New Roman" w:cs="Times New Roman"/>
        </w:rPr>
        <w:t xml:space="preserve"> England, these events caused strong and variously nationalist reactions in a country which had so recently lost its co</w:t>
      </w:r>
      <w:r>
        <w:rPr>
          <w:rFonts w:ascii="Times New Roman" w:hAnsi="Times New Roman" w:cs="Times New Roman"/>
        </w:rPr>
        <w:t xml:space="preserve">lonies in America and feared that a French invasion could come at any moment. This is the decade of </w:t>
      </w:r>
      <w:r>
        <w:rPr>
          <w:rFonts w:ascii="Times New Roman" w:hAnsi="Times New Roman" w:cs="Times New Roman"/>
          <w:i/>
          <w:iCs/>
        </w:rPr>
        <w:t>Common Sense</w:t>
      </w:r>
      <w:r>
        <w:rPr>
          <w:rFonts w:ascii="Times New Roman" w:hAnsi="Times New Roman" w:cs="Times New Roman"/>
        </w:rPr>
        <w:t xml:space="preserve">, it is the decade of </w:t>
      </w:r>
      <w:r>
        <w:rPr>
          <w:rFonts w:ascii="Times New Roman" w:hAnsi="Times New Roman" w:cs="Times New Roman"/>
          <w:i/>
          <w:iCs/>
        </w:rPr>
        <w:t>Lyrical Ballads</w:t>
      </w:r>
      <w:r>
        <w:rPr>
          <w:rFonts w:ascii="Times New Roman" w:hAnsi="Times New Roman" w:cs="Times New Roman"/>
        </w:rPr>
        <w:t xml:space="preserve">; it is the decade of Hannah More, it is the decade of Ann Radcliffe; it was the age of wisdom, it was the </w:t>
      </w:r>
      <w:r>
        <w:rPr>
          <w:rFonts w:ascii="Times New Roman" w:hAnsi="Times New Roman" w:cs="Times New Roman"/>
        </w:rPr>
        <w:t>age of foolishness; it was the epoch of belief, it was the epoch of incredulity. Charles Dickens’ now-famous superlative degree of comparison captures the tension between empiricist or otherwise political thinkers and Romantic or Gothic artists as contempo</w:t>
      </w:r>
      <w:r>
        <w:rPr>
          <w:rFonts w:ascii="Times New Roman" w:hAnsi="Times New Roman" w:cs="Times New Roman"/>
        </w:rPr>
        <w:t>rary literary scholars grapple with these modes. Each literary ‘mode’ was imbued with the potential for national importance.</w:t>
      </w:r>
    </w:p>
    <w:p w14:paraId="639D116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BB17642" w14:textId="2D7440A8"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1" w:name="Taylor"/>
      <w:r>
        <w:rPr>
          <w:rFonts w:ascii="Times New Roman" w:hAnsi="Times New Roman" w:cs="Times New Roman"/>
        </w:rPr>
        <w:t>I</w:t>
      </w:r>
      <w:bookmarkEnd w:id="11"/>
      <w:r>
        <w:rPr>
          <w:rFonts w:ascii="Times New Roman" w:hAnsi="Times New Roman" w:cs="Times New Roman"/>
        </w:rPr>
        <w:t xml:space="preserve"> am by no means the first to examine the writing of the 1790s in light of authors’ political strategies in the print </w:t>
      </w:r>
      <w:r>
        <w:rPr>
          <w:rFonts w:ascii="Times New Roman" w:hAnsi="Times New Roman" w:cs="Times New Roman"/>
        </w:rPr>
        <w:t xml:space="preserve">marketplace, though preceding work is often organized along genre lines. For example, George Taylor, in </w:t>
      </w:r>
      <w:r>
        <w:rPr>
          <w:rFonts w:ascii="Times New Roman" w:hAnsi="Times New Roman" w:cs="Times New Roman"/>
          <w:i/>
          <w:iCs/>
        </w:rPr>
        <w:t>The French Revolution and the London Stage</w:t>
      </w:r>
      <w:r>
        <w:rPr>
          <w:rFonts w:ascii="Times New Roman" w:hAnsi="Times New Roman" w:cs="Times New Roman"/>
        </w:rPr>
        <w:t>, sets forth some key contentions about literature’s cultural capital. He argues that although eighteenth-cent</w:t>
      </w:r>
      <w:r>
        <w:rPr>
          <w:rFonts w:ascii="Times New Roman" w:hAnsi="Times New Roman" w:cs="Times New Roman"/>
        </w:rPr>
        <w:t>ury critics sought to make distinctions in the social value of different plays, or different parts of the theatrical program at a single show, audiences did not make these distinctions. “Although audiences were divided according to class between pit, box a</w:t>
      </w:r>
      <w:r>
        <w:rPr>
          <w:rFonts w:ascii="Times New Roman" w:hAnsi="Times New Roman" w:cs="Times New Roman"/>
        </w:rPr>
        <w:t>nd gallery,” he argues, the division was purely physical: “all came to see the same shows, for within one programme there was a variety that not only satisfied the different groups but satisfied them all […] all received plaudits from all corners of the ho</w:t>
      </w:r>
      <w:r>
        <w:rPr>
          <w:rFonts w:ascii="Times New Roman" w:hAnsi="Times New Roman" w:cs="Times New Roman"/>
        </w:rPr>
        <w:t xml:space="preserve">use”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&lt;citation&gt;&lt;priority&gt;18&lt;/priority&gt;&lt;uuid&gt;8C9C6EB5-A604-411A-A723-AE0D7B7710EE&lt;/uuid&gt;&lt;publications&gt;&lt;publication&gt;&lt;subtype&gt;0&lt;/subtype&gt;&lt;place&gt;Cambridge&lt;/place&gt;&lt;publisher&gt;Cambridge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(Taylor)</w:t>
      </w:r>
      <w:r w:rsidR="008335DF">
        <w:rPr>
          <w:rFonts w:ascii="Times New Roman" w:hAnsi="Times New Roman" w:cs="Times New Roman"/>
        </w:rPr>
        <w:fldChar w:fldCharType="end"/>
      </w:r>
      <w:r>
        <w:rPr>
          <w:rFonts w:ascii="Times New Roman" w:hAnsi="Times New Roman" w:cs="Times New Roman"/>
        </w:rPr>
        <w:t xml:space="preserve">. Taylor proceeds to define the central concerns and strategies of the plays staged during this period, arguing that “the determining feature of the </w:t>
      </w:r>
      <w:r>
        <w:rPr>
          <w:rFonts w:ascii="Times New Roman" w:hAnsi="Times New Roman" w:cs="Times New Roman"/>
        </w:rPr>
        <w:lastRenderedPageBreak/>
        <w:t>period for the theatre was the sense of loss, a feeling that things had change</w:t>
      </w:r>
      <w:r>
        <w:rPr>
          <w:rFonts w:ascii="Times New Roman" w:hAnsi="Times New Roman" w:cs="Times New Roman"/>
        </w:rPr>
        <w:t xml:space="preserve">d in ways that people did not expect or want,” a feeling that was reflected in “images of incarceration, dislocation and supernatural intervention”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&lt;citation&gt;&lt;priority&gt;19&lt;/priority&gt;&lt;uuid&gt;4D4F0CF7-031F-48DF-AB2E-69F4A7827A0C&lt;/uuid&gt;&lt;publications&gt;&lt;publication&gt;&lt;subtype&gt;0&lt;/subtype&gt;&lt;place&gt;Cambridge&lt;/place&gt;&lt;publisher&gt;Cambridge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(Taylor)</w:t>
      </w:r>
      <w:r w:rsidR="008335DF">
        <w:rPr>
          <w:rFonts w:ascii="Times New Roman" w:hAnsi="Times New Roman" w:cs="Times New Roman"/>
        </w:rPr>
        <w:fldChar w:fldCharType="end"/>
      </w:r>
      <w:r>
        <w:rPr>
          <w:rFonts w:ascii="Times New Roman" w:hAnsi="Times New Roman" w:cs="Times New Roman"/>
        </w:rPr>
        <w:t>. This analysis of the theatre is structured by his originating observation that “</w:t>
      </w:r>
      <w:r>
        <w:rPr>
          <w:rFonts w:ascii="Times New Roman" w:hAnsi="Times New Roman" w:cs="Times New Roman"/>
        </w:rPr>
        <w:t xml:space="preserve">Disagreement as to what is trash and what is treasure suggests cultural crisis, when values are put under question by social stress or political conflict”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&lt;citation&gt;&lt;priority&gt;20&lt;/priority&gt;&lt;uuid&gt;6C9BEBF0-948F-44B7-86A1-51A4FA31C57C&lt;/uuid&gt;&lt;publications&gt;&lt;publication&gt;&lt;subtype&gt;0&lt;/subtype&gt;&lt;place&gt;Cambridge&lt;/place&gt;&lt;publisher&gt;Cambridge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(Taylor)</w:t>
      </w:r>
      <w:r w:rsidR="008335DF">
        <w:rPr>
          <w:rFonts w:ascii="Times New Roman" w:hAnsi="Times New Roman" w:cs="Times New Roman"/>
        </w:rPr>
        <w:fldChar w:fldCharType="end"/>
      </w:r>
      <w:r>
        <w:rPr>
          <w:rFonts w:ascii="Times New Roman" w:hAnsi="Times New Roman" w:cs="Times New Roman"/>
        </w:rPr>
        <w:t>. The communal space of the theatre, which some cultural critics in the eight</w:t>
      </w:r>
      <w:r>
        <w:rPr>
          <w:rFonts w:ascii="Times New Roman" w:hAnsi="Times New Roman" w:cs="Times New Roman"/>
        </w:rPr>
        <w:t xml:space="preserve">eenth century attempt to render non-communal and to dissect along class lines, is for Taylor fertile ground. For my inquiry, it is the “[d]isagreement as to what is trash and what it treasure” itself which animates me: the terms “trash” and “treasure” are </w:t>
      </w:r>
      <w:r>
        <w:rPr>
          <w:rFonts w:ascii="Times New Roman" w:hAnsi="Times New Roman" w:cs="Times New Roman"/>
        </w:rPr>
        <w:t xml:space="preserve">hardly exaggerations of the extremity of the conflicting assessments which could be passed regarding the same </w:t>
      </w:r>
      <w:commentRangeStart w:id="12"/>
      <w:r>
        <w:rPr>
          <w:rFonts w:ascii="Times New Roman" w:hAnsi="Times New Roman" w:cs="Times New Roman"/>
        </w:rPr>
        <w:fldChar w:fldCharType="begin"/>
      </w:r>
      <w:r>
        <w:rPr>
          <w:rFonts w:ascii="Times New Roman" w:hAnsi="Times New Roman" w:cs="Times New Roman"/>
        </w:rPr>
        <w:instrText>HYPERLINK "scrivcmt://26087BCC-148F-4626-B984-5CA87FD425FF"</w:instrText>
      </w:r>
      <w:r w:rsidR="008335DF">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works</w:t>
      </w:r>
      <w:r>
        <w:rPr>
          <w:rFonts w:ascii="Times New Roman" w:hAnsi="Times New Roman" w:cs="Times New Roman"/>
        </w:rPr>
        <w:fldChar w:fldCharType="end"/>
      </w:r>
      <w:commentRangeEnd w:id="12"/>
      <w:r>
        <w:rPr>
          <w:rFonts w:ascii="Times New Roman" w:hAnsi="Times New Roman" w:cs="Times New Roman"/>
        </w:rPr>
        <w:commentReference w:id="12"/>
      </w:r>
      <w:r>
        <w:rPr>
          <w:rFonts w:ascii="Times New Roman" w:hAnsi="Times New Roman" w:cs="Times New Roman"/>
        </w:rPr>
        <w:t>.</w:t>
      </w:r>
    </w:p>
    <w:p w14:paraId="021293A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DB720B2" w14:textId="79BFB1AA"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3" w:name="Bainbridge"/>
      <w:r>
        <w:rPr>
          <w:rFonts w:ascii="Times New Roman" w:hAnsi="Times New Roman" w:cs="Times New Roman"/>
        </w:rPr>
        <w:t>The</w:t>
      </w:r>
      <w:bookmarkEnd w:id="13"/>
      <w:r>
        <w:rPr>
          <w:rFonts w:ascii="Times New Roman" w:hAnsi="Times New Roman" w:cs="Times New Roman"/>
        </w:rPr>
        <w:t xml:space="preserve"> desire to distinguish between “trash” and “treasure” also appears in studies of poetry, which in this period are nearly synonymous with studies of Romantic poetry. Particularly where poetry is examined in light of conflicts with Fr</w:t>
      </w:r>
      <w:r>
        <w:rPr>
          <w:rFonts w:ascii="Times New Roman" w:hAnsi="Times New Roman" w:cs="Times New Roman"/>
        </w:rPr>
        <w:t xml:space="preserve">ance, analysis of poets’ work often doubles as an analysis of their success or failure in the pursuit of cultural capital. For example, Simon Bainbridge, in </w:t>
      </w:r>
      <w:r>
        <w:rPr>
          <w:rFonts w:ascii="Times New Roman" w:hAnsi="Times New Roman" w:cs="Times New Roman"/>
          <w:i/>
          <w:iCs/>
        </w:rPr>
        <w:t>British Poetry and the Revolutionary and Napoleonic Wars</w:t>
      </w:r>
      <w:r>
        <w:rPr>
          <w:rFonts w:ascii="Times New Roman" w:hAnsi="Times New Roman" w:cs="Times New Roman"/>
        </w:rPr>
        <w:t>, sees the decade and its poetry through th</w:t>
      </w:r>
      <w:r>
        <w:rPr>
          <w:rFonts w:ascii="Times New Roman" w:hAnsi="Times New Roman" w:cs="Times New Roman"/>
        </w:rPr>
        <w:t>e lens of war. His own interest is in what he terms “the attempts made by several writers to fill the role of national bard prior to Scott”</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&lt;citation&gt;&lt;priority&gt;21&lt;/priority&gt;&lt;uuid&gt;B3EC3F4C-AC47-4E4E-89C7-042FD441988E&lt;/uuid&gt;&lt;publications&gt;&lt;publication&gt;&lt;subtype&gt;0&lt;/subtype&gt;&lt;publisher&gt;Oxford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(Bainbridge)</w:t>
      </w:r>
      <w:r w:rsidR="008335DF">
        <w:rPr>
          <w:rFonts w:ascii="Times New Roman" w:hAnsi="Times New Roman" w:cs="Times New Roman"/>
        </w:rPr>
        <w:fldChar w:fldCharType="end"/>
      </w:r>
      <w:r>
        <w:rPr>
          <w:rFonts w:ascii="Times New Roman" w:hAnsi="Times New Roman" w:cs="Times New Roman"/>
        </w:rPr>
        <w:t>}. This framework leads Bainbridge to examine Charlotte Smith alongside Samuel Taylor Col</w:t>
      </w:r>
      <w:r>
        <w:rPr>
          <w:rFonts w:ascii="Times New Roman" w:hAnsi="Times New Roman" w:cs="Times New Roman"/>
        </w:rPr>
        <w:t>eridge, William Wordsworth, Robert Southey, and eventually Walter Scott. In his conception of ‘a national bard’ he imagines a particular marriage of poetry’s special status as imaginative literature to a specific poet’s cultivation of a nationally importan</w:t>
      </w:r>
      <w:r>
        <w:rPr>
          <w:rFonts w:ascii="Times New Roman" w:hAnsi="Times New Roman" w:cs="Times New Roman"/>
        </w:rPr>
        <w:t xml:space="preserve">t public persona. Both poetry and the poet are thus pursuing a particular kind of cultural capital that allows them to rise above their own popularity. </w:t>
      </w:r>
      <w:r>
        <w:rPr>
          <w:rFonts w:ascii="Times New Roman" w:hAnsi="Times New Roman" w:cs="Times New Roman"/>
        </w:rPr>
        <w:lastRenderedPageBreak/>
        <w:t xml:space="preserve">Bainbridge frequently discusses strategies of print publication as part of his analysis: a particularly </w:t>
      </w:r>
      <w:r>
        <w:rPr>
          <w:rFonts w:ascii="Times New Roman" w:hAnsi="Times New Roman" w:cs="Times New Roman"/>
        </w:rPr>
        <w:t>insightful footnote discusses, for example, a poem which circulated both as an ode in a magazine and as lyrics in a broadsheet. Bainbridge observes that “texts could shift in status and meaning as they were adapted for different forms of production and dif</w:t>
      </w:r>
      <w:r>
        <w:rPr>
          <w:rFonts w:ascii="Times New Roman" w:hAnsi="Times New Roman" w:cs="Times New Roman"/>
        </w:rPr>
        <w:t>ferent audiences, in this case existing in both the relatively elevated form of the ode, to be read by an individual magazine reader, and as a new set of lyrics to a traditional tune, achieving its fullest realization in a communal performance at a politic</w:t>
      </w:r>
      <w:r>
        <w:rPr>
          <w:rFonts w:ascii="Times New Roman" w:hAnsi="Times New Roman" w:cs="Times New Roman"/>
        </w:rPr>
        <w:t>al meeting in an alehouse or at a demonstration”</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&lt;citation&gt;&lt;priority&gt;22&lt;/priority&gt;&lt;uuid&gt;96FF7214-19B5-41D0-AB0E-D24005BB6A29&lt;/uuid&gt;&lt;publications&gt;&lt;publication&gt;&lt;subtype&gt;0&lt;/subtype&gt;&lt;publisher&gt;Oxford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(Bainbridge)</w:t>
      </w:r>
      <w:r w:rsidR="008335DF">
        <w:rPr>
          <w:rFonts w:ascii="Times New Roman" w:hAnsi="Times New Roman" w:cs="Times New Roman"/>
        </w:rPr>
        <w:fldChar w:fldCharType="end"/>
      </w:r>
      <w:r>
        <w:rPr>
          <w:rFonts w:ascii="Times New Roman" w:hAnsi="Times New Roman" w:cs="Times New Roman"/>
        </w:rPr>
        <w:t>}. However, his explanations of individual print strategies are often hindered by his approach to literature’s cultural capital. At one point, for example, he argues that “the fac</w:t>
      </w:r>
      <w:r>
        <w:rPr>
          <w:rFonts w:ascii="Times New Roman" w:hAnsi="Times New Roman" w:cs="Times New Roman"/>
        </w:rPr>
        <w:t>t that the Gentleman’s Magazine was forced to reproduce at length a poem written two decades previously again emphasizes what was seen to be the failure of anyone convincingly to fill the role of the Bard until the emergence of Walter Scott”</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&lt;citation&gt;&lt;priority&gt;23&lt;/priority&gt;&lt;uuid&gt;A493B011-25B2-4685-A732-7B5444263CA5&lt;/uuid&gt;&lt;publications&gt;&lt;publication&gt;&lt;subtype&gt;0&lt;/subtype&gt;&lt;publisher&gt;Oxford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(Bainbridge)</w:t>
      </w:r>
      <w:r w:rsidR="008335DF">
        <w:rPr>
          <w:rFonts w:ascii="Times New Roman" w:hAnsi="Times New Roman" w:cs="Times New Roman"/>
        </w:rPr>
        <w:fldChar w:fldCharType="end"/>
      </w:r>
      <w:r>
        <w:rPr>
          <w:rFonts w:ascii="Times New Roman" w:hAnsi="Times New Roman" w:cs="Times New Roman"/>
        </w:rPr>
        <w:t>}. I contend that the republication of substantially older works of literature is not a sign that England was destitute of true poetry before Walter Scott, but rather an attempt to solve the challenges to national identity posed by the 1790s’</w:t>
      </w:r>
      <w:r>
        <w:rPr>
          <w:rFonts w:ascii="Times New Roman" w:hAnsi="Times New Roman" w:cs="Times New Roman"/>
        </w:rPr>
        <w:t xml:space="preserve"> disruption of history.</w:t>
      </w:r>
    </w:p>
    <w:p w14:paraId="156E1AE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3C0A7F96" w14:textId="5597D58E"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4" w:name="Cronin"/>
      <w:r>
        <w:rPr>
          <w:rFonts w:ascii="Times New Roman" w:hAnsi="Times New Roman" w:cs="Times New Roman"/>
        </w:rPr>
        <w:t>Bainbridge</w:t>
      </w:r>
      <w:bookmarkEnd w:id="14"/>
      <w:r>
        <w:rPr>
          <w:rFonts w:ascii="Times New Roman" w:hAnsi="Times New Roman" w:cs="Times New Roman"/>
        </w:rPr>
        <w:t xml:space="preserve"> is not alone is taking Walter Scott as a kind of pinnacle, and looking backwards in search of his antecedents. Richard Cronin, in </w:t>
      </w:r>
      <w:r>
        <w:rPr>
          <w:rFonts w:ascii="Times New Roman" w:hAnsi="Times New Roman" w:cs="Times New Roman"/>
          <w:i/>
          <w:iCs/>
        </w:rPr>
        <w:t>The Politics of Romantic Poetry</w:t>
      </w:r>
      <w:r>
        <w:rPr>
          <w:rFonts w:ascii="Times New Roman" w:hAnsi="Times New Roman" w:cs="Times New Roman"/>
        </w:rPr>
        <w:t xml:space="preserve">, concerns himself with “poetry that speaks to </w:t>
      </w:r>
      <w:r>
        <w:rPr>
          <w:rFonts w:ascii="Times New Roman" w:hAnsi="Times New Roman" w:cs="Times New Roman"/>
        </w:rPr>
        <w:t>a divided society in an attempt to constitute its readers as citizens of […] ‘the pure commonwealth’”</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&lt;citation&gt;&lt;priority&gt;24&lt;/priority&gt;&lt;uuid&gt;CB7E7AEB-AD11-45BC-B4E2-E448BCF97AFB&lt;/uuid&gt;&lt;publications&gt;&lt;publication&gt;&lt;subtype&gt;0&lt;/subtype&gt;&lt;title&gt;The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xml:space="preserve">}. This definition of “political poetry” leads him to Erasmus Darwin as the poet of the the Revolution and the Revolutionary war, </w:t>
      </w:r>
      <w:r>
        <w:rPr>
          <w:rFonts w:ascii="Times New Roman" w:hAnsi="Times New Roman" w:cs="Times New Roman"/>
        </w:rPr>
        <w:t xml:space="preserve">William Blake as the poet of the Napoleonic wars, and Richard Southey and Walter Savage Landor as the poets of the post-war period — ending, irresistibly, as so many do, with Walter Scott. Despite the </w:t>
      </w:r>
      <w:r>
        <w:rPr>
          <w:rFonts w:ascii="Times New Roman" w:hAnsi="Times New Roman" w:cs="Times New Roman"/>
        </w:rPr>
        <w:lastRenderedPageBreak/>
        <w:t>fact that Cronin’s chief interest is in each poet’s use</w:t>
      </w:r>
      <w:r>
        <w:rPr>
          <w:rFonts w:ascii="Times New Roman" w:hAnsi="Times New Roman" w:cs="Times New Roman"/>
        </w:rPr>
        <w:t xml:space="preserve"> of language to construct an ideal audience, print culture looms. Of Erasmus Darwin, Cronin emphasizes Darwin’s use of “[t]he most powerful of the languages available in the 1790s that could plausibly claim universal status,” namely, “the language of scien</w:t>
      </w:r>
      <w:r>
        <w:rPr>
          <w:rFonts w:ascii="Times New Roman" w:hAnsi="Times New Roman" w:cs="Times New Roman"/>
        </w:rPr>
        <w:t>ce”</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&lt;citation&gt;&lt;priority&gt;25&lt;/priority&gt;&lt;uuid&gt;74D58463-B768-468D-98C1-219F21CEB1E5&lt;/uuid&gt;&lt;publications&gt;&lt;publication&gt;&lt;subtype&gt;0&lt;/subtype&gt;&lt;title&gt;The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but it is the “beautifully and expensively produced edition of The Botanic Garden”</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&lt;citation&gt;&lt;priority&gt;26&lt;/priority&gt;&lt;uuid&gt;5E9E8D04-4220-432E-8905-508276019A9E&lt;/uuid&gt;&lt;publications&gt;&lt;publication&gt;&lt;subtype&gt;0&lt;/subtype&gt;&lt;title&gt;The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xml:space="preserve">} which asserts his importance. Blake’s eccentric, idiosyncratic language is mirrored in his eccentric, idiosyncratic </w:t>
      </w:r>
      <w:r>
        <w:rPr>
          <w:rFonts w:ascii="Times New Roman" w:hAnsi="Times New Roman" w:cs="Times New Roman"/>
        </w:rPr>
        <w:t>printing practices</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&lt;citation&gt;&lt;priority&gt;27&lt;/priority&gt;&lt;uuid&gt;CAB44315-4CC7-4EB5-B3BA-80C24420E0AF&lt;/uuid&gt;&lt;publications&gt;&lt;publication&gt;&lt;subtype&gt;0&lt;/subtype&gt;&lt;title&gt;The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Southey and Landor’s universal, international language seeks to “escape from history”</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&lt;citation&gt;&lt;priority&gt;28&lt;/priority&gt;&lt;uuid&gt;4B748EC6-6B38-40A6-9609-D5E6E94608BB&lt;/uuid&gt;&lt;publications&gt;&lt;publication&gt;&lt;subtype&gt;0&lt;/subtype&gt;&lt;title&gt;The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which entails disavowing not only the popular prose fictions which sought to represent history bu</w:t>
      </w:r>
      <w:r>
        <w:rPr>
          <w:rFonts w:ascii="Times New Roman" w:hAnsi="Times New Roman" w:cs="Times New Roman"/>
        </w:rPr>
        <w:t>t also the very circulating libraries in which they were distributed</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&lt;citation&gt;&lt;priority&gt;29&lt;/priority&gt;&lt;uuid&gt;431ACF6F-B9F2-48C9-829F-8A7C9A7EE54F&lt;/uuid&gt;&lt;publications&gt;&lt;publication&gt;&lt;subtype&gt;0&lt;/subtype&gt;&lt;title&gt;The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In other words, Cronin, even more so than Bainbridge, seems to use ‘poetic language’ to explain phenomena which have important print culture dimensions. Nonethe</w:t>
      </w:r>
      <w:r>
        <w:rPr>
          <w:rFonts w:ascii="Times New Roman" w:hAnsi="Times New Roman" w:cs="Times New Roman"/>
        </w:rPr>
        <w:t xml:space="preserve">less, his discussion of Scott accurately describes the particular nature of Scott’s success: “Scott’s </w:t>
      </w:r>
      <w:r>
        <w:rPr>
          <w:rFonts w:ascii="Times New Roman" w:hAnsi="Times New Roman" w:cs="Times New Roman"/>
          <w:i/>
          <w:iCs/>
        </w:rPr>
        <w:t>Minstrelsy</w:t>
      </w:r>
      <w:r>
        <w:rPr>
          <w:rFonts w:ascii="Times New Roman" w:hAnsi="Times New Roman" w:cs="Times New Roman"/>
        </w:rPr>
        <w:t xml:space="preserve"> transforms ballads freely passed from speaker to speaker around cottage fires on the Scottish Borders into luxury items, items only available t</w:t>
      </w:r>
      <w:r>
        <w:rPr>
          <w:rFonts w:ascii="Times New Roman" w:hAnsi="Times New Roman" w:cs="Times New Roman"/>
        </w:rPr>
        <w:t>o book-buyers of some means”</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&lt;citation&gt;&lt;priority&gt;30&lt;/priority&gt;&lt;uuid&gt;81685591-EA92-4004-A396-2E74EF446C58&lt;/uuid&gt;&lt;publications&gt;&lt;publication&gt;&lt;subtype&gt;0&lt;/subtype&gt;&lt;title&gt;The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(Cronin)</w:t>
      </w:r>
      <w:r w:rsidR="008335DF">
        <w:rPr>
          <w:rFonts w:ascii="Times New Roman" w:hAnsi="Times New Roman" w:cs="Times New Roman"/>
        </w:rPr>
        <w:fldChar w:fldCharType="end"/>
      </w:r>
      <w:r>
        <w:rPr>
          <w:rFonts w:ascii="Times New Roman" w:hAnsi="Times New Roman" w:cs="Times New Roman"/>
        </w:rPr>
        <w:t>}. The Romantic poets, in both Bainbridge and Cronin’s accounts, support their claims to insight and importance through the inaccessibility of their work in print.</w:t>
      </w:r>
    </w:p>
    <w:p w14:paraId="79CD606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6F83120" w14:textId="608E8FC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Poetry thus stands in a stark contrast</w:t>
      </w:r>
      <w:r>
        <w:rPr>
          <w:rFonts w:ascii="Times New Roman" w:hAnsi="Times New Roman" w:cs="Times New Roman"/>
        </w:rPr>
        <w:t xml:space="preserve"> to the volumes of writing which John Mee discusses in </w:t>
      </w:r>
      <w:r>
        <w:rPr>
          <w:rFonts w:ascii="Times New Roman" w:hAnsi="Times New Roman" w:cs="Times New Roman"/>
          <w:i/>
          <w:iCs/>
        </w:rPr>
        <w:t xml:space="preserve">Print, Publicity, and Popular Radicalism in the 1790s. </w:t>
      </w:r>
      <w:r>
        <w:rPr>
          <w:rFonts w:ascii="Times New Roman" w:hAnsi="Times New Roman" w:cs="Times New Roman"/>
        </w:rPr>
        <w:t>Although his title leaves open the possibility that he could consider any kind of writing in print, Mee is concerned solely with the activities of</w:t>
      </w:r>
      <w:r>
        <w:rPr>
          <w:rFonts w:ascii="Times New Roman" w:hAnsi="Times New Roman" w:cs="Times New Roman"/>
        </w:rPr>
        <w:t xml:space="preserve"> the London Corresponding Society, placed in the context of Romanticism. He examines “public lectures, toasting, tavern debates, and song, but also more mundane and less colourful associational practices, such as day-to-day editorial discussion about what </w:t>
      </w:r>
      <w:r>
        <w:rPr>
          <w:rFonts w:ascii="Times New Roman" w:hAnsi="Times New Roman" w:cs="Times New Roman"/>
        </w:rPr>
        <w:t xml:space="preserve">to publish </w:t>
      </w:r>
      <w:r>
        <w:rPr>
          <w:rFonts w:ascii="Times New Roman" w:hAnsi="Times New Roman" w:cs="Times New Roman"/>
        </w:rPr>
        <w:lastRenderedPageBreak/>
        <w:t>under the LCS’s name”</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&lt;citation&gt;&lt;priority&gt;31&lt;/priority&gt;&lt;uuid&gt;C97CAD31-18AB-465D-908D-4A512C5A7750&lt;/uuid&gt;&lt;publications&gt;&lt;publication&gt;&lt;subtype&gt;1&lt;/subtype&gt;&lt;title&gt;Print,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 These writers held a fundamentally different relationship to the print marketplace than the Romantic poets, or even than theatre critics: rather than concerning themselves with distinctions between ‘</w:t>
      </w:r>
      <w:r>
        <w:rPr>
          <w:rFonts w:ascii="Times New Roman" w:hAnsi="Times New Roman" w:cs="Times New Roman"/>
        </w:rPr>
        <w:t>good’ and ‘bad’ forms of writing or publication, Mee argues, “At certain points the societies seem to operate under the spell of ‘print magic’, that is, a faith that print could liberate mankind simply by bringing ideas into printed circulation”</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&lt;citation&gt;&lt;priority&gt;32&lt;/priority&gt;&lt;uuid&gt;E945DE47-877C-4C1C-8B16-BDF5A4DCBE0F&lt;/uuid&gt;&lt;publications&gt;&lt;publication&gt;&lt;subtype&gt;1&lt;/subtype&gt;&lt;title&gt;Print,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 This partly shifts to Mee himself the task of assessing whether the texts he studies are ‘literature.’ A partial claim to the status of ‘literature’ is suggested by the participation of his book within the series ‘Cambridge Studies in Romanti</w:t>
      </w:r>
      <w:r>
        <w:rPr>
          <w:rFonts w:ascii="Times New Roman" w:hAnsi="Times New Roman" w:cs="Times New Roman"/>
        </w:rPr>
        <w:t>cism,’ which, he acknowledges “implies an understanding of popular radicalism as a kind of ‘literary’ culture. At least, it argues for the centrality of the writing, production, and circulation of printed texts that took up so much of the time of the radic</w:t>
      </w:r>
      <w:r>
        <w:rPr>
          <w:rFonts w:ascii="Times New Roman" w:hAnsi="Times New Roman" w:cs="Times New Roman"/>
        </w:rPr>
        <w:t>al societies”</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&lt;citation&gt;&lt;priority&gt;33&lt;/priority&gt;&lt;uuid&gt;1A5D204F-ED54-4B46-B04B-61492815BDD4&lt;/uuid&gt;&lt;publications&gt;&lt;publication&gt;&lt;subtype&gt;1&lt;/subtype&gt;&lt;title&gt;Print,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 Nonetheless, the book distances itself from “Romanticism and its major poets, novelists, and playwrights”</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&lt;citation&gt;&lt;priority&gt;34&lt;/priority&gt;&lt;uuid&gt;3A8A2EDF-452A-4BF1-90C7-85D26058A640&lt;/uuid&gt;&lt;publications&gt;&lt;publication&gt;&lt;subtype&gt;1&lt;/subtype&gt;&lt;title&gt;Print,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 Mee thus replicates the distance that the period’</w:t>
      </w:r>
      <w:r>
        <w:rPr>
          <w:rFonts w:ascii="Times New Roman" w:hAnsi="Times New Roman" w:cs="Times New Roman"/>
        </w:rPr>
        <w:t>s “poets, novelists, and playwrights” sought to put between themselves as the “the role of print personality</w:t>
      </w:r>
      <w:r>
        <w:rPr>
          <w:rFonts w:ascii="Times New Roman" w:hAnsi="Times New Roman" w:cs="Times New Roman"/>
          <w:vertAlign w:val="superscript"/>
        </w:rPr>
        <w:footnoteReference w:id="10"/>
      </w:r>
      <w:r>
        <w:rPr>
          <w:rFonts w:ascii="Times New Roman" w:hAnsi="Times New Roman" w:cs="Times New Roman"/>
        </w:rPr>
        <w:t xml:space="preserve"> </w:t>
      </w:r>
      <w:bookmarkStart w:id="15" w:name="Mee"/>
      <w:r>
        <w:rPr>
          <w:rFonts w:ascii="Times New Roman" w:hAnsi="Times New Roman" w:cs="Times New Roman"/>
        </w:rPr>
        <w:t>as</w:t>
      </w:r>
      <w:bookmarkEnd w:id="15"/>
      <w:r>
        <w:rPr>
          <w:rFonts w:ascii="Times New Roman" w:hAnsi="Times New Roman" w:cs="Times New Roman"/>
        </w:rPr>
        <w:t xml:space="preserve"> a form of mediation”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&lt;citation&gt;&lt;priority&gt;36&lt;/priority&gt;&lt;uuid&gt;A88B784F-8798-4304-BE7E-71266B3E5750&lt;/uuid&gt;&lt;publications&gt;&lt;publication&gt;&lt;subtype&gt;1&lt;/subtype&gt;&lt;title&gt;Print,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 xml:space="preserve"> that interests Mee in the LCS.</w:t>
      </w:r>
    </w:p>
    <w:p w14:paraId="0A816D13"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2421A37" w14:textId="552569FE"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6" w:name="conclusion_canons"/>
      <w:r>
        <w:rPr>
          <w:rFonts w:ascii="Times New Roman" w:hAnsi="Times New Roman" w:cs="Times New Roman"/>
        </w:rPr>
        <w:t>John</w:t>
      </w:r>
      <w:bookmarkEnd w:id="16"/>
      <w:r>
        <w:rPr>
          <w:rFonts w:ascii="Times New Roman" w:hAnsi="Times New Roman" w:cs="Times New Roman"/>
        </w:rPr>
        <w:t xml:space="preserve"> Guillory contends that the “canon debate” taking place during his moment of writing in 1993 “signifies nothing less </w:t>
      </w:r>
      <w:r>
        <w:rPr>
          <w:rFonts w:ascii="Times New Roman" w:hAnsi="Times New Roman" w:cs="Times New Roman"/>
        </w:rPr>
        <w:t xml:space="preserve">than a crisis in the form of cultural capital we call ‘literature’”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&lt;citation&gt;&lt;priority&gt;37&lt;/priority&gt;&lt;uuid&gt;AAF087CA-ACBA-40A8-9709-A902D6990FFB&lt;/uuid&gt;&lt;publications&gt;&lt;publication&gt;&lt;subtype&gt;1&lt;/subtype&gt;&lt;publisher&gt;University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(Guillory)</w:t>
      </w:r>
      <w:r w:rsidR="008335DF">
        <w:rPr>
          <w:rFonts w:ascii="Times New Roman" w:hAnsi="Times New Roman" w:cs="Times New Roman"/>
        </w:rPr>
        <w:fldChar w:fldCharType="end"/>
      </w:r>
      <w:r>
        <w:rPr>
          <w:rFonts w:ascii="Times New Roman" w:hAnsi="Times New Roman" w:cs="Times New Roman"/>
        </w:rPr>
        <w:t>; as both he and I argue, the roots of this crisis lie two hundred years earlier, in the eighteenth century formation of a vernacular (rather than classical) l</w:t>
      </w:r>
      <w:r>
        <w:rPr>
          <w:rFonts w:ascii="Times New Roman" w:hAnsi="Times New Roman" w:cs="Times New Roman"/>
        </w:rPr>
        <w:t>iterary canon, and in the 1790s “first crisis”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&lt;citation&gt;&lt;priority&gt;38&lt;/priority&gt;&lt;uuid&gt;79E435E4-13A6-436F-B2AD-9D5B1E0D1771&lt;/uuid&gt;&lt;publications&gt;&lt;publication&gt;&lt;subtype&gt;1&lt;/subtype&gt;&lt;publisher&gt;University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(Guillory)</w:t>
      </w:r>
      <w:r w:rsidR="008335DF">
        <w:rPr>
          <w:rFonts w:ascii="Times New Roman" w:hAnsi="Times New Roman" w:cs="Times New Roman"/>
        </w:rPr>
        <w:fldChar w:fldCharType="end"/>
      </w:r>
      <w:r>
        <w:rPr>
          <w:rFonts w:ascii="Times New Roman" w:hAnsi="Times New Roman" w:cs="Times New Roman"/>
        </w:rPr>
        <w:t xml:space="preserve"> of that canon. Guillory turns particularly to Wordsworth and Coleridge, and the strategies by which they confer a high status on their own work by undermining the cultural capital </w:t>
      </w:r>
      <w:r>
        <w:rPr>
          <w:rFonts w:ascii="Times New Roman" w:hAnsi="Times New Roman" w:cs="Times New Roman"/>
        </w:rPr>
        <w:t xml:space="preserve">of other forms. Wordsworth, Coleridge, and the other ‘big six’ </w:t>
      </w:r>
      <w:r>
        <w:rPr>
          <w:rFonts w:ascii="Times New Roman" w:hAnsi="Times New Roman" w:cs="Times New Roman"/>
        </w:rPr>
        <w:lastRenderedPageBreak/>
        <w:t xml:space="preserve">Romantics are surely the winners of the eighteenth century historical battle for cultural capital; just as surely, the loser has been the Gothic. E.J. Clery’s </w:t>
      </w:r>
      <w:r>
        <w:rPr>
          <w:rFonts w:ascii="Times New Roman" w:hAnsi="Times New Roman" w:cs="Times New Roman"/>
          <w:i/>
          <w:iCs/>
        </w:rPr>
        <w:t xml:space="preserve">The Rise of Supernatural Fiction, </w:t>
      </w:r>
      <w:r>
        <w:rPr>
          <w:rFonts w:ascii="Times New Roman" w:hAnsi="Times New Roman" w:cs="Times New Roman"/>
          <w:i/>
          <w:iCs/>
        </w:rPr>
        <w:t>1762-1800</w:t>
      </w:r>
      <w:r>
        <w:rPr>
          <w:rFonts w:ascii="Times New Roman" w:hAnsi="Times New Roman" w:cs="Times New Roman"/>
        </w:rPr>
        <w:t xml:space="preserve"> provides an account of what was at stake for the representations of supernatural events in supernatural stories in fiction, drama, and popular news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&lt;citation&gt;&lt;priority&gt;39&lt;/priority&gt;&lt;uuid&gt;7AB6207D-D279-4BBC-B7E6-DC8B97E788D0&lt;/uuid&gt;&lt;publications&gt;&lt;publication&gt;&lt;subtype&gt;0&lt;/subtype&gt;&lt;title&gt;The Rise of Supernatural Fiction&lt;/title&gt;&lt;uuid&gt;1C5BC4BA-9EF3-427D-9BA2-78C438A677FB&lt;/uuid&gt;&lt;type&gt;0&lt;/type&gt;&lt;citekey&gt;Clery:HFvEup7z&lt;/citekey&gt;&lt;authors&gt;&lt;author&gt;&lt;lastName&gt;Clery&lt;/lastName&gt;&lt;firstName&gt;E&lt;/firstName&gt;&lt;middleNames&gt;J&lt;/middleNames&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(Clery)</w:t>
      </w:r>
      <w:r w:rsidR="008335DF">
        <w:rPr>
          <w:rFonts w:ascii="Times New Roman" w:hAnsi="Times New Roman" w:cs="Times New Roman"/>
        </w:rPr>
        <w:fldChar w:fldCharType="end"/>
      </w:r>
      <w:r>
        <w:rPr>
          <w:rFonts w:ascii="Times New Roman" w:hAnsi="Times New Roman" w:cs="Times New Roman"/>
        </w:rPr>
        <w:t>. The “rise” she describes is not an increase in volume and prominence of sup</w:t>
      </w:r>
      <w:r>
        <w:rPr>
          <w:rFonts w:ascii="Times New Roman" w:hAnsi="Times New Roman" w:cs="Times New Roman"/>
        </w:rPr>
        <w:t>ernatural stories, since her starting point in 1762 (the Cock Lane ghost) is a major national phenomenon with many imitators. Rather, supernatural fiction ‘rises’ when it acquires cultural legitimacy. Michael Gamer has more recently expanded on how this ‘r</w:t>
      </w:r>
      <w:r>
        <w:rPr>
          <w:rFonts w:ascii="Times New Roman" w:hAnsi="Times New Roman" w:cs="Times New Roman"/>
        </w:rPr>
        <w:t xml:space="preserve">ise’ fuelled Romanticism’s own rise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&lt;citation&gt;&lt;priority&gt;40&lt;/priority&gt;&lt;uuid&gt;46A95A29-4F7B-4211-A6F7-4D88F6712D31&lt;/uuid&gt;&lt;publications&gt;&lt;publication&gt;&lt;subtype&gt;0&lt;/subtype&gt;&lt;title&gt;Romanticism and the Gothic&lt;/title&gt;&lt;uuid&gt;8D7F274F-107E-4312-93FE-99C81F9EF55F&lt;/uuid&gt;&lt;type&gt;0&lt;/type&gt;&lt;citekey&gt;Gamer:jX8nTxB-&lt;/citekey&gt;&lt;subtitle&gt;Genre, Reception, and Canon Formation&lt;/subtitle&gt;&lt;authors&gt;&lt;author&gt;&lt;lastName&gt;Gamer&lt;/lastName&gt;&lt;firstName&gt;Michael&lt;/firstName&gt;&lt;/author&gt;&lt;/authors&gt;&lt;/publication&gt;&lt;/publications&gt;&lt;cites&gt;&lt;/cites&gt;&lt;/citation&gt;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(Gamer)</w:t>
      </w:r>
      <w:r w:rsidR="008335DF">
        <w:rPr>
          <w:rFonts w:ascii="Times New Roman" w:hAnsi="Times New Roman" w:cs="Times New Roman"/>
        </w:rPr>
        <w:fldChar w:fldCharType="end"/>
      </w:r>
      <w:r>
        <w:rPr>
          <w:rFonts w:ascii="Times New Roman" w:hAnsi="Times New Roman" w:cs="Times New Roman"/>
        </w:rPr>
        <w:t xml:space="preserve">. In </w:t>
      </w:r>
      <w:r>
        <w:rPr>
          <w:rFonts w:ascii="Times New Roman" w:hAnsi="Times New Roman" w:cs="Times New Roman"/>
          <w:i/>
          <w:iCs/>
        </w:rPr>
        <w:t>Romanticism and the Gothic: Genre, Reception, and Canon Formation</w:t>
      </w:r>
      <w:r>
        <w:rPr>
          <w:rFonts w:ascii="Times New Roman" w:hAnsi="Times New Roman" w:cs="Times New Roman"/>
        </w:rPr>
        <w:t>, he details  the interconnectednesss of what are now seen as the separate categories of ‘high’ Romantic literature and ‘low,’ po</w:t>
      </w:r>
      <w:r>
        <w:rPr>
          <w:rFonts w:ascii="Times New Roman" w:hAnsi="Times New Roman" w:cs="Times New Roman"/>
        </w:rPr>
        <w:t>pular Gothic writing. By using Gothic materials in self-avowedly non-Gothic ways, Gamer argues, Romantic writers could appeal to popular taste without risking the loss of cultural capital which attended the Gothic’s “popularity”. Gamer, like Guillory, prim</w:t>
      </w:r>
      <w:r>
        <w:rPr>
          <w:rFonts w:ascii="Times New Roman" w:hAnsi="Times New Roman" w:cs="Times New Roman"/>
        </w:rPr>
        <w:t xml:space="preserve">arily examines Wordsworth and the ‘winners’ of the struggle for cultural capital: I, like Clery, am more interested in the ‘losers.’ Accordingly, I attend to much that is </w:t>
      </w:r>
      <w:r>
        <w:rPr>
          <w:rFonts w:ascii="Times New Roman" w:hAnsi="Times New Roman" w:cs="Times New Roman"/>
          <w:i/>
          <w:iCs/>
        </w:rPr>
        <w:t>not</w:t>
      </w:r>
      <w:r>
        <w:rPr>
          <w:rFonts w:ascii="Times New Roman" w:hAnsi="Times New Roman" w:cs="Times New Roman"/>
        </w:rPr>
        <w:t xml:space="preserve"> literature, in order to better understand why it is not.</w:t>
      </w:r>
    </w:p>
    <w:p w14:paraId="5CF47F2E"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ABFE154"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1.3.  </w:t>
      </w:r>
      <w:bookmarkStart w:id="17" w:name="theory"/>
      <w:r>
        <w:rPr>
          <w:rFonts w:cs="Georgia"/>
          <w:b/>
          <w:bCs/>
          <w:sz w:val="26"/>
          <w:szCs w:val="26"/>
        </w:rPr>
        <w:t>theory</w:t>
      </w:r>
      <w:bookmarkEnd w:id="17"/>
    </w:p>
    <w:p w14:paraId="1E341049"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4E617FE9" w14:textId="2BCEB2F6"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8" w:name="reparative_reading"/>
      <w:r>
        <w:rPr>
          <w:rFonts w:ascii="Times New Roman" w:hAnsi="Times New Roman" w:cs="Times New Roman"/>
        </w:rPr>
        <w:t>The</w:t>
      </w:r>
      <w:bookmarkEnd w:id="18"/>
      <w:r>
        <w:rPr>
          <w:rFonts w:ascii="Times New Roman" w:hAnsi="Times New Roman" w:cs="Times New Roman"/>
        </w:rPr>
        <w:t xml:space="preserve"> digital humanities and the eighteenth century are my primary subject matter, but in the interest of transparent methodology I wish to also state the theoretical frameworks which underpin my thinking. In the ‘venn </w:t>
      </w:r>
      <w:r>
        <w:rPr>
          <w:rFonts w:ascii="Times New Roman" w:hAnsi="Times New Roman" w:cs="Times New Roman"/>
        </w:rPr>
        <w:t xml:space="preserve">diagram’ of three fields, the </w:t>
      </w:r>
      <w:commentRangeStart w:id="19"/>
      <w:r>
        <w:rPr>
          <w:rFonts w:ascii="Times New Roman" w:hAnsi="Times New Roman" w:cs="Times New Roman"/>
        </w:rPr>
        <w:fldChar w:fldCharType="begin"/>
      </w:r>
      <w:r>
        <w:rPr>
          <w:rFonts w:ascii="Times New Roman" w:hAnsi="Times New Roman" w:cs="Times New Roman"/>
        </w:rPr>
        <w:instrText>HYPERLINK "scrivcmt://CC76B761-A41E-4E91-ADC1-3691AE3A0B26"</w:instrText>
      </w:r>
      <w:r w:rsidR="008335DF">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‘queer theory’</w:t>
      </w:r>
      <w:r>
        <w:rPr>
          <w:rFonts w:ascii="Times New Roman" w:hAnsi="Times New Roman" w:cs="Times New Roman"/>
        </w:rPr>
        <w:fldChar w:fldCharType="end"/>
      </w:r>
      <w:commentRangeEnd w:id="19"/>
      <w:r>
        <w:rPr>
          <w:rFonts w:ascii="Times New Roman" w:hAnsi="Times New Roman" w:cs="Times New Roman"/>
        </w:rPr>
        <w:commentReference w:id="19"/>
      </w:r>
      <w:r>
        <w:rPr>
          <w:rFonts w:ascii="Times New Roman" w:hAnsi="Times New Roman" w:cs="Times New Roman"/>
        </w:rPr>
        <w:t xml:space="preserve"> circle is smaller, </w:t>
      </w:r>
      <w:r>
        <w:rPr>
          <w:rFonts w:ascii="Times New Roman" w:hAnsi="Times New Roman" w:cs="Times New Roman"/>
        </w:rPr>
        <w:lastRenderedPageBreak/>
        <w:t>but no less important. My primary theoretical framework</w:t>
      </w:r>
      <w:r>
        <w:rPr>
          <w:rFonts w:ascii="Times New Roman" w:hAnsi="Times New Roman" w:cs="Times New Roman"/>
        </w:rPr>
        <w:t xml:space="preserve"> is that of reparative reading. Eve Sedgwick persuasively describes, in “Paranoid Reading and Reparative Reading,” the dominance of paranoia in literary criticism</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&lt;citation&gt;&lt;priority&gt;49&lt;/priority&gt;&lt;uuid&gt;3F0B9E69-95EC-4185-8BD0-C48B7F9D72AB&lt;/uuid&gt;&lt;publications&gt;&lt;publication&gt;&lt;subtype&gt;-1000&lt;/subtype&gt;&lt;place&gt;Durham &amp;amp; London&lt;/place&gt;&lt;title&gt;Paranoid Reading and Reparative Reading&lt;/title&gt;&lt;publication_date&gt;99200300001200000000200000&lt;/publication_date&gt;&lt;uuid&gt;3D999718-EBCC-438F-BA8F-ECC8E2D6AB09&lt;/uuid&gt;&lt;type&gt;-1000&lt;/type&gt;&lt;citekey&gt;Sedgwick:2015up&lt;/citekey&gt;&lt;subtitle&gt;Or, You're So Paranoid, You Probably Think This Essay is About You&lt;/subtitle&gt;&lt;startpage&gt;123&lt;/startpage&gt;&lt;endpage&gt;151&lt;/endpage&gt;&lt;bundle&gt;&lt;publication&gt;&lt;subtype&gt;0&lt;/subtype&gt;&lt;publisher&gt;Duke UP&lt;/publisher&gt;&lt;title&gt;Touching Feeling&lt;/title&gt;&lt;uuid&gt;C7B0A77A-0F4A-4AD1-8FA7-BE6F77F3217B&lt;/uuid&gt;&lt;type&gt;0&lt;/type&gt;&lt;subtitle&gt;Affect, Pedagogy, Performativity&lt;/subtitle&gt;&lt;/publication&gt;&lt;/bundle&gt;&lt;authors&gt;&lt;author&gt;&lt;lastName&gt;Sedgwick&lt;/lastName&gt;&lt;firstName&gt;Eve&lt;/firstName&gt;&lt;middleNames&gt;Kosofsky&lt;/middleNames&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(Sedgwick)</w:t>
      </w:r>
      <w:r w:rsidR="003975BD">
        <w:rPr>
          <w:rFonts w:ascii="Times New Roman" w:hAnsi="Times New Roman" w:cs="Times New Roman"/>
        </w:rPr>
        <w:fldChar w:fldCharType="end"/>
      </w:r>
      <w:r>
        <w:rPr>
          <w:rFonts w:ascii="Times New Roman" w:hAnsi="Times New Roman" w:cs="Times New Roman"/>
        </w:rPr>
        <w:t>}, and attempts to sketch an alternative in what she terms  reparative r</w:t>
      </w:r>
      <w:r>
        <w:rPr>
          <w:rFonts w:ascii="Times New Roman" w:hAnsi="Times New Roman" w:cs="Times New Roman"/>
        </w:rPr>
        <w:t xml:space="preserve">eading. My touchstones are two descriptions from Sedgwick’s original chapter, “Paranoid Reading and Reparative Reading”:  </w:t>
      </w:r>
    </w:p>
    <w:p w14:paraId="0D74DAC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6F8A7B4" w14:textId="13D4100F" w:rsidR="00000000" w:rsidRDefault="00C67F0E">
      <w:pPr>
        <w:pStyle w:val="BlockQuote"/>
        <w:widowControl/>
        <w:rPr>
          <w:rFonts w:ascii="Times New Roman" w:hAnsi="Times New Roman" w:cs="Times New Roman"/>
        </w:rPr>
      </w:pPr>
      <w:r>
        <w:rPr>
          <w:rFonts w:ascii="Times New Roman" w:hAnsi="Times New Roman" w:cs="Times New Roman"/>
        </w:rPr>
        <w:t>The desire of a reparative impulse... is additive and accretive. Its fear, a realistic one, is that the culture surrounding it is in</w:t>
      </w:r>
      <w:r>
        <w:rPr>
          <w:rFonts w:ascii="Times New Roman" w:hAnsi="Times New Roman" w:cs="Times New Roman"/>
        </w:rPr>
        <w:t>adequate or inimical to its nurture; it wants to assemble and confer plenitude to an object that will then have resources to offer to an inchoate self.</w:t>
      </w:r>
      <w:r w:rsidR="003975BD">
        <w:rPr>
          <w:rFonts w:ascii="Times New Roman" w:hAnsi="Times New Roman" w:cs="Times New Roman"/>
        </w:rPr>
        <w:t xml:space="preserve">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&lt;citation&gt;&lt;priority&gt;50&lt;/priority&gt;&lt;uuid&gt;7F81FDAB-DB4E-4DEC-B807-2D503E80AD2E&lt;/uuid&gt;&lt;publications&gt;&lt;publication&gt;&lt;subtype&gt;-1000&lt;/subtype&gt;&lt;place&gt;Durham &amp;amp; London&lt;/place&gt;&lt;title&gt;Paranoid Reading and Reparative Reading&lt;/title&gt;&lt;publication_date&gt;99200300001200000000200000&lt;/publication_date&gt;&lt;uuid&gt;3D999718-EBCC-438F-BA8F-ECC8E2D6AB09&lt;/uuid&gt;&lt;type&gt;-1000&lt;/type&gt;&lt;citekey&gt;Sedgwick:2015up&lt;/citekey&gt;&lt;subtitle&gt;Or, You're So Paranoid, You Probably Think This Essay is About You&lt;/subtitle&gt;&lt;startpage&gt;123&lt;/startpage&gt;&lt;endpage&gt;151&lt;/endpage&gt;&lt;bundle&gt;&lt;publication&gt;&lt;subtype&gt;0&lt;/subtype&gt;&lt;publisher&gt;Duke UP&lt;/publisher&gt;&lt;title&gt;Touching Feeling&lt;/title&gt;&lt;uuid&gt;C7B0A77A-0F4A-4AD1-8FA7-BE6F77F3217B&lt;/uuid&gt;&lt;type&gt;0&lt;/type&gt;&lt;subtitle&gt;Affect, Pedagogy, Performativity&lt;/subtitle&gt;&lt;/publication&gt;&lt;/bundle&gt;&lt;authors&gt;&lt;author&gt;&lt;lastName&gt;Sedgwick&lt;/lastName&gt;&lt;firstName&gt;Eve&lt;/firstName&gt;&lt;middleNames&gt;Kosofsky&lt;/middleNames&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(Sedgwick)</w:t>
      </w:r>
      <w:r w:rsidR="003975BD">
        <w:rPr>
          <w:rFonts w:ascii="Times New Roman" w:hAnsi="Times New Roman" w:cs="Times New Roman"/>
        </w:rPr>
        <w:fldChar w:fldCharType="end"/>
      </w:r>
      <w:r>
        <w:rPr>
          <w:rFonts w:ascii="Times New Roman" w:hAnsi="Times New Roman" w:cs="Times New Roman"/>
        </w:rPr>
        <w:t>}</w:t>
      </w:r>
    </w:p>
    <w:p w14:paraId="1C4687D3" w14:textId="77777777" w:rsidR="00000000" w:rsidRDefault="00C67F0E">
      <w:pPr>
        <w:pStyle w:val="BlockQuote"/>
        <w:widowControl/>
        <w:rPr>
          <w:rFonts w:ascii="Times New Roman" w:hAnsi="Times New Roman" w:cs="Times New Roman"/>
        </w:rPr>
      </w:pPr>
    </w:p>
    <w:p w14:paraId="58D55E8D" w14:textId="7255BC45" w:rsidR="00000000" w:rsidRDefault="00C67F0E">
      <w:pPr>
        <w:pStyle w:val="BlockQuote"/>
        <w:widowControl/>
        <w:rPr>
          <w:rFonts w:ascii="Times New Roman" w:hAnsi="Times New Roman" w:cs="Times New Roman"/>
        </w:rPr>
      </w:pPr>
      <w:r>
        <w:rPr>
          <w:rFonts w:ascii="Times New Roman" w:hAnsi="Times New Roman" w:cs="Times New Roman"/>
        </w:rPr>
        <w:t>What we can best learn from such practices are, perhaps, the many ways selves and communities succeed in extracting sustenance from the objects of a culture - even of a culture whose avowed desire has often been not to sustain them.</w:t>
      </w:r>
      <w:r w:rsidR="003975BD">
        <w:rPr>
          <w:rFonts w:ascii="Times New Roman" w:hAnsi="Times New Roman" w:cs="Times New Roman"/>
        </w:rPr>
        <w:t xml:space="preserve"> </w:t>
      </w:r>
      <w:r w:rsidR="003975BD">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&lt;citation&gt;&lt;priority&gt;51&lt;/priority&gt;&lt;uuid&gt;044E3D55-F5C7-4B67-A970-2AC196AFE88D&lt;/uuid&gt;&lt;publications&gt;&lt;publication&gt;&lt;subtype&gt;-1000&lt;/subtype&gt;&lt;place&gt;Durham &amp;amp; London&lt;/place&gt;&lt;title&gt;Paranoid Reading and Reparative Reading&lt;/title&gt;&lt;publication_date&gt;99200300001200000000200000&lt;/publication_date&gt;&lt;uuid&gt;3D999718-EBCC-438F-BA8F-ECC8E2D6AB09&lt;/uuid&gt;&lt;type&gt;-1000&lt;/type&gt;&lt;citekey&gt;Sedgwick:2015up&lt;/citekey&gt;&lt;subtitle&gt;Or, You're So Paranoid, You Probably Think This Essay is About You&lt;/subtitle&gt;&lt;startpage&gt;123&lt;/startpage&gt;&lt;endpage&gt;151&lt;/endpage&gt;&lt;bundle&gt;&lt;publication&gt;&lt;subtype&gt;0&lt;/subtype&gt;&lt;publisher&gt;Duke UP&lt;/publisher&gt;&lt;title&gt;Touching Feeling&lt;/title&gt;&lt;uuid&gt;C7B0A77A-0F4A-4AD1-8FA7-BE6F77F3217B&lt;/uuid&gt;&lt;type&gt;0&lt;/type&gt;&lt;subtitle&gt;Affect, Pedagogy, Performativity&lt;/subtitle&gt;&lt;/publication&gt;&lt;/bundle&gt;&lt;authors&gt;&lt;author&gt;&lt;lastName&gt;Sedgwick&lt;/lastName&gt;&lt;firstName&gt;Eve&lt;/firstName&gt;&lt;middleNames&gt;Kosofsky&lt;/middleNames&gt;&lt;/author&gt;&lt;/authors&gt;&lt;/publication&gt;&lt;/publications&gt;&lt;cites&gt;&lt;/cites&gt;&lt;/citation&gt;</w:instrText>
      </w:r>
      <w:r w:rsidR="003975BD">
        <w:rPr>
          <w:rFonts w:ascii="Times New Roman" w:hAnsi="Times New Roman" w:cs="Times New Roman"/>
        </w:rPr>
        <w:fldChar w:fldCharType="separate"/>
      </w:r>
      <w:r w:rsidR="003975BD">
        <w:rPr>
          <w:rFonts w:ascii="Times New Roman" w:hAnsi="Times New Roman" w:cs="Times New Roman"/>
        </w:rPr>
        <w:t>(Sedgwick)</w:t>
      </w:r>
      <w:r w:rsidR="003975BD">
        <w:rPr>
          <w:rFonts w:ascii="Times New Roman" w:hAnsi="Times New Roman" w:cs="Times New Roman"/>
        </w:rPr>
        <w:fldChar w:fldCharType="end"/>
      </w:r>
      <w:r>
        <w:rPr>
          <w:rFonts w:ascii="Times New Roman" w:hAnsi="Times New Roman" w:cs="Times New Roman"/>
        </w:rPr>
        <w:t xml:space="preserve">} </w:t>
      </w:r>
    </w:p>
    <w:p w14:paraId="0C992A35" w14:textId="77777777" w:rsidR="00000000" w:rsidRDefault="00C67F0E">
      <w:pPr>
        <w:pStyle w:val="BlockQuote"/>
        <w:widowControl/>
        <w:rPr>
          <w:rFonts w:ascii="Times New Roman" w:hAnsi="Times New Roman" w:cs="Times New Roman"/>
        </w:rPr>
      </w:pPr>
    </w:p>
    <w:p w14:paraId="6AF4E4B4"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 xml:space="preserve">What Sedgwick describes, here, is a “desire,” not a methodology.  I do not (yet?) claim that my work </w:t>
      </w:r>
      <w:r>
        <w:rPr>
          <w:rFonts w:ascii="Times New Roman" w:hAnsi="Times New Roman" w:cs="Times New Roman"/>
          <w:i/>
          <w:iCs/>
        </w:rPr>
        <w:t>is</w:t>
      </w:r>
      <w:r>
        <w:rPr>
          <w:rFonts w:ascii="Times New Roman" w:hAnsi="Times New Roman" w:cs="Times New Roman"/>
        </w:rPr>
        <w:t xml:space="preserve"> reparative, and certainly struggle to point to specific methodological decisions to draw a roadmap for reparative work generally. Nonethele</w:t>
      </w:r>
      <w:r>
        <w:rPr>
          <w:rFonts w:ascii="Times New Roman" w:hAnsi="Times New Roman" w:cs="Times New Roman"/>
        </w:rPr>
        <w:t>ss, this desire is at the core of my impulse toward the problems of canons, and of literature in turbulent times, and therefore I note it explicitly here. One reason I seek to go back to the simple, basic questions of ‘what was printed’ and ‘what was popul</w:t>
      </w:r>
      <w:r>
        <w:rPr>
          <w:rFonts w:ascii="Times New Roman" w:hAnsi="Times New Roman" w:cs="Times New Roman"/>
        </w:rPr>
        <w:t xml:space="preserve">ar’ and ‘what was important’ is that I fear that previous forays into these questions have been limited by paranoia. I therefore understand “reparative reading” to refer, not to a precise set of practices, but to a position one might occupy in relation to </w:t>
      </w:r>
      <w:r>
        <w:rPr>
          <w:rFonts w:ascii="Times New Roman" w:hAnsi="Times New Roman" w:cs="Times New Roman"/>
        </w:rPr>
        <w:t xml:space="preserve">a text. The </w:t>
      </w:r>
      <w:r>
        <w:rPr>
          <w:rFonts w:ascii="Times New Roman" w:hAnsi="Times New Roman" w:cs="Times New Roman"/>
        </w:rPr>
        <w:lastRenderedPageBreak/>
        <w:t>reparative position is a generous one, both in terms of giving of oneself to a text, and in terms of seeking a text’s strengths over its weaknesses.</w:t>
      </w:r>
    </w:p>
    <w:p w14:paraId="4FF6C91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498D99BA"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1.3.1.  </w:t>
      </w:r>
      <w:bookmarkStart w:id="20" w:name="not_close_reading"/>
      <w:r>
        <w:rPr>
          <w:rFonts w:cs="Georgia"/>
          <w:b/>
          <w:bCs/>
          <w:sz w:val="26"/>
          <w:szCs w:val="26"/>
        </w:rPr>
        <w:t>not close reading</w:t>
      </w:r>
      <w:bookmarkEnd w:id="20"/>
    </w:p>
    <w:p w14:paraId="584F3FA6"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73499D4A" w14:textId="335B3CB4"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Generosity is often assumed to be</w:t>
      </w:r>
      <w:r>
        <w:rPr>
          <w:rFonts w:ascii="Times New Roman" w:hAnsi="Times New Roman" w:cs="Times New Roman"/>
        </w:rPr>
        <w:t xml:space="preserve"> an affect which it is only possible to assume in conjunction with textual intimacy; that is to say, reparative reading is often assumed to entail </w:t>
      </w:r>
      <w:r>
        <w:rPr>
          <w:rFonts w:ascii="Times New Roman" w:hAnsi="Times New Roman" w:cs="Times New Roman"/>
          <w:i/>
          <w:iCs/>
        </w:rPr>
        <w:t>close</w:t>
      </w:r>
      <w:r>
        <w:rPr>
          <w:rFonts w:ascii="Times New Roman" w:hAnsi="Times New Roman" w:cs="Times New Roman"/>
        </w:rPr>
        <w:t xml:space="preserve"> reading. However, I contend that generosity can occur at any scale. Rita Felski provides valuable theor</w:t>
      </w:r>
      <w:r>
        <w:rPr>
          <w:rFonts w:ascii="Times New Roman" w:hAnsi="Times New Roman" w:cs="Times New Roman"/>
        </w:rPr>
        <w:t xml:space="preserve">etical insight for reparative readers who do not wish to be (only) close readers. Felski, in her article “After Suspicion” and then further in her monograph </w:t>
      </w:r>
      <w:r>
        <w:rPr>
          <w:rFonts w:ascii="Times New Roman" w:hAnsi="Times New Roman" w:cs="Times New Roman"/>
          <w:i/>
          <w:iCs/>
        </w:rPr>
        <w:t>The Limits of Critique</w:t>
      </w:r>
      <w:r>
        <w:rPr>
          <w:rFonts w:ascii="Times New Roman" w:hAnsi="Times New Roman" w:cs="Times New Roman"/>
        </w:rPr>
        <w:t>, frames the core question animated by Sedgwick’s conundrum as “Can we be pos</w:t>
      </w:r>
      <w:r>
        <w:rPr>
          <w:rFonts w:ascii="Times New Roman" w:hAnsi="Times New Roman" w:cs="Times New Roman"/>
        </w:rPr>
        <w:t>tcritical — as distinct from uncritical?” \cite{Felski:</w:t>
      </w:r>
      <w:r w:rsidR="00912BC9" w:rsidRPr="00912BC9">
        <w:rPr>
          <w:rFonts w:ascii="Times New Roman" w:hAnsi="Times New Roman" w:cs="Times New Roman"/>
        </w:rPr>
        <w:t xml:space="preserve">2015lc </w:t>
      </w:r>
      <w:r>
        <w:rPr>
          <w:rFonts w:ascii="Times New Roman" w:hAnsi="Times New Roman" w:cs="Times New Roman"/>
        </w:rPr>
        <w:t>p.151}. For Felski, the answer lies in attending seriously to literary attachments, including our own attachments as critics. Felski’s approach to these attachments is essentially sociological</w:t>
      </w:r>
      <w:r>
        <w:rPr>
          <w:rFonts w:ascii="Times New Roman" w:hAnsi="Times New Roman" w:cs="Times New Roman"/>
        </w:rPr>
        <w:t>, drawing heavily on Bruno Latour’s actor-network-theory</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&lt;citation&gt;&lt;priority&gt;41&lt;/priority&gt;&lt;uuid&gt;28740F03-2FA0-4283-88C9-E4835E79808B&lt;/uuid&gt;&lt;publications&gt;&lt;publication&gt;&lt;subtype&gt;0&lt;/subtype&gt;&lt;publisher&gt;Oxford UP&lt;/publisher&gt;&lt;title&gt;Reassembling the Social: An Introduction to Actor-Network-Theory&lt;/title&gt;&lt;publication_date&gt;99200500001200000000200000&lt;/publication_date&gt;&lt;uuid&gt;5BEC18FD-BB10-40BC-B034-1CF2A199EAF4&lt;/uuid&gt;&lt;type&gt;0&lt;/type&gt;&lt;authors&gt;&lt;author&gt;&lt;lastName&gt;Latour&lt;/lastName&gt;&lt;firstName&gt;Bruno&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(Latour)</w:t>
      </w:r>
      <w:r w:rsidR="008335DF">
        <w:rPr>
          <w:rFonts w:ascii="Times New Roman" w:hAnsi="Times New Roman" w:cs="Times New Roman"/>
        </w:rPr>
        <w:fldChar w:fldCharType="end"/>
      </w:r>
      <w:r>
        <w:rPr>
          <w:rFonts w:ascii="Times New Roman" w:hAnsi="Times New Roman" w:cs="Times New Roman"/>
        </w:rPr>
        <w:t>}, and thus involves almost no close reading. Felski does accord serious attention to textual effects in her work under the umbrella of what she terms“neophenomenology,” as first d</w:t>
      </w:r>
      <w:r>
        <w:rPr>
          <w:rFonts w:ascii="Times New Roman" w:hAnsi="Times New Roman" w:cs="Times New Roman"/>
        </w:rPr>
        <w:t>escribed in her “Everyday Aesthetics”</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&lt;citation&gt;&lt;priority&gt;42&lt;/priority&gt;&lt;uuid&gt;37161D2B-4D64-4460-9E53-B00718153CBC&lt;/uuid&gt;&lt;publications&gt;&lt;publication&gt;&lt;subtype&gt;400&lt;/subtype&gt;&lt;title&gt;Everyday Aesthetics&lt;/title&gt;&lt;volume&gt;71-72&lt;/volume&gt;&lt;publication_date&gt;99200905011200000000222000&lt;/publication_date&gt;&lt;uuid&gt;02AFFCF0-7703-4A70-AEBC-DF2C8A56E384&lt;/uuid&gt;&lt;type&gt;400&lt;/type&gt;&lt;startpage&gt;171&lt;/startpage&gt;&lt;endpage&gt;179&lt;/endpage&gt;&lt;bundle&gt;&lt;publication&gt;&lt;title&gt;the minnesota review&lt;/title&gt;&lt;uuid&gt;97F84852-3C04-43F9-AB71-C60340D13C10&lt;/uuid&gt;&lt;subtype&gt;-100&lt;/subtype&gt;&lt;type&gt;-100&lt;/type&gt;&lt;/publication&gt;&lt;/bundle&gt;&lt;authors&gt;&lt;author&gt;&lt;lastName&gt;Felski&lt;/lastName&gt;&lt;firstName&gt;Rita&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(Felski)</w:t>
      </w:r>
      <w:r w:rsidR="008335DF">
        <w:rPr>
          <w:rFonts w:ascii="Times New Roman" w:hAnsi="Times New Roman" w:cs="Times New Roman"/>
        </w:rPr>
        <w:fldChar w:fldCharType="end"/>
      </w:r>
      <w:r>
        <w:rPr>
          <w:rFonts w:ascii="Times New Roman" w:hAnsi="Times New Roman" w:cs="Times New Roman"/>
        </w:rPr>
        <w:t>, does accord more attention to textual effects. (This is where the “neo” arrives in “neophenomenology,” as Felski distinguishes herself from earlier phenomenologists who treat textual content as al</w:t>
      </w:r>
      <w:r>
        <w:rPr>
          <w:rFonts w:ascii="Times New Roman" w:hAnsi="Times New Roman" w:cs="Times New Roman"/>
        </w:rPr>
        <w:t xml:space="preserve">most irrelevant to the meaning-making carried out by readers.) Nonetheless, rather than explicating individual texts, Felski’s neophenomenological work seeks to address the phenomenon of reading itself. My own work is </w:t>
      </w:r>
      <w:r>
        <w:rPr>
          <w:rFonts w:ascii="Times New Roman" w:hAnsi="Times New Roman" w:cs="Times New Roman"/>
        </w:rPr>
        <w:lastRenderedPageBreak/>
        <w:t>neither sociological nor neophenomenol</w:t>
      </w:r>
      <w:r>
        <w:rPr>
          <w:rFonts w:ascii="Times New Roman" w:hAnsi="Times New Roman" w:cs="Times New Roman"/>
        </w:rPr>
        <w:t>ogical, but like Felski I undertake reparative, postcritical reading without close reading.</w:t>
      </w:r>
    </w:p>
    <w:p w14:paraId="6A2425D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07CD13B6" w14:textId="50FB9506" w:rsidR="00000000" w:rsidRDefault="00C67F0E" w:rsidP="00912B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1" w:name="surface_reading"/>
      <w:r>
        <w:rPr>
          <w:rFonts w:ascii="Times New Roman" w:hAnsi="Times New Roman" w:cs="Times New Roman"/>
        </w:rPr>
        <w:t>My</w:t>
      </w:r>
      <w:bookmarkEnd w:id="21"/>
      <w:r>
        <w:rPr>
          <w:rFonts w:ascii="Times New Roman" w:hAnsi="Times New Roman" w:cs="Times New Roman"/>
        </w:rPr>
        <w:t xml:space="preserve"> search for other ways of relating to literature has also led me to emerging work under the umbrella of “surface reading”. “Surface</w:t>
      </w:r>
      <w:r>
        <w:rPr>
          <w:rFonts w:ascii="Times New Roman" w:hAnsi="Times New Roman" w:cs="Times New Roman"/>
        </w:rPr>
        <w:t xml:space="preserve"> reading” positions itself as an alternative to “symptomatic reading”; rather than seeking to expose hidden truths concealed within texts, it attempts accurate descriptions that “make visible what is invisible only because it's too much on the surface of t</w:t>
      </w:r>
      <w:r>
        <w:rPr>
          <w:rFonts w:ascii="Times New Roman" w:hAnsi="Times New Roman" w:cs="Times New Roman"/>
        </w:rPr>
        <w:t xml:space="preserve">hings” </w:t>
      </w:r>
      <w:r w:rsidR="00912BC9" w:rsidRPr="00912BC9">
        <w:rPr>
          <w:rFonts w:ascii="Times New Roman" w:hAnsi="Times New Roman" w:cs="Times New Roman"/>
        </w:rPr>
        <w:t>\cite{Best:2016ve p.13}</w:t>
      </w:r>
      <w:r>
        <w:rPr>
          <w:rFonts w:ascii="Times New Roman" w:hAnsi="Times New Roman" w:cs="Times New Roman"/>
        </w:rPr>
        <w:t>. The analogues to reparative and paranoid reading are obvious, but not perfect: all paranoid reading is symptomatic, but not all symptomatic reading is paranoid. The tensions between these two modes of reading are explored in</w:t>
      </w:r>
      <w:r>
        <w:rPr>
          <w:rFonts w:ascii="Times New Roman" w:hAnsi="Times New Roman" w:cs="Times New Roman"/>
        </w:rPr>
        <w:t xml:space="preserve"> more detail in A.C. Facundo’s </w:t>
      </w:r>
      <w:r>
        <w:rPr>
          <w:rFonts w:ascii="Times New Roman" w:hAnsi="Times New Roman" w:cs="Times New Roman"/>
          <w:i/>
          <w:iCs/>
        </w:rPr>
        <w:t>Oscillations of Literary Theory: The Paranoid Imperative and Queer Reparative</w:t>
      </w:r>
      <w:r w:rsidR="00912BC9">
        <w:rPr>
          <w:rFonts w:ascii="Times New Roman" w:hAnsi="Times New Roman" w:cs="Times New Roman"/>
          <w:i/>
          <w:iCs/>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&lt;citation&gt;&lt;priority&gt;43&lt;/priority&gt;&lt;uuid&gt;0BAD2DCF-61FC-4178-8052-3C1A7BB5FB0B&lt;/uuid&gt;&lt;publications&gt;&lt;publication&gt;&lt;subtype&gt;0&lt;/subtype&gt;&lt;title&gt;Oscillations of Literary Theory: The Paranoid Imperative and Queer Reparative&lt;/title&gt;&lt;publication_date&gt;99201600001200000000200000&lt;/publication_date&gt;&lt;uuid&gt;DA23F7F3-C3A3-4793-8C02-5D080FC5F710&lt;/uuid&gt;&lt;type&gt;0&lt;/type&gt;&lt;authors&gt;&lt;author&gt;&lt;lastName&gt;Facundo&lt;/lastName&gt;&lt;firstName&gt;A&lt;/firstName&gt;&lt;middleNames&gt;C&lt;/middleNames&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(Facundo)</w:t>
      </w:r>
      <w:r w:rsidR="008335DF">
        <w:rPr>
          <w:rFonts w:ascii="Times New Roman" w:hAnsi="Times New Roman" w:cs="Times New Roman"/>
        </w:rPr>
        <w:fldChar w:fldCharType="end"/>
      </w:r>
      <w:r>
        <w:rPr>
          <w:rFonts w:ascii="Times New Roman" w:hAnsi="Times New Roman" w:cs="Times New Roman"/>
        </w:rPr>
        <w:t>. Reparative reading, as described by Sedgwick, is often still interested in ‘deep’ meanings of texts, in which striking tex</w:t>
      </w:r>
      <w:r>
        <w:rPr>
          <w:rFonts w:ascii="Times New Roman" w:hAnsi="Times New Roman" w:cs="Times New Roman"/>
        </w:rPr>
        <w:t>tual features can be interpreted to locate additional meanings. As a result, much of the work produced by queer theory is symptomatic even when it’s not paranoid — and it’s often paranoid.</w:t>
      </w:r>
    </w:p>
    <w:p w14:paraId="6179D5B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A092BA5" w14:textId="1F251274"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In contrast, “surface reading,” as Heather Love describes, pursues</w:t>
      </w:r>
      <w:r>
        <w:rPr>
          <w:rFonts w:ascii="Times New Roman" w:hAnsi="Times New Roman" w:cs="Times New Roman"/>
        </w:rPr>
        <w:t xml:space="preserve"> “a turn away from the singularity and richness of individual texts”</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&lt;citation&gt;&lt;priority&gt;44&lt;/priority&gt;&lt;uuid&gt;58270F7A-3897-4FFD-B1A8-C029A06E1BC2&lt;/uuid&gt;&lt;publications&gt;&lt;publication&gt;&lt;subtype&gt;400&lt;/subtype&gt;&lt;publisher&gt;The Johns Hopkins University Press&lt;/publisher&gt;&lt;title&gt;Close but not Deep: Literary Ethics and the Descriptive Turn&lt;/title&gt;&lt;url&gt;https://muse.jhu.edu/journals/new_literary_history/v041/41.2.love.html&lt;/url&gt;&lt;volume&gt;41&lt;/volume&gt;&lt;publication_date&gt;99201000001200000000200000&lt;/publication_date&gt;&lt;uuid&gt;6CFDF18F-145E-469C-A1B2-417DD1F01F79&lt;/uuid&gt;&lt;type&gt;400&lt;/type&gt;&lt;number&gt;2&lt;/number&gt;&lt;citekey&gt;Love:2010cv&lt;/citekey&gt;&lt;doi&gt;10.1353/nlh.2010.0007&lt;/doi&gt;&lt;startpage&gt;371&lt;/startpage&gt;&lt;endpage&gt;391&lt;/endpage&gt;&lt;bundle&gt;&lt;publication&gt;&lt;title&gt;New Literary History&lt;/title&gt;&lt;uuid&gt;B14D369E-E921-4517-8641-0FB4C5A4CF2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seeking descriptions are “complex and variegated, but not rich, warm, or deep”</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&lt;citation&gt;&lt;priority&gt;45&lt;/priority&gt;&lt;uuid&gt;764B4E47-C3CE-47A2-B85F-A9B3BA7D3509&lt;/uuid&gt;&lt;publications&gt;&lt;publication&gt;&lt;subtype&gt;400&lt;/subtype&gt;&lt;publisher&gt;The Johns Hopkins University Press&lt;/publisher&gt;&lt;title&gt;Close but not Deep: Literary Ethics and the Descriptive Turn&lt;/title&gt;&lt;url&gt;https://muse.jhu.edu/journals/new_literary_history/v041/41.2.love.html&lt;/url&gt;&lt;volume&gt;41&lt;/volume&gt;&lt;publication_date&gt;99201000001200000000200000&lt;/publication_date&gt;&lt;uuid&gt;6CFDF18F-145E-469C-A1B2-417DD1F01F79&lt;/uuid&gt;&lt;type&gt;400&lt;/type&gt;&lt;number&gt;2&lt;/number&gt;&lt;citekey&gt;Love:2010cv&lt;/citekey&gt;&lt;doi&gt;10.1353/nlh.2010.0007&lt;/doi&gt;&lt;startpage&gt;371&lt;/startpage&gt;&lt;endpage&gt;391&lt;/endpage&gt;&lt;bundle&gt;&lt;publication&gt;&lt;title&gt;New Literary History&lt;/title&gt;&lt;uuid&gt;B14D369E-E921-4517-8641-0FB4C5A4CF2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Love’s disavowal of “richness” here is part of her attem</w:t>
      </w:r>
      <w:r>
        <w:rPr>
          <w:rFonts w:ascii="Times New Roman" w:hAnsi="Times New Roman" w:cs="Times New Roman"/>
        </w:rPr>
        <w:t>pt to move away from “the ethical charisma of the literary translator or messenger”</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&lt;citation&gt;&lt;priority&gt;46&lt;/priority&gt;&lt;uuid&gt;8E4FC16C-5C8E-4AC9-A125-8D50C5657F75&lt;/uuid&gt;&lt;publications&gt;&lt;publication&gt;&lt;subtype&gt;400&lt;/subtype&gt;&lt;publisher&gt;The Johns Hopkins University Press&lt;/publisher&gt;&lt;title&gt;Close but not Deep: Literary Ethics and the Descriptive Turn&lt;/title&gt;&lt;url&gt;https://muse.jhu.edu/journals/new_literary_history/v041/41.2.love.html&lt;/url&gt;&lt;volume&gt;41&lt;/volume&gt;&lt;publication_date&gt;99201000001200000000200000&lt;/publication_date&gt;&lt;uuid&gt;6CFDF18F-145E-469C-A1B2-417DD1F01F79&lt;/uuid&gt;&lt;type&gt;400&lt;/type&gt;&lt;number&gt;2&lt;/number&gt;&lt;citekey&gt;Love:2010cv&lt;/citekey&gt;&lt;doi&gt;10.1353/nlh.2010.0007&lt;/doi&gt;&lt;startpage&gt;371&lt;/startpage&gt;&lt;endpage&gt;391&lt;/endpage&gt;&lt;bundle&gt;&lt;publication&gt;&lt;title&gt;New Literary History&lt;/title&gt;&lt;uuid&gt;B14D369E-E921-4517-8641-0FB4C5A4CF2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who characterizes the paranoid, critical figure that both Sedgwick and Felski also seek to escape. The rejection of this figure also informs Love’s</w:t>
      </w:r>
      <w:r>
        <w:rPr>
          <w:rFonts w:ascii="Times New Roman" w:hAnsi="Times New Roman" w:cs="Times New Roman"/>
        </w:rPr>
        <w:t xml:space="preserve"> approach to description:</w:t>
      </w:r>
    </w:p>
    <w:p w14:paraId="6CDC221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413F12B" w14:textId="408E6B68" w:rsidR="00000000" w:rsidRDefault="00C67F0E">
      <w:pPr>
        <w:pStyle w:val="BlockQuote"/>
        <w:widowControl/>
        <w:rPr>
          <w:rFonts w:ascii="Times New Roman" w:hAnsi="Times New Roman" w:cs="Times New Roman"/>
        </w:rPr>
      </w:pPr>
      <w:r>
        <w:rPr>
          <w:rFonts w:ascii="Times New Roman" w:hAnsi="Times New Roman" w:cs="Times New Roman"/>
        </w:rPr>
        <w:lastRenderedPageBreak/>
        <w:t>Good descriptions are in a sense rich, but not because they truck with imponderables like human experience or human nature. They are close, but they are not deep; rather than adding anything “extra” to the description, they accou</w:t>
      </w:r>
      <w:r>
        <w:rPr>
          <w:rFonts w:ascii="Times New Roman" w:hAnsi="Times New Roman" w:cs="Times New Roman"/>
        </w:rPr>
        <w:t>nt for the real variety that is already there.</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&lt;citation&gt;&lt;priority&gt;47&lt;/priority&gt;&lt;uuid&gt;CA7A38A8-3D2D-4C5A-B18D-06882EC19F0A&lt;/uuid&gt;&lt;publications&gt;&lt;publication&gt;&lt;subtype&gt;400&lt;/subtype&gt;&lt;publisher&gt;The Johns Hopkins University Press&lt;/publisher&gt;&lt;title&gt;Close but not Deep: Literary Ethics and the Descriptive Turn&lt;/title&gt;&lt;url&gt;https://muse.jhu.edu/journals/new_literary_history/v041/41.2.love.html&lt;/url&gt;&lt;volume&gt;41&lt;/volume&gt;&lt;publication_date&gt;99201000001200000000200000&lt;/publication_date&gt;&lt;uuid&gt;6CFDF18F-145E-469C-A1B2-417DD1F01F79&lt;/uuid&gt;&lt;type&gt;400&lt;/type&gt;&lt;number&gt;2&lt;/number&gt;&lt;citekey&gt;Love:2010cv&lt;/citekey&gt;&lt;doi&gt;10.1353/nlh.2010.0007&lt;/doi&gt;&lt;startpage&gt;371&lt;/startpage&gt;&lt;endpage&gt;391&lt;/endpage&gt;&lt;bundle&gt;&lt;publication&gt;&lt;title&gt;New Literary History&lt;/title&gt;&lt;uuid&gt;B14D369E-E921-4517-8641-0FB4C5A4CF2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w:t>
      </w:r>
    </w:p>
    <w:p w14:paraId="1C17D65D" w14:textId="77777777" w:rsidR="00000000" w:rsidRDefault="00C67F0E">
      <w:pPr>
        <w:pStyle w:val="BlockQuote"/>
        <w:widowControl/>
        <w:rPr>
          <w:rFonts w:ascii="Times New Roman" w:hAnsi="Times New Roman" w:cs="Times New Roman"/>
        </w:rPr>
      </w:pPr>
    </w:p>
    <w:p w14:paraId="59877C29" w14:textId="02FA70C1"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Love’s articulation of this mode of is, partly, struggling with the task of describing something which does not yet fully exist. Her later article, “Close Reading and Thin Description</w:t>
      </w:r>
      <w:r>
        <w:rPr>
          <w:rFonts w:ascii="Times New Roman" w:hAnsi="Times New Roman" w:cs="Times New Roman"/>
        </w:rPr>
        <w:t>,” provides a more precise articulation of the kind of close reading that she calls for, in which an “exhaustive, fine-grained attention to phenomena”</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&lt;citation&gt;&lt;priority&gt;48&lt;/priority&gt;&lt;uuid&gt;500F5563-D49D-451E-89A0-793D4FD68E85&lt;/uuid&gt;&lt;publications&gt;&lt;publication&gt;&lt;subtype&gt;400&lt;/subtype&gt;&lt;publisher&gt;Duke University Press&lt;/publisher&gt;&lt;title&gt;Close Reading and Thin Description&lt;/title&gt;&lt;url&gt;http://publicculture.dukejournals.org/cgi/doi/10.1215/08992363-2144688&lt;/url&gt;&lt;volume&gt;25&lt;/volume&gt;&lt;publication_date&gt;99201308291200000000222000&lt;/publication_date&gt;&lt;uuid&gt;CC8E52A8-2E81-4B9C-B065-9E920CDE2D25&lt;/uuid&gt;&lt;type&gt;400&lt;/type&gt;&lt;number&gt;3 71&lt;/number&gt;&lt;citekey&gt;Love:2013cu&lt;/citekey&gt;&lt;doi&gt;10.1215/08992363-2144688&lt;/doi&gt;&lt;startpage&gt;401&lt;/startpage&gt;&lt;endpage&gt;434&lt;/endpage&gt;&lt;bundle&gt;&lt;publication&gt;&lt;title&gt;Public Culture&lt;/title&gt;&lt;uuid&gt;7B5DB93C-2714-496B-A62A-96D8DB621A1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enables “taking up the position of the device; by turning oneself into a camera,</w:t>
      </w:r>
      <w:r>
        <w:rPr>
          <w:rFonts w:ascii="Times New Roman" w:hAnsi="Times New Roman" w:cs="Times New Roman"/>
        </w:rPr>
        <w:t xml:space="preserve"> one could—at least ideally—pay equal attention to every aspect of a scene that is available to the senses and record it faithfully”</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&lt;citation&gt;&lt;priority&gt;49&lt;/priority&gt;&lt;uuid&gt;98EB56AF-3306-4355-AD69-916049EC279D&lt;/uuid&gt;&lt;publications&gt;&lt;publication&gt;&lt;subtype&gt;400&lt;/subtype&gt;&lt;publisher&gt;Duke University Press&lt;/publisher&gt;&lt;title&gt;Close Reading and Thin Description&lt;/title&gt;&lt;url&gt;http://publicculture.dukejournals.org/cgi/doi/10.1215/08992363-2144688&lt;/url&gt;&lt;volume&gt;25&lt;/volume&gt;&lt;publication_date&gt;99201308291200000000222000&lt;/publication_date&gt;&lt;uuid&gt;CC8E52A8-2E81-4B9C-B065-9E920CDE2D25&lt;/uuid&gt;&lt;type&gt;400&lt;/type&gt;&lt;number&gt;3 71&lt;/number&gt;&lt;citekey&gt;Love:2013cu&lt;/citekey&gt;&lt;doi&gt;10.1215/08992363-2144688&lt;/doi&gt;&lt;startpage&gt;401&lt;/startpage&gt;&lt;endpage&gt;434&lt;/endpage&gt;&lt;bundle&gt;&lt;publication&gt;&lt;title&gt;Public Culture&lt;/title&gt;&lt;uuid&gt;7B5DB93C-2714-496B-A62A-96D8DB621A1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Although Love is somewhat uninterested in “distant reading” as synonymous with Moretti</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&lt;citation&gt;&lt;priority&gt;50&lt;/priority&gt;&lt;uuid&gt;59275BC5-D2FE-43E2-A545-C97D374972F4&lt;/uuid&gt;&lt;publications&gt;&lt;publication&gt;&lt;subtype&gt;400&lt;/subtype&gt;&lt;publisher&gt;Duke University Press&lt;/publisher&gt;&lt;title&gt;Close Reading and Thin Description&lt;/title&gt;&lt;url&gt;http://publicculture.dukejournals.org/cgi/doi/10.1215/08992363-2144688&lt;/url&gt;&lt;volume&gt;25&lt;/volume&gt;&lt;publication_date&gt;99201308291200000000222000&lt;/publication_date&gt;&lt;uuid&gt;CC8E52A8-2E81-4B9C-B065-9E920CDE2D25&lt;/uuid&gt;&lt;type&gt;400&lt;/type&gt;&lt;number&gt;3 71&lt;/number&gt;&lt;citekey&gt;Love:2013cu&lt;/citekey&gt;&lt;doi&gt;10.1215/08992363-2144688&lt;/doi&gt;&lt;startpage&gt;401&lt;/startpage&gt;&lt;endpage&gt;434&lt;/endpage&gt;&lt;bundle&gt;&lt;publication&gt;&lt;title&gt;Public Culture&lt;/title&gt;&lt;uuid&gt;7B5DB93C-2714-496B-A62A-96D8DB621A1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this invocation of the mechanical implies, I argue, an obvious potential for computation. It is in order to create room for computation that I pay particular attention to Love’s earlier, more tentative discussion of description as a literar</w:t>
      </w:r>
      <w:r>
        <w:rPr>
          <w:rFonts w:ascii="Times New Roman" w:hAnsi="Times New Roman" w:cs="Times New Roman"/>
        </w:rPr>
        <w:t>y practice. Computational distant reading cannot answer Love’s call for “a model for close reading after the decline of the linguistic turn”</w:t>
      </w:r>
      <w:r w:rsidR="008335DF">
        <w:rPr>
          <w:rFonts w:ascii="Times New Roman" w:hAnsi="Times New Roman" w:cs="Times New Roman"/>
        </w:rPr>
        <w:t xml:space="preserve">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&lt;citation&gt;&lt;priority&gt;51&lt;/priority&gt;&lt;uuid&gt;F866216D-AA6B-4574-A906-E61A8EF0FBA0&lt;/uuid&gt;&lt;publications&gt;&lt;publication&gt;&lt;subtype&gt;400&lt;/subtype&gt;&lt;publisher&gt;Duke University Press&lt;/publisher&gt;&lt;title&gt;Close Reading and Thin Description&lt;/title&gt;&lt;url&gt;http://publicculture.dukejournals.org/cgi/doi/10.1215/08992363-2144688&lt;/url&gt;&lt;volume&gt;25&lt;/volume&gt;&lt;publication_date&gt;99201308291200000000222000&lt;/publication_date&gt;&lt;uuid&gt;CC8E52A8-2E81-4B9C-B065-9E920CDE2D25&lt;/uuid&gt;&lt;type&gt;400&lt;/type&gt;&lt;number&gt;3 71&lt;/number&gt;&lt;citekey&gt;Love:2013cu&lt;/citekey&gt;&lt;doi&gt;10.1215/08992363-2144688&lt;/doi&gt;&lt;startpage&gt;401&lt;/startpage&gt;&lt;endpage&gt;434&lt;/endpage&gt;&lt;bundle&gt;&lt;publication&gt;&lt;title&gt;Public Culture&lt;/title&gt;&lt;uuid&gt;7B5DB93C-2714-496B-A62A-96D8DB621A1A&lt;/uuid&gt;&lt;subtype&gt;-100&lt;/subtype&gt;&lt;type&gt;-100&lt;/type&gt;&lt;/publication&gt;&lt;/bundle&gt;&lt;authors&gt;&lt;author&gt;&lt;lastName&gt;Love&lt;/lastName&gt;&lt;firstName&gt;Heather&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(Love)</w:t>
      </w:r>
      <w:r w:rsidR="008335DF">
        <w:rPr>
          <w:rFonts w:ascii="Times New Roman" w:hAnsi="Times New Roman" w:cs="Times New Roman"/>
        </w:rPr>
        <w:fldChar w:fldCharType="end"/>
      </w:r>
      <w:r>
        <w:rPr>
          <w:rFonts w:ascii="Times New Roman" w:hAnsi="Times New Roman" w:cs="Times New Roman"/>
        </w:rPr>
        <w:t xml:space="preserve">}, since it is not close reading, but computation does enable </w:t>
      </w:r>
      <w:r>
        <w:rPr>
          <w:rFonts w:ascii="Times New Roman" w:hAnsi="Times New Roman" w:cs="Times New Roman"/>
          <w:i/>
          <w:iCs/>
        </w:rPr>
        <w:t>closeness</w:t>
      </w:r>
      <w:r>
        <w:rPr>
          <w:rFonts w:ascii="Times New Roman" w:hAnsi="Times New Roman" w:cs="Times New Roman"/>
        </w:rPr>
        <w:t xml:space="preserve"> without depth. As I </w:t>
      </w:r>
      <w:r>
        <w:rPr>
          <w:rFonts w:ascii="Times New Roman" w:hAnsi="Times New Roman" w:cs="Times New Roman"/>
        </w:rPr>
        <w:t xml:space="preserve">will discuss more fully in [FUTURE SECTION], a good computational model is unlikely to “truck with imponderables,” but it </w:t>
      </w:r>
      <w:r>
        <w:rPr>
          <w:rFonts w:ascii="Times New Roman" w:hAnsi="Times New Roman" w:cs="Times New Roman"/>
          <w:i/>
          <w:iCs/>
        </w:rPr>
        <w:t>absolutely</w:t>
      </w:r>
      <w:r>
        <w:rPr>
          <w:rFonts w:ascii="Times New Roman" w:hAnsi="Times New Roman" w:cs="Times New Roman"/>
        </w:rPr>
        <w:t xml:space="preserve"> </w:t>
      </w:r>
      <w:r>
        <w:rPr>
          <w:rFonts w:ascii="Times New Roman" w:hAnsi="Times New Roman" w:cs="Times New Roman"/>
          <w:i/>
          <w:iCs/>
        </w:rPr>
        <w:t>must</w:t>
      </w:r>
      <w:r>
        <w:rPr>
          <w:rFonts w:ascii="Times New Roman" w:hAnsi="Times New Roman" w:cs="Times New Roman"/>
        </w:rPr>
        <w:t xml:space="preserve"> “account for the real variety that is already there” or else one’s code will simply fail to run.</w:t>
      </w:r>
    </w:p>
    <w:p w14:paraId="3DB30A9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8A9E03B"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lastRenderedPageBreak/>
        <w:t xml:space="preserve">1.3.2.  </w:t>
      </w:r>
      <w:bookmarkStart w:id="22" w:name="conclusion"/>
      <w:r>
        <w:rPr>
          <w:rFonts w:cs="Georgia"/>
          <w:b/>
          <w:bCs/>
          <w:sz w:val="26"/>
          <w:szCs w:val="26"/>
        </w:rPr>
        <w:t>co</w:t>
      </w:r>
      <w:r>
        <w:rPr>
          <w:rFonts w:cs="Georgia"/>
          <w:b/>
          <w:bCs/>
          <w:sz w:val="26"/>
          <w:szCs w:val="26"/>
        </w:rPr>
        <w:t>nclusion</w:t>
      </w:r>
      <w:bookmarkEnd w:id="22"/>
    </w:p>
    <w:p w14:paraId="480BF2B4"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0D6AB0DF"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By marrying “surface reading” and “distant reading” I may seem to leave “reparative reading” behind: after all, Felski’s call for postcritical analysis explicitly suggests, “Sometimes serious thinking calls for a judicious decrease rath</w:t>
      </w:r>
      <w:r>
        <w:rPr>
          <w:rFonts w:ascii="Times New Roman" w:hAnsi="Times New Roman" w:cs="Times New Roman"/>
        </w:rPr>
        <w:t>er than and increase of distance” (CITE). However, Felski then defines a decrease of distance as “a willingness to acknowledge and more fully engage our attachments”: this, I insist, can be done at any scale.</w:t>
      </w:r>
    </w:p>
    <w:p w14:paraId="5110077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6EFA6F3C"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2.  </w:t>
      </w:r>
      <w:bookmarkStart w:id="23" w:name="synthesis_of_3_fields"/>
      <w:r>
        <w:rPr>
          <w:rFonts w:cs="Georgia"/>
          <w:b/>
          <w:bCs/>
          <w:sz w:val="26"/>
          <w:szCs w:val="26"/>
        </w:rPr>
        <w:t>synthesis of 3 fields</w:t>
      </w:r>
      <w:bookmarkEnd w:id="23"/>
    </w:p>
    <w:p w14:paraId="188A544C"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0DD0B90F"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4" w:name="we_need_Venn"/>
      <w:r>
        <w:rPr>
          <w:rFonts w:ascii="Times New Roman" w:hAnsi="Times New Roman" w:cs="Times New Roman"/>
        </w:rPr>
        <w:t>Drawing</w:t>
      </w:r>
      <w:bookmarkEnd w:id="24"/>
      <w:r>
        <w:rPr>
          <w:rFonts w:ascii="Times New Roman" w:hAnsi="Times New Roman" w:cs="Times New Roman"/>
        </w:rPr>
        <w:t xml:space="preserve"> together three scholarly conversations with three distinct histories — the digital humanities, the 1790s, and reparative reading — it is difficult to attentively del</w:t>
      </w:r>
      <w:r>
        <w:rPr>
          <w:rFonts w:ascii="Times New Roman" w:hAnsi="Times New Roman" w:cs="Times New Roman"/>
        </w:rPr>
        <w:t>ineate the links and the tensions between each thread. Especially since many of these fields have, in fact, overlapped substantially, there is a danger of simplistically conflating distinct lines of thoughts. At the same time, over-emphasis on distinctions</w:t>
      </w:r>
      <w:r>
        <w:rPr>
          <w:rFonts w:ascii="Times New Roman" w:hAnsi="Times New Roman" w:cs="Times New Roman"/>
        </w:rPr>
        <w:t xml:space="preserve"> can overstate the separations between fields which do in fact (as the existence of this dissertation contents) share important affinities. To navigate these conceptual overlaps carefully, let us make our way through each area of an imagined Venn diagram o</w:t>
      </w:r>
      <w:r>
        <w:rPr>
          <w:rFonts w:ascii="Times New Roman" w:hAnsi="Times New Roman" w:cs="Times New Roman"/>
        </w:rPr>
        <w:t>f the three. We can discuss each pair in turn — DH and eighteenth century studies; eighteenth century studies and queer theory; queer theory and DH — to make our way toward the centre where all three overlap.</w:t>
      </w:r>
    </w:p>
    <w:p w14:paraId="1B5838F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28D036A"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lastRenderedPageBreak/>
        <w:t xml:space="preserve">2.1.  </w:t>
      </w:r>
      <w:bookmarkStart w:id="25" w:name="DH_1790s"/>
      <w:r>
        <w:rPr>
          <w:rFonts w:cs="Georgia"/>
          <w:b/>
          <w:bCs/>
          <w:sz w:val="26"/>
          <w:szCs w:val="26"/>
        </w:rPr>
        <w:t>DH &amp; 1790s</w:t>
      </w:r>
      <w:bookmarkEnd w:id="25"/>
    </w:p>
    <w:p w14:paraId="16C8C424"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commentRangeStart w:id="26"/>
    <w:p w14:paraId="2F19494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"scrivcmt://697F1950-43C2-42C3-83D4-6252832B2C0B"</w:instrText>
      </w:r>
      <w:r w:rsidR="008335DF">
        <w:rPr>
          <w:rFonts w:ascii="Times New Roman" w:hAnsi="Times New Roman" w:cs="Times New Roman"/>
        </w:rPr>
      </w:r>
      <w:r>
        <w:rPr>
          <w:rFonts w:ascii="Times New Roman" w:hAnsi="Times New Roman" w:cs="Times New Roman"/>
        </w:rPr>
        <w:fldChar w:fldCharType="separate"/>
      </w:r>
      <w:bookmarkStart w:id="27" w:name="scholarly_archives"/>
      <w:r>
        <w:rPr>
          <w:rFonts w:ascii="Times New Roman" w:hAnsi="Times New Roman" w:cs="Times New Roman"/>
        </w:rPr>
        <w:t>Eighteenth</w:t>
      </w:r>
      <w:bookmarkEnd w:id="27"/>
      <w:r>
        <w:rPr>
          <w:rFonts w:ascii="Times New Roman" w:hAnsi="Times New Roman" w:cs="Times New Roman"/>
        </w:rPr>
        <w:t xml:space="preserve"> century materials of various kinds have been collected in many digital archives, of very different scope.</w:t>
      </w:r>
      <w:r>
        <w:rPr>
          <w:rFonts w:ascii="Times New Roman" w:hAnsi="Times New Roman" w:cs="Times New Roman"/>
        </w:rPr>
        <w:fldChar w:fldCharType="end"/>
      </w:r>
      <w:commentRangeEnd w:id="26"/>
      <w:r>
        <w:rPr>
          <w:rFonts w:ascii="Times New Roman" w:hAnsi="Times New Roman" w:cs="Times New Roman"/>
        </w:rPr>
        <w:commentReference w:id="26"/>
      </w:r>
      <w:r>
        <w:rPr>
          <w:rFonts w:ascii="Times New Roman" w:hAnsi="Times New Roman" w:cs="Times New Roman"/>
        </w:rPr>
        <w:t xml:space="preserve"> These are discussed in more detail in Chapter 2. On the tip of anyone’s tongue, of course, is Gale’s Ei</w:t>
      </w:r>
      <w:r>
        <w:rPr>
          <w:rFonts w:ascii="Times New Roman" w:hAnsi="Times New Roman" w:cs="Times New Roman"/>
        </w:rPr>
        <w:t>ghteenth Century Collections Online (ECCO), containing over 180,000 titles 1701-1800, of which 42,000 were printed in England between 1789 and 1799. ECCO is itself (mostly) a subset of the broader English Short Title Catalogue (ESTC), which contains more 4</w:t>
      </w:r>
      <w:r>
        <w:rPr>
          <w:rFonts w:ascii="Times New Roman" w:hAnsi="Times New Roman" w:cs="Times New Roman"/>
        </w:rPr>
        <w:t>60,000 texts 1473-1800, of which 51,965 were printed in England between 1789 and 1799 (indicating that nearly 10,000 in the decade titles appear in the ESTC but not ECCO). The ESTC does not provide access to texts themselves: instead, it is an authoritativ</w:t>
      </w:r>
      <w:r>
        <w:rPr>
          <w:rFonts w:ascii="Times New Roman" w:hAnsi="Times New Roman" w:cs="Times New Roman"/>
        </w:rPr>
        <w:t>e bibliographic catalogue, available as a searchable database. It is ECCO which provides texts themselves: ECCO’s 180,000 titles works are available as photographed facsimiles of the full text of each title. The facsimiles can be searched within ECCO’s onl</w:t>
      </w:r>
      <w:r>
        <w:rPr>
          <w:rFonts w:ascii="Times New Roman" w:hAnsi="Times New Roman" w:cs="Times New Roman"/>
        </w:rPr>
        <w:t xml:space="preserve">ine interface; these searches examine a plaintext version of the facsimile pages that was generated by Optical Character Recognition (OCR), but this OCR text is not made directly available. As a result, the facsimiles may be read individually by scholars, </w:t>
      </w:r>
      <w:r>
        <w:rPr>
          <w:rFonts w:ascii="Times New Roman" w:hAnsi="Times New Roman" w:cs="Times New Roman"/>
        </w:rPr>
        <w:t>but cannot form the basis for computational corpus analysis. A subset of ECCO’s texts have been hand-prepared, as part of the Text Creation Partnership (TCP), to be easier to use in computational research. The resulting corpus of ECCO-TCP texts contains 2,</w:t>
      </w:r>
      <w:r>
        <w:rPr>
          <w:rFonts w:ascii="Times New Roman" w:hAnsi="Times New Roman" w:cs="Times New Roman"/>
        </w:rPr>
        <w:t xml:space="preserve">231 titles, of which 466 were printed in England between 1789 and 1799. These titles are available as carefully-edited texts encoded according to the Text Encoding Initiative (TEI) standard, which not only provides an accurate version of the text’s words, </w:t>
      </w:r>
      <w:r>
        <w:rPr>
          <w:rFonts w:ascii="Times New Roman" w:hAnsi="Times New Roman" w:cs="Times New Roman"/>
        </w:rPr>
        <w:t xml:space="preserve">but encodes substantial details regarding its context on the page. Most large-scale distant reading of eighteenth century literature relies in the ECCO-TCP corpus as its ‘model’ or ‘sample’ to </w:t>
      </w:r>
      <w:r>
        <w:rPr>
          <w:rFonts w:ascii="Times New Roman" w:hAnsi="Times New Roman" w:cs="Times New Roman"/>
        </w:rPr>
        <w:lastRenderedPageBreak/>
        <w:t>represent the period. Accordingly, one of the tasks of this dis</w:t>
      </w:r>
      <w:r>
        <w:rPr>
          <w:rFonts w:ascii="Times New Roman" w:hAnsi="Times New Roman" w:cs="Times New Roman"/>
        </w:rPr>
        <w:t>sertation is to precisely examine the makeup of thus corpus, and how it differs both from other corpora and from print culture in the period itself. These three digital collections — ECCO, ESTC, and ECCO-TCP — are the primary digital resources for the peri</w:t>
      </w:r>
      <w:r>
        <w:rPr>
          <w:rFonts w:ascii="Times New Roman" w:hAnsi="Times New Roman" w:cs="Times New Roman"/>
        </w:rPr>
        <w:t>od, which form the basis of most digital research. However, they represent only one approach toward the collection and presentation of digital texts, to which there are two broad kinds of alternatives. These large but meticulous collections occupy a middle</w:t>
      </w:r>
      <w:r>
        <w:rPr>
          <w:rFonts w:ascii="Times New Roman" w:hAnsi="Times New Roman" w:cs="Times New Roman"/>
        </w:rPr>
        <w:t xml:space="preserve"> space between, on the one hand, highly selective thematic collections, of which there are many, and the giants of indiscriminate textual accumulation, of which there are few.</w:t>
      </w:r>
    </w:p>
    <w:p w14:paraId="781C3AF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6E0E4B2D"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Smaller collections allow for more scholarly curation, but have corresponding l</w:t>
      </w:r>
      <w:r>
        <w:rPr>
          <w:rFonts w:ascii="Times New Roman" w:hAnsi="Times New Roman" w:cs="Times New Roman"/>
        </w:rPr>
        <w:t>imitations. Whereas the ‘main players’ can be easily enumerated for the mega-archives, these specialized collections are numerous. Some will focus on particular kinds of texts, such as the Early Novels Database (2,041 novels 1700-1799) or Broadside Ballads</w:t>
      </w:r>
      <w:r>
        <w:rPr>
          <w:rFonts w:ascii="Times New Roman" w:hAnsi="Times New Roman" w:cs="Times New Roman"/>
        </w:rPr>
        <w:t xml:space="preserve"> Online (more than 30,000 broadside ballads). Others exhaustively index particular publications, such as The Hampshire Chronicle, the Index to the Lady’s Magazine (1770 to 1818), or the Novels Reviewed Database (1,836 reviews from The Critical Review and T</w:t>
      </w:r>
      <w:r>
        <w:rPr>
          <w:rFonts w:ascii="Times New Roman" w:hAnsi="Times New Roman" w:cs="Times New Roman"/>
        </w:rPr>
        <w:t>he Monthly Review, 1790-1820). Feminist scholarship in particular has seen the creation of resources like the Orlando Project, the Chawton House library Novels Online, Northeastern University’s Women Writers Online and UC Davis’s British Women Romantic Poe</w:t>
      </w:r>
      <w:r>
        <w:rPr>
          <w:rFonts w:ascii="Times New Roman" w:hAnsi="Times New Roman" w:cs="Times New Roman"/>
        </w:rPr>
        <w:t xml:space="preserve">ts. The virtue of these collections is that they achieve even greater accuracy and comprehensiveness within their defined scope. The Shelley-Godwin Archive, for example, can reasonably aspire to digitize </w:t>
      </w:r>
      <w:r>
        <w:rPr>
          <w:rFonts w:ascii="Times New Roman" w:hAnsi="Times New Roman" w:cs="Times New Roman"/>
          <w:i/>
          <w:iCs/>
        </w:rPr>
        <w:t>every</w:t>
      </w:r>
      <w:r>
        <w:rPr>
          <w:rFonts w:ascii="Times New Roman" w:hAnsi="Times New Roman" w:cs="Times New Roman"/>
        </w:rPr>
        <w:t xml:space="preserve"> known manuscript of Percy Bysshe Shelley, Mary</w:t>
      </w:r>
      <w:r>
        <w:rPr>
          <w:rFonts w:ascii="Times New Roman" w:hAnsi="Times New Roman" w:cs="Times New Roman"/>
        </w:rPr>
        <w:t xml:space="preserve"> Wollstonecraft Shelley, William Godwin, and Mary Wollstonecraft, and to provide these manuscripts in hand-encoded plaintext transcripts. However, as is inevitable, these specialized </w:t>
      </w:r>
      <w:r>
        <w:rPr>
          <w:rFonts w:ascii="Times New Roman" w:hAnsi="Times New Roman" w:cs="Times New Roman"/>
        </w:rPr>
        <w:lastRenderedPageBreak/>
        <w:t xml:space="preserve">archives have the vices of their virtues: their specialized focus allows </w:t>
      </w:r>
      <w:r>
        <w:rPr>
          <w:rFonts w:ascii="Times New Roman" w:hAnsi="Times New Roman" w:cs="Times New Roman"/>
        </w:rPr>
        <w:t>them to adapt precisely to their materials, and their idiosyncratic data structures can rarely be combined with other resources. The William Blake Archive, for example, benefits enormously from designing its archive around the unique images of each page of</w:t>
      </w:r>
      <w:r>
        <w:rPr>
          <w:rFonts w:ascii="Times New Roman" w:hAnsi="Times New Roman" w:cs="Times New Roman"/>
        </w:rPr>
        <w:t xml:space="preserve"> each copy of each of Blake’s works. But because this approach is so well-suited to Blake, it cannot be applied beyond Blake. Even if the archive’s resources were available for download, they could not be directly compared to materials from another source </w:t>
      </w:r>
      <w:r>
        <w:rPr>
          <w:rFonts w:ascii="Times New Roman" w:hAnsi="Times New Roman" w:cs="Times New Roman"/>
        </w:rPr>
        <w:t xml:space="preserve">which does not record its information at such a minute level of detail. </w:t>
      </w:r>
    </w:p>
    <w:p w14:paraId="3566E18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46E6CC5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Also in the category of ‘smaller and specialized’ archives is Project Gutenberg. Project Gutenberg makes no claims to scholarly reliability but nonetheless underlies a not-significan</w:t>
      </w:r>
      <w:r>
        <w:rPr>
          <w:rFonts w:ascii="Times New Roman" w:hAnsi="Times New Roman" w:cs="Times New Roman"/>
        </w:rPr>
        <w:t>t amount of scholarly work</w:t>
      </w:r>
      <w:r>
        <w:rPr>
          <w:rFonts w:ascii="Times New Roman" w:hAnsi="Times New Roman" w:cs="Times New Roman"/>
          <w:vertAlign w:val="superscript"/>
        </w:rPr>
        <w:footnoteReference w:id="11"/>
      </w:r>
      <w:r>
        <w:rPr>
          <w:rFonts w:ascii="Times New Roman" w:hAnsi="Times New Roman" w:cs="Times New Roman"/>
        </w:rPr>
        <w:t xml:space="preserve"> — </w:t>
      </w:r>
      <w:bookmarkStart w:id="28" w:name="micro_archives"/>
      <w:r>
        <w:rPr>
          <w:rFonts w:ascii="Times New Roman" w:hAnsi="Times New Roman" w:cs="Times New Roman"/>
        </w:rPr>
        <w:t>its</w:t>
      </w:r>
      <w:bookmarkEnd w:id="28"/>
      <w:r>
        <w:rPr>
          <w:rFonts w:ascii="Times New Roman" w:hAnsi="Times New Roman" w:cs="Times New Roman"/>
        </w:rPr>
        <w:t xml:space="preserve"> cultural capital as a resource lags far behind its use and utility. Project Gutenberg is easily conceived of as a haphazard, ‘unscholarly’ source for materials, but unlike Google Books, Project Gutenberg actually does have selection criteria. Pr</w:t>
      </w:r>
      <w:r>
        <w:rPr>
          <w:rFonts w:ascii="Times New Roman" w:hAnsi="Times New Roman" w:cs="Times New Roman"/>
        </w:rPr>
        <w:t>oject Gutenberg is only interested in public domain works which contemporary audiences might be interested in reading for pleasure. It narrows the field substantially to exclude works which have either ceased to be broadly interesting (as in the case of mo</w:t>
      </w:r>
      <w:r>
        <w:rPr>
          <w:rFonts w:ascii="Times New Roman" w:hAnsi="Times New Roman" w:cs="Times New Roman"/>
        </w:rPr>
        <w:t>st forgotten fiction), or which was never particularly interesting (as in the case of almanacs and tax codes). Project Gutenberg includes 57,796 texts: far more than specialized scholarly archives like the Early Novels Database or the Shelley-Godwin Archiv</w:t>
      </w:r>
      <w:r>
        <w:rPr>
          <w:rFonts w:ascii="Times New Roman" w:hAnsi="Times New Roman" w:cs="Times New Roman"/>
        </w:rPr>
        <w:t xml:space="preserve">e, but nonetheless an order of magnitude fewer than its more-voracious potential competitors. And, like smaller specialized scholarly archives, Project Gutenberg has </w:t>
      </w:r>
      <w:r>
        <w:rPr>
          <w:rFonts w:ascii="Times New Roman" w:hAnsi="Times New Roman" w:cs="Times New Roman"/>
        </w:rPr>
        <w:lastRenderedPageBreak/>
        <w:t>tailored its holdings to make it easy for readers to read, and quite difficult for its col</w:t>
      </w:r>
      <w:r>
        <w:rPr>
          <w:rFonts w:ascii="Times New Roman" w:hAnsi="Times New Roman" w:cs="Times New Roman"/>
        </w:rPr>
        <w:t>lection to be applied to any other use. By tailoring the structure of the archive itself to its specific materials, these collections are able to thoughtfully achieve their aims — but they also make it correspondingly difficult for users to achieve their o</w:t>
      </w:r>
      <w:r>
        <w:rPr>
          <w:rFonts w:ascii="Times New Roman" w:hAnsi="Times New Roman" w:cs="Times New Roman"/>
        </w:rPr>
        <w:t>wn, different aims.</w:t>
      </w:r>
    </w:p>
    <w:p w14:paraId="1F39E65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0B46956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The best known mega-archive is, of course, Google Books. In a scholarly context, one hesitates even to designate this as an “archive,” particularly in the same breath as resources like ECCO: books of all kinds are scanned indiscriminat</w:t>
      </w:r>
      <w:r>
        <w:rPr>
          <w:rFonts w:ascii="Times New Roman" w:hAnsi="Times New Roman" w:cs="Times New Roman"/>
        </w:rPr>
        <w:t>ely with only the bare minimum of roughly-accurate metadata collected about them. Books are sourced from libraries whose collections are being scanned in bulk, or are submitted directly by publishers or authors who are attracted by Google’s call to “Promot</w:t>
      </w:r>
      <w:r>
        <w:rPr>
          <w:rFonts w:ascii="Times New Roman" w:hAnsi="Times New Roman" w:cs="Times New Roman"/>
        </w:rPr>
        <w:t>e your books on Google—for free” (CITE</w:t>
      </w:r>
      <w:r>
        <w:rPr>
          <w:rFonts w:ascii="Times New Roman" w:hAnsi="Times New Roman" w:cs="Times New Roman"/>
          <w:vertAlign w:val="superscript"/>
        </w:rPr>
        <w:footnoteReference w:id="12"/>
      </w:r>
      <w:r>
        <w:rPr>
          <w:rFonts w:ascii="Times New Roman" w:hAnsi="Times New Roman" w:cs="Times New Roman"/>
        </w:rPr>
        <w:t>).   These rapidly-scanned books are prone to unpredictable errors, including inaccurate dates, misspellings, duplicate copies, and inaccurate subject classifica</w:t>
      </w:r>
      <w:r>
        <w:rPr>
          <w:rFonts w:ascii="Times New Roman" w:hAnsi="Times New Roman" w:cs="Times New Roman"/>
        </w:rPr>
        <w:t>tions (Harper 2016; Jacsó 2008; Weiss 2016) (CITE Mike Sutton and Mark D. Griffiths) — infamously, many books have “1899” assigned as their publication date because this date was used as a placeholder for “no date”.</w:t>
      </w:r>
      <w:r>
        <w:rPr>
          <w:rFonts w:ascii="Times New Roman" w:hAnsi="Times New Roman" w:cs="Times New Roman"/>
          <w:vertAlign w:val="superscript"/>
        </w:rPr>
        <w:footnoteReference w:id="13"/>
      </w:r>
      <w:r>
        <w:rPr>
          <w:rFonts w:ascii="Times New Roman" w:hAnsi="Times New Roman" w:cs="Times New Roman"/>
        </w:rPr>
        <w:t xml:space="preserve"> Many photographed pages still include the fingers of the employee holding open the book. Nonetheless, Google Books is frequently used to study the prevalence of various “n-grams” (words or short phrases) over time, thanks to Google’s built-in </w:t>
      </w:r>
      <w:r>
        <w:rPr>
          <w:rFonts w:ascii="Times New Roman" w:hAnsi="Times New Roman" w:cs="Times New Roman"/>
        </w:rPr>
        <w:t>tool. The tool is able to search books which are, for copyright restrictions, not available directly to readers, making it highly tempting for question about contemporary language use. Similar in scope to Google Books but with more limited research tools i</w:t>
      </w:r>
      <w:r>
        <w:rPr>
          <w:rFonts w:ascii="Times New Roman" w:hAnsi="Times New Roman" w:cs="Times New Roman"/>
        </w:rPr>
        <w:t xml:space="preserve">s The Internet Archive. The Internet Archive, unlike Google Books, is a non-profit, but like Google Books, it carries out mass scanning of books. The Internet Archive </w:t>
      </w:r>
      <w:r>
        <w:rPr>
          <w:rFonts w:ascii="Times New Roman" w:hAnsi="Times New Roman" w:cs="Times New Roman"/>
        </w:rPr>
        <w:lastRenderedPageBreak/>
        <w:t>declares that it contains 20 million books and texts, and scans 1,000 books per day in 28</w:t>
      </w:r>
      <w:r>
        <w:rPr>
          <w:rFonts w:ascii="Times New Roman" w:hAnsi="Times New Roman" w:cs="Times New Roman"/>
        </w:rPr>
        <w:t xml:space="preserve"> locations around the world (CITE).</w:t>
      </w:r>
      <w:r>
        <w:rPr>
          <w:rFonts w:ascii="Times New Roman" w:hAnsi="Times New Roman" w:cs="Times New Roman"/>
          <w:vertAlign w:val="superscript"/>
        </w:rPr>
        <w:footnoteReference w:id="14"/>
      </w:r>
      <w:r>
        <w:rPr>
          <w:rFonts w:ascii="Times New Roman" w:hAnsi="Times New Roman" w:cs="Times New Roman"/>
        </w:rPr>
        <w:t xml:space="preserve"> </w:t>
      </w:r>
      <w:bookmarkStart w:id="29" w:name="mega_archives"/>
      <w:r>
        <w:rPr>
          <w:rFonts w:ascii="Times New Roman" w:hAnsi="Times New Roman" w:cs="Times New Roman"/>
        </w:rPr>
        <w:t>Equivalent</w:t>
      </w:r>
      <w:bookmarkEnd w:id="29"/>
      <w:r>
        <w:rPr>
          <w:rFonts w:ascii="Times New Roman" w:hAnsi="Times New Roman" w:cs="Times New Roman"/>
        </w:rPr>
        <w:t xml:space="preserve"> numbers are not published for Google Books, which has received less attention from Google as it encountered more legal barriers; in 2013 books were scann</w:t>
      </w:r>
      <w:r>
        <w:rPr>
          <w:rFonts w:ascii="Times New Roman" w:hAnsi="Times New Roman" w:cs="Times New Roman"/>
        </w:rPr>
        <w:t>ed at the rate of 1,000 pages per hour, and in 2015 more than 25 million books had been scanned. Google Books, Project Gutenberg, and the Internet Archive are not “canonical” sources of texts, but they are nonetheless part of the ecosystem of digital eight</w:t>
      </w:r>
      <w:r>
        <w:rPr>
          <w:rFonts w:ascii="Times New Roman" w:hAnsi="Times New Roman" w:cs="Times New Roman"/>
        </w:rPr>
        <w:t>eenth century studies.</w:t>
      </w:r>
    </w:p>
    <w:p w14:paraId="2DDEB603"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53F954E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F3AE428"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314F9BE3" w14:textId="603C9D81"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0" w:name="HathiTrust"/>
      <w:r>
        <w:rPr>
          <w:rFonts w:ascii="Times New Roman" w:hAnsi="Times New Roman" w:cs="Times New Roman"/>
        </w:rPr>
        <w:t>Moreover</w:t>
      </w:r>
      <w:bookmarkEnd w:id="30"/>
      <w:r>
        <w:rPr>
          <w:rFonts w:ascii="Times New Roman" w:hAnsi="Times New Roman" w:cs="Times New Roman"/>
        </w:rPr>
        <w:t>, as in eighteenth century texts themselves, the boundary between “canonical” and “noncanonical” digital archives is a permeable one: Google Books and the Internet Archive are also integrated into Hathi</w:t>
      </w:r>
      <w:r>
        <w:rPr>
          <w:rFonts w:ascii="Times New Roman" w:hAnsi="Times New Roman" w:cs="Times New Roman"/>
        </w:rPr>
        <w:t xml:space="preserve">Trust, an increasingly popular resource for scholars. HathiTrust’s collection contains digitized content from “a variety of sources, including Google, the Internet Archive, Microsoft, and in-house member institution initiatives”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&lt;citation&gt;&lt;priority&gt;52&lt;/priority&gt;&lt;uuid&gt;BDC4111D-0AD4-44DC-BEB9-F2A6CEA64F05&lt;/uuid&gt;&lt;publications&gt;&lt;publication&gt;&lt;subtype&gt;403&lt;/subtype&gt;&lt;title&gt;Our Digital Library&lt;/title&gt;&lt;publication_date&gt;99201903101200000000222000&lt;/publication_date&gt;&lt;uuid&gt;B1502DAF-B2FC-42EC-B61C-870395D55CA6&lt;/uuid&gt;&lt;type&gt;400&lt;/type&gt;&lt;citekey&gt;HathiTrust:2019vs&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(HathiTrust)</w:t>
      </w:r>
      <w:r w:rsidR="008335DF">
        <w:rPr>
          <w:rFonts w:ascii="Times New Roman" w:hAnsi="Times New Roman" w:cs="Times New Roman"/>
        </w:rPr>
        <w:fldChar w:fldCharType="end"/>
      </w:r>
      <w:r>
        <w:rPr>
          <w:rFonts w:ascii="Times New Roman" w:hAnsi="Times New Roman" w:cs="Times New Roman"/>
        </w:rPr>
        <w:t>. T</w:t>
      </w:r>
      <w:r>
        <w:rPr>
          <w:rFonts w:ascii="Times New Roman" w:hAnsi="Times New Roman" w:cs="Times New Roman"/>
        </w:rPr>
        <w:t xml:space="preserve">he “in-house member institutions” are six consortia (such as the University of California state university system), and one hundred and forty-nine individual universities and colleges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&lt;citation&gt;&lt;priority&gt;53&lt;/priority&gt;&lt;uuid&gt;E9FCE9BA-E91E-4305-8CFE-F9EE7C48DD17&lt;/uuid&gt;&lt;publications&gt;&lt;publication&gt;&lt;subtype&gt;403&lt;/subtype&gt;&lt;title&gt;Our Membership&lt;/title&gt;&lt;publication_date&gt;99201903101200000000222000&lt;/publication_date&gt;&lt;uuid&gt;6D018E07-8154-4563-B5EB-4707BF1DDE78&lt;/uuid&gt;&lt;type&gt;400&lt;/type&gt;&lt;citekey&gt;HathiTrust:2019ti&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(HathiTrust)</w:t>
      </w:r>
      <w:r w:rsidR="008335DF">
        <w:rPr>
          <w:rFonts w:ascii="Times New Roman" w:hAnsi="Times New Roman" w:cs="Times New Roman"/>
        </w:rPr>
        <w:fldChar w:fldCharType="end"/>
      </w:r>
      <w:r>
        <w:rPr>
          <w:rFonts w:ascii="Times New Roman" w:hAnsi="Times New Roman" w:cs="Times New Roman"/>
        </w:rPr>
        <w:t>. The aggregate scholarly authority of these ins</w:t>
      </w:r>
      <w:r>
        <w:rPr>
          <w:rFonts w:ascii="Times New Roman" w:hAnsi="Times New Roman" w:cs="Times New Roman"/>
        </w:rPr>
        <w:t xml:space="preserve">titutions carries the weight of elevating HathiTrust above the Google Books scans which form the backbone of much of its contents: “The members ensure the reliability and efficiency of the digital library,” the website assures us, “by relying on community </w:t>
      </w:r>
      <w:r>
        <w:rPr>
          <w:rFonts w:ascii="Times New Roman" w:hAnsi="Times New Roman" w:cs="Times New Roman"/>
        </w:rPr>
        <w:t xml:space="preserve">standards and best practices”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&lt;citation&gt;&lt;priority&gt;54&lt;/priority&gt;&lt;uuid&gt;39370E2E-928F-4EAD-8C9A-DA55000B617A&lt;/uuid&gt;&lt;publications&gt;&lt;publication&gt;&lt;subtype&gt;403&lt;/subtype&gt;&lt;title&gt;Our Digital Library&lt;/title&gt;&lt;publication_date&gt;99201903101200000000222000&lt;/publication_date&gt;&lt;uuid&gt;B1502DAF-B2FC-42EC-B61C-870395D55CA6&lt;/uuid&gt;&lt;type&gt;400&lt;/type&gt;&lt;citekey&gt;HathiTrust:2019vs&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(HathiTrust)</w:t>
      </w:r>
      <w:r w:rsidR="008335DF">
        <w:rPr>
          <w:rFonts w:ascii="Times New Roman" w:hAnsi="Times New Roman" w:cs="Times New Roman"/>
        </w:rPr>
        <w:fldChar w:fldCharType="end"/>
      </w:r>
      <w:r>
        <w:rPr>
          <w:rFonts w:ascii="Times New Roman" w:hAnsi="Times New Roman" w:cs="Times New Roman"/>
        </w:rPr>
        <w:t xml:space="preserve">. The collection itself is always expanding: the website contains a dedicated set of instructions for “Getting Content Into HathiTrust,” </w:t>
      </w:r>
      <w:r>
        <w:rPr>
          <w:rFonts w:ascii="Times New Roman" w:hAnsi="Times New Roman" w:cs="Times New Roman"/>
        </w:rPr>
        <w:lastRenderedPageBreak/>
        <w:t>providing an “Ingest Checklist” for those who might contribute ei</w:t>
      </w:r>
      <w:r>
        <w:rPr>
          <w:rFonts w:ascii="Times New Roman" w:hAnsi="Times New Roman" w:cs="Times New Roman"/>
        </w:rPr>
        <w:t xml:space="preserve">ther existing or new digitized content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&lt;citation&gt;&lt;priority&gt;55&lt;/priority&gt;&lt;uuid&gt;5B713FB7-F9E9-493C-BF82-B23E63CBB73F&lt;/uuid&gt;&lt;publications&gt;&lt;publication&gt;&lt;subtype&gt;403&lt;/subtype&gt;&lt;title&gt;Getting Content Into HathiTrust&lt;/title&gt;&lt;publication_date&gt;99201903101200000000222000&lt;/publication_date&gt;&lt;uuid&gt;E747523F-BA51-4555-9355-A7F6A029C140&lt;/uuid&gt;&lt;type&gt;400&lt;/type&gt;&lt;citekey&gt;HathiTrust:2019tf&lt;/citekey&gt;&lt;startpage&gt;1&lt;/startpage&gt;&lt;endpage&gt;1&lt;/endpage&gt;&lt;bundle&gt;&lt;publication&gt;&lt;title&gt;HathiTrust&lt;/title&gt;&lt;uuid&gt;C3009233-8533-486D-89D5-A9FAB881F55A&lt;/uuid&gt;&lt;subtype&gt;-300&lt;/subtype&gt;&lt;type&gt;-300&lt;/type&gt;&lt;/publication&gt;&lt;/bundle&gt;&lt;authors&gt;&lt;author&gt;&lt;lastName&gt;HathiTrust&lt;/la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(HathiTrust)</w:t>
      </w:r>
      <w:r w:rsidR="008335DF">
        <w:rPr>
          <w:rFonts w:ascii="Times New Roman" w:hAnsi="Times New Roman" w:cs="Times New Roman"/>
        </w:rPr>
        <w:fldChar w:fldCharType="end"/>
      </w:r>
      <w:r>
        <w:rPr>
          <w:rFonts w:ascii="Times New Roman" w:hAnsi="Times New Roman" w:cs="Times New Roman"/>
        </w:rPr>
        <w:t xml:space="preserve">. The texts themselves are all stored as facsimile page images and full-text OCR transcripts. In order to comply with copyright law, however, HathiTrust only provides large-scale downloads and </w:t>
      </w:r>
      <w:r>
        <w:rPr>
          <w:rFonts w:ascii="Times New Roman" w:hAnsi="Times New Roman" w:cs="Times New Roman"/>
        </w:rPr>
        <w:t>OCR transcripts for texts which are in the public domain. What does, in fact, distinguish HathiTrust from similar repositories is its commitment to enabling fair use and research-based access to texts as much as possible. Rather than favouring maximum rest</w:t>
      </w:r>
      <w:r>
        <w:rPr>
          <w:rFonts w:ascii="Times New Roman" w:hAnsi="Times New Roman" w:cs="Times New Roman"/>
        </w:rPr>
        <w:t xml:space="preserve">riction of access for maximum protection from legal complaints, HathiTrust has innovated several ways to allow scholars to carry out text-mining analysis on copyrighted texts. The scholarly benefit of HathiTrust is most evident, therefore, in the study of </w:t>
      </w:r>
      <w:r>
        <w:rPr>
          <w:rFonts w:ascii="Times New Roman" w:hAnsi="Times New Roman" w:cs="Times New Roman"/>
        </w:rPr>
        <w:t>contemporary literature, where copyright has been a major barrier to study. However, eighteenth century texts are so firmly in the public domain that copyright issues rarely arise; instead, the major challenge in building large-scale corpora of transcripts</w:t>
      </w:r>
      <w:r>
        <w:rPr>
          <w:rFonts w:ascii="Times New Roman" w:hAnsi="Times New Roman" w:cs="Times New Roman"/>
        </w:rPr>
        <w:t xml:space="preserve"> (rather than facsimiles) is the resistance of eighteenth century typefaces to OCR. Especially since many eighteenth century digital facsimiles are themselves fascimiles of microfiche (with resulting loss of image fidelity), running an eighteenth century p</w:t>
      </w:r>
      <w:r>
        <w:rPr>
          <w:rFonts w:ascii="Times New Roman" w:hAnsi="Times New Roman" w:cs="Times New Roman"/>
        </w:rPr>
        <w:t>age image through OCR software generally produces useless gibberish. As a result, HathiTrust’s key intervention — using OCR to circumvent copyright restrictions — has limited applicability to eighteenth century studies.</w:t>
      </w:r>
    </w:p>
    <w:p w14:paraId="561C26A2"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103068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1" w:name="conclusion-1"/>
      <w:bookmarkEnd w:id="31"/>
      <w:r>
        <w:rPr>
          <w:rFonts w:ascii="Times New Roman" w:hAnsi="Times New Roman" w:cs="Times New Roman"/>
        </w:rPr>
        <w:t>As</w:t>
      </w:r>
      <w:r>
        <w:rPr>
          <w:rFonts w:ascii="Times New Roman" w:hAnsi="Times New Roman" w:cs="Times New Roman"/>
        </w:rPr>
        <w:t xml:space="preserve"> this survey of eighteenth century digital archives shows, there is no ‘perfect’ corpus for large-scale study of eighteenth century texts. Moreover, I argue, the imperfect samples which each archive provides are shaped not only by historical factors of eig</w:t>
      </w:r>
      <w:r>
        <w:rPr>
          <w:rFonts w:ascii="Times New Roman" w:hAnsi="Times New Roman" w:cs="Times New Roman"/>
        </w:rPr>
        <w:t xml:space="preserve">hteenth century print culture, but also by contemporary digital culture. Each archive represents a unique set of choices </w:t>
      </w:r>
      <w:r>
        <w:rPr>
          <w:rFonts w:ascii="Times New Roman" w:hAnsi="Times New Roman" w:cs="Times New Roman"/>
        </w:rPr>
        <w:lastRenderedPageBreak/>
        <w:t>in response to the same sets of questions: what to include, why, how; what to make accessible, why, how, to whom; what, in the end, mak</w:t>
      </w:r>
      <w:r>
        <w:rPr>
          <w:rFonts w:ascii="Times New Roman" w:hAnsi="Times New Roman" w:cs="Times New Roman"/>
        </w:rPr>
        <w:t xml:space="preserve">es a text matter, and what we are meant to </w:t>
      </w:r>
      <w:r>
        <w:rPr>
          <w:rFonts w:ascii="Times New Roman" w:hAnsi="Times New Roman" w:cs="Times New Roman"/>
          <w:i/>
          <w:iCs/>
        </w:rPr>
        <w:t>do</w:t>
      </w:r>
      <w:r>
        <w:rPr>
          <w:rFonts w:ascii="Times New Roman" w:hAnsi="Times New Roman" w:cs="Times New Roman"/>
        </w:rPr>
        <w:t xml:space="preserve"> with texts. As this dissertation will argue more fully in Chapter 2, these questions of digital history have important resonance with literary questions about literary canon formation.</w:t>
      </w:r>
    </w:p>
    <w:p w14:paraId="3C1DE4D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61E12C13"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r>
        <w:rPr>
          <w:rFonts w:cs="Georgia"/>
          <w:b/>
          <w:bCs/>
          <w:sz w:val="26"/>
          <w:szCs w:val="26"/>
        </w:rPr>
        <w:t xml:space="preserve">2.2.  </w:t>
      </w:r>
      <w:bookmarkStart w:id="32" w:name="1790s_queer"/>
      <w:bookmarkEnd w:id="32"/>
      <w:r>
        <w:rPr>
          <w:rFonts w:cs="Georgia"/>
          <w:b/>
          <w:bCs/>
          <w:sz w:val="26"/>
          <w:szCs w:val="26"/>
        </w:rPr>
        <w:t>1790s &amp;</w:t>
      </w:r>
      <w:r>
        <w:rPr>
          <w:rFonts w:cs="Georgia"/>
          <w:b/>
          <w:bCs/>
          <w:sz w:val="26"/>
          <w:szCs w:val="26"/>
        </w:rPr>
        <w:t xml:space="preserve"> queer</w:t>
      </w:r>
    </w:p>
    <w:p w14:paraId="1664CD8A"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rPr>
      </w:pPr>
    </w:p>
    <w:p w14:paraId="342DEB8B"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Pr>
          <w:rFonts w:ascii="Times New Roman" w:hAnsi="Times New Roman" w:cs="Times New Roman"/>
        </w:rPr>
        <w:t>[</w:t>
      </w:r>
      <w:bookmarkStart w:id="33" w:name="queer_gothics"/>
      <w:r>
        <w:rPr>
          <w:rFonts w:ascii="Times New Roman" w:hAnsi="Times New Roman" w:cs="Times New Roman"/>
        </w:rPr>
        <w:t>This</w:t>
      </w:r>
      <w:bookmarkEnd w:id="33"/>
      <w:r>
        <w:rPr>
          <w:rFonts w:ascii="Times New Roman" w:hAnsi="Times New Roman" w:cs="Times New Roman"/>
        </w:rPr>
        <w:t xml:space="preserve"> section is, essentially, unwritten as of yet — but it’s a lot of stuff I’ve known for a long time that I can sit down and retrace and spell out fairly easily.]</w:t>
      </w:r>
    </w:p>
    <w:p w14:paraId="60B2071D"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28C7D8A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15CF2E7A"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14:paraId="4836AD73"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rPr>
        <w:t xml:space="preserve">Queer readings of the 1790s — which is to </w:t>
      </w:r>
      <w:r>
        <w:rPr>
          <w:rFonts w:ascii="Times New Roman" w:hAnsi="Times New Roman" w:cs="Times New Roman"/>
        </w:rPr>
        <w:t xml:space="preserve">say, of the Gothic — provide an invigorating way to value some of the most vibrant writing of the decade precisely for the features which rendered it less than “respectable.” </w:t>
      </w:r>
      <w:r>
        <w:rPr>
          <w:rFonts w:ascii="Times New Roman" w:hAnsi="Times New Roman" w:cs="Times New Roman"/>
          <w:highlight w:val="magenta"/>
        </w:rPr>
        <w:t>[HISTORY OF QUEER GOTHIC STUDIES - Palmer I think, leading up to Franz Potter… th</w:t>
      </w:r>
      <w:r>
        <w:rPr>
          <w:rFonts w:ascii="Times New Roman" w:hAnsi="Times New Roman" w:cs="Times New Roman"/>
          <w:highlight w:val="magenta"/>
        </w:rPr>
        <w:t>is history is prob multiple paras]</w:t>
      </w:r>
      <w:r>
        <w:rPr>
          <w:rFonts w:ascii="Times New Roman" w:hAnsi="Times New Roman" w:cs="Times New Roman"/>
          <w:highlight w:val="white"/>
        </w:rPr>
        <w:t xml:space="preserve"> </w:t>
      </w:r>
      <w:r>
        <w:rPr>
          <w:rFonts w:ascii="Times New Roman" w:hAnsi="Times New Roman" w:cs="Times New Roman"/>
          <w:highlight w:val="magenta"/>
        </w:rPr>
        <w:t>[Put all that rise of the novel stuff in here, Tompkins and Kiely etc, as the motivation for queer and Gothic to go hand in hand in the 18thC]</w:t>
      </w:r>
      <w:r>
        <w:rPr>
          <w:rFonts w:ascii="Times New Roman" w:hAnsi="Times New Roman" w:cs="Times New Roman"/>
          <w:highlight w:val="white"/>
        </w:rPr>
        <w:t xml:space="preserve"> </w:t>
      </w:r>
      <w:r>
        <w:rPr>
          <w:rFonts w:ascii="Times New Roman" w:hAnsi="Times New Roman" w:cs="Times New Roman"/>
          <w:highlight w:val="magenta"/>
        </w:rPr>
        <w:t>[A lot of really good Gothic work is connected thematically rather than strict</w:t>
      </w:r>
      <w:r>
        <w:rPr>
          <w:rFonts w:ascii="Times New Roman" w:hAnsi="Times New Roman" w:cs="Times New Roman"/>
          <w:highlight w:val="magenta"/>
        </w:rPr>
        <w:t>ly chronologically, examining the “transtemporal affinities and connections” (CITE) that Felski argues are often shut out by contemporary historicist critique. And indeed, historicist critique is causing this mode of study to fall out of favour regarding t</w:t>
      </w:r>
      <w:r>
        <w:rPr>
          <w:rFonts w:ascii="Times New Roman" w:hAnsi="Times New Roman" w:cs="Times New Roman"/>
          <w:highlight w:val="magenta"/>
        </w:rPr>
        <w:t xml:space="preserve">he Female Gothic. Nonetheless, there </w:t>
      </w:r>
      <w:r>
        <w:rPr>
          <w:rFonts w:ascii="Times New Roman" w:hAnsi="Times New Roman" w:cs="Times New Roman"/>
          <w:highlight w:val="magenta"/>
        </w:rPr>
        <w:lastRenderedPageBreak/>
        <w:t>is a rich history of transtemporal work on the Female Gothic. [I DON’T NECESSARILY BUY THIS STUFF BUT IT HAD IMPORTANT GOALS]]</w:t>
      </w:r>
    </w:p>
    <w:p w14:paraId="74A8F84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1149C464"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magenta"/>
        </w:rPr>
        <w:t>[</w:t>
      </w:r>
      <w:bookmarkStart w:id="34" w:name="reparative_gothic"/>
      <w:r>
        <w:rPr>
          <w:rFonts w:ascii="Times New Roman" w:hAnsi="Times New Roman" w:cs="Times New Roman"/>
          <w:highlight w:val="magenta"/>
        </w:rPr>
        <w:t>A</w:t>
      </w:r>
      <w:bookmarkEnd w:id="34"/>
      <w:r>
        <w:rPr>
          <w:rFonts w:ascii="Times New Roman" w:hAnsi="Times New Roman" w:cs="Times New Roman"/>
          <w:highlight w:val="magenta"/>
        </w:rPr>
        <w:t xml:space="preserve"> lot of queer Gothic work has been paranoid]</w:t>
      </w:r>
      <w:r>
        <w:rPr>
          <w:rFonts w:ascii="Times New Roman" w:hAnsi="Times New Roman" w:cs="Times New Roman"/>
          <w:highlight w:val="white"/>
        </w:rPr>
        <w:t xml:space="preserve"> </w:t>
      </w:r>
      <w:r>
        <w:rPr>
          <w:rFonts w:ascii="Times New Roman" w:hAnsi="Times New Roman" w:cs="Times New Roman"/>
          <w:highlight w:val="magenta"/>
        </w:rPr>
        <w:t>[Something</w:t>
      </w:r>
      <w:r>
        <w:rPr>
          <w:rFonts w:ascii="Times New Roman" w:hAnsi="Times New Roman" w:cs="Times New Roman"/>
          <w:highlight w:val="magenta"/>
        </w:rPr>
        <w:t xml:space="preserve"> about Susan Sontag &amp; camp being how I reparatively read the Gothic?]</w:t>
      </w:r>
    </w:p>
    <w:p w14:paraId="55FFE8E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55969EB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35" w:name="Im_not_just_gothic"/>
      <w:r>
        <w:rPr>
          <w:rFonts w:ascii="Times New Roman" w:hAnsi="Times New Roman" w:cs="Times New Roman"/>
          <w:highlight w:val="white"/>
        </w:rPr>
        <w:t>Although</w:t>
      </w:r>
      <w:bookmarkEnd w:id="35"/>
      <w:r>
        <w:rPr>
          <w:rFonts w:ascii="Times New Roman" w:hAnsi="Times New Roman" w:cs="Times New Roman"/>
          <w:highlight w:val="white"/>
        </w:rPr>
        <w:t xml:space="preserve"> the queerest work in this period has centred on the Gothic, I intentionally do not limit my focus to the Gothic. My broader scope is, in par</w:t>
      </w:r>
      <w:r>
        <w:rPr>
          <w:rFonts w:ascii="Times New Roman" w:hAnsi="Times New Roman" w:cs="Times New Roman"/>
          <w:highlight w:val="white"/>
        </w:rPr>
        <w:t xml:space="preserve">t, based in an argument about the Gothic’s prevalence: following scholars like </w:t>
      </w:r>
      <w:r>
        <w:rPr>
          <w:rFonts w:ascii="Times New Roman" w:hAnsi="Times New Roman" w:cs="Times New Roman"/>
          <w:highlight w:val="magenta"/>
        </w:rPr>
        <w:t>[EXAMPLE - prob Miles?]</w:t>
      </w:r>
      <w:r>
        <w:rPr>
          <w:rFonts w:ascii="Times New Roman" w:hAnsi="Times New Roman" w:cs="Times New Roman"/>
          <w:highlight w:val="white"/>
        </w:rPr>
        <w:t xml:space="preserve">, I see the Gothic not as a clearly-defined literary genre, but rather as an affective ‘mode’ that can (and did) permeate writing far beyond the realm of </w:t>
      </w:r>
      <w:r>
        <w:rPr>
          <w:rFonts w:ascii="Times New Roman" w:hAnsi="Times New Roman" w:cs="Times New Roman"/>
          <w:highlight w:val="white"/>
        </w:rPr>
        <w:t xml:space="preserve">supernatural fiction. Accordingly, </w:t>
      </w:r>
      <w:r>
        <w:rPr>
          <w:rFonts w:ascii="Times New Roman" w:hAnsi="Times New Roman" w:cs="Times New Roman"/>
          <w:highlight w:val="magenta"/>
        </w:rPr>
        <w:t>[although I am interested in the Gothic, I study everything.]</w:t>
      </w:r>
      <w:r>
        <w:rPr>
          <w:rFonts w:ascii="Times New Roman" w:hAnsi="Times New Roman" w:cs="Times New Roman"/>
          <w:highlight w:val="white"/>
        </w:rPr>
        <w:t xml:space="preserve"> </w:t>
      </w:r>
      <w:r>
        <w:rPr>
          <w:rFonts w:ascii="Times New Roman" w:hAnsi="Times New Roman" w:cs="Times New Roman"/>
          <w:highlight w:val="magenta"/>
        </w:rPr>
        <w:t>[Also I’m not just interested in the Gothic.]</w:t>
      </w:r>
    </w:p>
    <w:p w14:paraId="0E53A02F"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3934EC6A"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r>
        <w:rPr>
          <w:rFonts w:cs="Georgia"/>
          <w:b/>
          <w:bCs/>
          <w:sz w:val="26"/>
          <w:szCs w:val="26"/>
          <w:highlight w:val="white"/>
        </w:rPr>
        <w:t xml:space="preserve">2.3.  </w:t>
      </w:r>
      <w:bookmarkStart w:id="36" w:name="queer_DH"/>
      <w:r>
        <w:rPr>
          <w:rFonts w:cs="Georgia"/>
          <w:b/>
          <w:bCs/>
          <w:sz w:val="26"/>
          <w:szCs w:val="26"/>
          <w:highlight w:val="white"/>
        </w:rPr>
        <w:t>queer &amp; DH</w:t>
      </w:r>
      <w:bookmarkEnd w:id="36"/>
    </w:p>
    <w:p w14:paraId="3E5E60F8"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p>
    <w:p w14:paraId="45BAE85B" w14:textId="5F95150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white"/>
        </w:rPr>
        <w:t>My emphasis on transparent, critical, and reflective praxis in the capture and</w:t>
      </w:r>
      <w:r>
        <w:rPr>
          <w:rFonts w:ascii="Times New Roman" w:hAnsi="Times New Roman" w:cs="Times New Roman"/>
          <w:highlight w:val="white"/>
        </w:rPr>
        <w:t xml:space="preserve"> visual presentation of data</w:t>
      </w:r>
      <w:r>
        <w:rPr>
          <w:rFonts w:ascii="Times New Roman" w:hAnsi="Times New Roman" w:cs="Times New Roman"/>
          <w:highlight w:val="white"/>
          <w:vertAlign w:val="superscript"/>
        </w:rPr>
        <w:footnoteReference w:id="15"/>
      </w:r>
      <w:r>
        <w:rPr>
          <w:rFonts w:ascii="Times New Roman" w:hAnsi="Times New Roman" w:cs="Times New Roman"/>
          <w:highlight w:val="white"/>
        </w:rPr>
        <w:t xml:space="preserve"> </w:t>
      </w:r>
      <w:bookmarkStart w:id="37" w:name="critical_algorithm_studies"/>
      <w:r>
        <w:rPr>
          <w:rFonts w:ascii="Times New Roman" w:hAnsi="Times New Roman" w:cs="Times New Roman"/>
          <w:highlight w:val="white"/>
        </w:rPr>
        <w:t>owes</w:t>
      </w:r>
      <w:bookmarkEnd w:id="37"/>
      <w:r>
        <w:rPr>
          <w:rFonts w:ascii="Times New Roman" w:hAnsi="Times New Roman" w:cs="Times New Roman"/>
          <w:highlight w:val="white"/>
        </w:rPr>
        <w:t xml:space="preserve"> much to the emerging field of critical algorithm studies. Any methodology is, to</w:t>
      </w:r>
      <w:r>
        <w:rPr>
          <w:rFonts w:ascii="Times New Roman" w:hAnsi="Times New Roman" w:cs="Times New Roman"/>
          <w:highlight w:val="white"/>
        </w:rPr>
        <w:t xml:space="preserve"> a certain extent, an “algorithm,” in the loose definition of ‘a series of pre-defined steps to be carried out’. But computational algorithms differ from “algorithms” implemented by humans. Computational algorithms have two key vulnerabilities: first, thei</w:t>
      </w:r>
      <w:r>
        <w:rPr>
          <w:rFonts w:ascii="Times New Roman" w:hAnsi="Times New Roman" w:cs="Times New Roman"/>
          <w:highlight w:val="white"/>
        </w:rPr>
        <w:t xml:space="preserve">r operations are less easily scrutinized; second, their results are more easily trusted. The second </w:t>
      </w:r>
      <w:r>
        <w:rPr>
          <w:rFonts w:ascii="Times New Roman" w:hAnsi="Times New Roman" w:cs="Times New Roman"/>
          <w:highlight w:val="white"/>
        </w:rPr>
        <w:lastRenderedPageBreak/>
        <w:t>vulnerability — the cultural aura of empirical trustworthiness which accrues to anything ‘computational’ — is another flavour of the same vulnerability that</w:t>
      </w:r>
      <w:r>
        <w:rPr>
          <w:rFonts w:ascii="Times New Roman" w:hAnsi="Times New Roman" w:cs="Times New Roman"/>
          <w:highlight w:val="white"/>
        </w:rPr>
        <w:t xml:space="preserve"> Drucker describes with ‘data’ generally. Because the human agents who designed and trained any given algorithm appear to be absent from its operation, the algorithm appears able to discover truth directly. This is how Daily Wire reporter Ryan Saavedra was</w:t>
      </w:r>
      <w:r>
        <w:rPr>
          <w:rFonts w:ascii="Times New Roman" w:hAnsi="Times New Roman" w:cs="Times New Roman"/>
          <w:highlight w:val="white"/>
        </w:rPr>
        <w:t xml:space="preserve"> able to tweet with disdain that “Rep. Alexandria Ocasio-Cortez (D-NY) claims that algorithms, which are driven by math, are racist”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&lt;citation&gt;&lt;priority&gt;56&lt;/priority&gt;&lt;uuid&gt;DB9C3440-8153-4DBC-A38A-8DF9A938B92C&lt;/uuid&gt;&lt;publications&gt;&lt;publication&gt;&lt;subtype&gt;400&lt;/subtype&gt;&lt;title&gt;Socialist Rep. Alexandria Ocasio-Cortez (D- NY) claims that algorithms, which are driven by math, are racist&lt;/title&gt;&lt;publication_date&gt;99201902281200000000222000&lt;/publication_date&gt;&lt;uuid&gt;7CD72AB6-E20C-489D-8610-3D3CCF2EA97A&lt;/uuid&gt;&lt;type&gt;400&lt;/type&gt;&lt;citekey&gt;Saavedra:2019wr&lt;/citekey&gt;&lt;startpage&gt;1&lt;/startpage&gt;&lt;endpage&gt;1&lt;/endpage&gt;&lt;authors&gt;&lt;author&gt;&lt;lastName&gt;Saavedra&lt;/lastName&gt;&lt;firstName&gt;Ryan&lt;/firstName&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(Saavedra)</w:t>
      </w:r>
      <w:r w:rsidR="008335DF">
        <w:rPr>
          <w:rFonts w:ascii="Times New Roman" w:hAnsi="Times New Roman" w:cs="Times New Roman"/>
          <w:highlight w:val="white"/>
        </w:rPr>
        <w:fldChar w:fldCharType="end"/>
      </w:r>
      <w:r>
        <w:rPr>
          <w:rFonts w:ascii="Times New Roman" w:hAnsi="Times New Roman" w:cs="Times New Roman"/>
          <w:highlight w:val="white"/>
        </w:rPr>
        <w:t>: anything “driven by math,” he assumes, must be incapable of human fallibilities like racism. But as</w:t>
      </w:r>
      <w:r>
        <w:rPr>
          <w:rFonts w:ascii="Times New Roman" w:hAnsi="Times New Roman" w:cs="Times New Roman"/>
          <w:highlight w:val="white"/>
        </w:rPr>
        <w:t xml:space="preserve"> Safiya Noble shows extensively in </w:t>
      </w:r>
      <w:r>
        <w:rPr>
          <w:rFonts w:ascii="Times New Roman" w:hAnsi="Times New Roman" w:cs="Times New Roman"/>
          <w:i/>
          <w:iCs/>
          <w:highlight w:val="white"/>
        </w:rPr>
        <w:t>Algorithms of Oppression</w:t>
      </w:r>
      <w:r>
        <w:rPr>
          <w:rFonts w:ascii="Times New Roman" w:hAnsi="Times New Roman" w:cs="Times New Roman"/>
          <w:highlight w:val="white"/>
        </w:rPr>
        <w:t xml:space="preserve">, algorithms by default reproduce, and can easily exaggerate, the assumptions and biases of the culture in which they are made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&lt;citation&gt;&lt;priority&gt;57&lt;/priority&gt;&lt;uuid&gt;E0995A24-FB96-4B30-A302-0D2EE2A6AA2E&lt;/uuid&gt;&lt;publications&gt;&lt;publication&gt;&lt;subtype&gt;0&lt;/subtype&gt;&lt;publisher&gt;NYU Press&lt;/publisher&gt;&lt;title&gt;Algorithms of Oppression&lt;/title&gt;&lt;publication_date&gt;99201801001200000000220000&lt;/publication_date&gt;&lt;uuid&gt;2CA3B8D8-7EE1-4F64-B6ED-CD4CD11331B4&lt;/uuid&gt;&lt;type&gt;0&lt;/type&gt;&lt;subtitle&gt;How Search Engines Reinforce Racism&lt;/subtitle&gt;&lt;authors&gt;&lt;author&gt;&lt;lastName&gt;Noble&lt;/lastName&gt;&lt;firstName&gt;Safiya&lt;/firstName&gt;&lt;/author&gt;&lt;/authors&gt;&lt;/publication&gt;&lt;/publications&gt;&lt;cites&gt;&lt;/cites&gt;&lt;/citation&gt;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(Noble)</w:t>
      </w:r>
      <w:r w:rsidR="008335DF">
        <w:rPr>
          <w:rFonts w:ascii="Times New Roman" w:hAnsi="Times New Roman" w:cs="Times New Roman"/>
          <w:highlight w:val="white"/>
        </w:rPr>
        <w:fldChar w:fldCharType="end"/>
      </w:r>
      <w:r>
        <w:rPr>
          <w:rFonts w:ascii="Times New Roman" w:hAnsi="Times New Roman" w:cs="Times New Roman"/>
          <w:highlight w:val="white"/>
        </w:rPr>
        <w:t xml:space="preserve">. In other words, in a racist world, algorithms </w:t>
      </w:r>
      <w:r>
        <w:rPr>
          <w:rFonts w:ascii="Times New Roman" w:hAnsi="Times New Roman" w:cs="Times New Roman"/>
          <w:i/>
          <w:iCs/>
          <w:highlight w:val="white"/>
        </w:rPr>
        <w:t>are</w:t>
      </w:r>
      <w:r>
        <w:rPr>
          <w:rFonts w:ascii="Times New Roman" w:hAnsi="Times New Roman" w:cs="Times New Roman"/>
          <w:highlight w:val="white"/>
        </w:rPr>
        <w:t xml:space="preserve"> racist — and sexist, and duplicative of all other systemic institutional inequities.</w:t>
      </w:r>
    </w:p>
    <w:p w14:paraId="2E70B1DE"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34645E14" w14:textId="63ECDB0D"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white"/>
        </w:rPr>
        <w:t xml:space="preserve">Wendy Chun suggests that the problem with much algorithmic inquiry lies in its most core assumption: the insistence that the future must look like the past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&lt;citation&gt;&lt;priority&gt;58&lt;/priority&gt;&lt;uuid&gt;DD3946DC-721B-4D02-87DC-730D8B430217&lt;/uuid&gt;&lt;publications&gt;&lt;publication&gt;&lt;subtype&gt;-1000&lt;/subtype&gt;&lt;place&gt;Lüneburg&lt;/place&gt;&lt;publisher&gt;meon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This assumption is essential to any system which exclusively bases its predictions on past data. It is particularly intertwined with what Chun calls “homophily,” “the axiom that similarity breeds connection—which grounds contemporary network science</w:t>
      </w:r>
      <w:r>
        <w:rPr>
          <w:rFonts w:ascii="Times New Roman" w:hAnsi="Times New Roman" w:cs="Times New Roman"/>
          <w:highlight w:val="white"/>
        </w:rPr>
        <w:t xml:space="preserve">”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&lt;citation&gt;&lt;priority&gt;59&lt;/priority&gt;&lt;uuid&gt;A5177F7B-D4A3-40A8-A187-24BFF1C518E2&lt;/uuid&gt;&lt;publications&gt;&lt;publication&gt;&lt;subtype&gt;-1000&lt;/subtype&gt;&lt;place&gt;Lüneburg&lt;/place&gt;&lt;publisher&gt;meon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xml:space="preserve">. Homophily, as it is currently applied to network science, Chun argues, both “assumes and creates segregation”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&lt;citation&gt;&lt;priority&gt;60&lt;/priority&gt;&lt;uuid&gt;30461ED5-F695-47B3-A1F4-EF5C25BA93C0&lt;/uuid&gt;&lt;publications&gt;&lt;publication&gt;&lt;subtype&gt;-1000&lt;/subtype&gt;&lt;place&gt;Lüneburg&lt;/place&gt;&lt;publisher&gt;meon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xml:space="preserve"> in a fashion that allows it to operate “like money laundering for bias”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&lt;citation&gt;&lt;priority&gt;61&lt;/priority&gt;&lt;uuid&gt;D22D3014-DF11-467E-97EE-A49AFC78D446&lt;/uuid&gt;&lt;publications&gt;&lt;publication&gt;&lt;subtype&gt;-1000&lt;/subtype&gt;&lt;place&gt;Lüneburg&lt;/place&gt;&lt;publisher&gt;meon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xml:space="preserve">. Importantly, however, the analogy to money laundering is imperfect: it cannot be resolved with “better, cleaner data”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&lt;citation&gt;&lt;priority&gt;62&lt;/priority&gt;&lt;uuid&gt;A59FAF0B-E71C-47D7-94E3-EA174A234000&lt;/uuid&gt;&lt;publications&gt;&lt;publication&gt;&lt;subtype&gt;-1000&lt;/subtype&gt;&lt;place&gt;Lüneburg&lt;/place&gt;&lt;publisher&gt;meon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xml:space="preserve">. Instead, Chun insists, “new theories of connection—which do not presume a dangerously banal </w:t>
      </w:r>
      <w:r>
        <w:rPr>
          <w:rFonts w:ascii="Times New Roman" w:hAnsi="Times New Roman" w:cs="Times New Roman"/>
          <w:highlight w:val="white"/>
        </w:rPr>
        <w:lastRenderedPageBreak/>
        <w:t xml:space="preserve">and reciprocal </w:t>
      </w:r>
      <w:r>
        <w:rPr>
          <w:rFonts w:ascii="Times New Roman" w:hAnsi="Times New Roman" w:cs="Times New Roman"/>
          <w:highlight w:val="white"/>
        </w:rPr>
        <w:t xml:space="preserve">notion of friendship—are needed”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&lt;citation&gt;&lt;priority&gt;63&lt;/priority&gt;&lt;uuid&gt;D6AE000C-F320-434A-B4C8-31A0DFDE50FD&lt;/uuid&gt;&lt;publications&gt;&lt;publication&gt;&lt;subtype&gt;-1000&lt;/subtype&gt;&lt;place&gt;Lüneburg&lt;/place&gt;&lt;publisher&gt;meon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a call to action which places its emphasis not on the information provided to an algorithm but on the algorithm’s procedures.</w:t>
      </w:r>
    </w:p>
    <w:p w14:paraId="0979E33C"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240F309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38" w:name="queer_DH-1"/>
      <w:bookmarkEnd w:id="38"/>
      <w:r>
        <w:rPr>
          <w:rFonts w:ascii="Times New Roman" w:hAnsi="Times New Roman" w:cs="Times New Roman"/>
          <w:highlight w:val="white"/>
        </w:rPr>
        <w:t>As</w:t>
      </w:r>
      <w:r>
        <w:rPr>
          <w:rFonts w:ascii="Times New Roman" w:hAnsi="Times New Roman" w:cs="Times New Roman"/>
          <w:highlight w:val="white"/>
        </w:rPr>
        <w:t xml:space="preserve"> Chun’s punning title, “Queerying Homophily”</w:t>
      </w:r>
      <w:r>
        <w:rPr>
          <w:rFonts w:ascii="Times New Roman" w:hAnsi="Times New Roman" w:cs="Times New Roman"/>
          <w:highlight w:val="white"/>
        </w:rPr>
        <w:t xml:space="preserve"> suggests, she, like many scholars, turns to queer theory as a way to address the structural failings of algorithms. “Queer DH” is a vibrant field in its own right, which, like any vibrant field, contains many distinct but interwoven threads. Some work, li</w:t>
      </w:r>
      <w:r>
        <w:rPr>
          <w:rFonts w:ascii="Times New Roman" w:hAnsi="Times New Roman" w:cs="Times New Roman"/>
          <w:highlight w:val="white"/>
        </w:rPr>
        <w:t>ke Chun’s, take the theoretical underpinnings of contemporary computational practices as their primary object of study, and conceptualize queerer theoretical approaches. Others similarly undertake non-computational research to examine computational subject</w:t>
      </w:r>
      <w:r>
        <w:rPr>
          <w:rFonts w:ascii="Times New Roman" w:hAnsi="Times New Roman" w:cs="Times New Roman"/>
          <w:highlight w:val="white"/>
        </w:rPr>
        <w:t xml:space="preserve">s queerly, as in Bonnie Ruberg’s </w:t>
      </w:r>
      <w:r>
        <w:rPr>
          <w:rFonts w:ascii="Times New Roman" w:hAnsi="Times New Roman" w:cs="Times New Roman"/>
          <w:i/>
          <w:iCs/>
          <w:highlight w:val="white"/>
        </w:rPr>
        <w:t>Video Games Have Always Been Queer</w:t>
      </w:r>
      <w:r>
        <w:rPr>
          <w:rFonts w:ascii="Times New Roman" w:hAnsi="Times New Roman" w:cs="Times New Roman"/>
          <w:highlight w:val="white"/>
        </w:rPr>
        <w:t xml:space="preserve">. Many projects apply existing computational methods to queer literatures and histories. Often, these approaches coincide, as queer subjects demand queerer </w:t>
      </w:r>
      <w:commentRangeStart w:id="39"/>
      <w:r>
        <w:rPr>
          <w:rFonts w:ascii="Times New Roman" w:hAnsi="Times New Roman" w:cs="Times New Roman"/>
          <w:highlight w:val="white"/>
        </w:rPr>
        <w:fldChar w:fldCharType="begin"/>
      </w:r>
      <w:r>
        <w:rPr>
          <w:rFonts w:ascii="Times New Roman" w:hAnsi="Times New Roman" w:cs="Times New Roman"/>
          <w:highlight w:val="white"/>
        </w:rPr>
        <w:instrText>HYPERLINK "scrivcmt://00A29873-45</w:instrText>
      </w:r>
      <w:r>
        <w:rPr>
          <w:rFonts w:ascii="Times New Roman" w:hAnsi="Times New Roman" w:cs="Times New Roman"/>
          <w:highlight w:val="white"/>
        </w:rPr>
        <w:instrText>03-46B0-B1C0-0C7346AF8C31"</w:instrText>
      </w:r>
      <w:r w:rsidR="008335DF">
        <w:rPr>
          <w:rFonts w:ascii="Times New Roman" w:hAnsi="Times New Roman" w:cs="Times New Roman"/>
          <w:highlight w:val="white"/>
        </w:rPr>
      </w:r>
      <w:r>
        <w:rPr>
          <w:rFonts w:ascii="Times New Roman" w:hAnsi="Times New Roman" w:cs="Times New Roman"/>
          <w:highlight w:val="white"/>
        </w:rPr>
        <w:fldChar w:fldCharType="separate"/>
      </w:r>
      <w:r>
        <w:rPr>
          <w:rFonts w:ascii="Times New Roman" w:hAnsi="Times New Roman" w:cs="Times New Roman"/>
          <w:highlight w:val="white"/>
        </w:rPr>
        <w:t>methods</w:t>
      </w:r>
      <w:r>
        <w:rPr>
          <w:rFonts w:ascii="Times New Roman" w:hAnsi="Times New Roman" w:cs="Times New Roman"/>
          <w:highlight w:val="white"/>
        </w:rPr>
        <w:fldChar w:fldCharType="end"/>
      </w:r>
      <w:commentRangeEnd w:id="39"/>
      <w:r>
        <w:rPr>
          <w:rFonts w:ascii="Times New Roman" w:hAnsi="Times New Roman" w:cs="Times New Roman"/>
          <w:highlight w:val="white"/>
        </w:rPr>
        <w:commentReference w:id="39"/>
      </w:r>
      <w:r>
        <w:rPr>
          <w:rFonts w:ascii="Times New Roman" w:hAnsi="Times New Roman" w:cs="Times New Roman"/>
          <w:highlight w:val="white"/>
        </w:rPr>
        <w:t xml:space="preserve">, as in T.L. Cowan’s </w:t>
      </w:r>
      <w:r>
        <w:rPr>
          <w:rFonts w:ascii="Times New Roman" w:hAnsi="Times New Roman" w:cs="Times New Roman"/>
          <w:i/>
          <w:iCs/>
          <w:highlight w:val="white"/>
        </w:rPr>
        <w:t>Cabaret Commons</w:t>
      </w:r>
      <w:r>
        <w:rPr>
          <w:rFonts w:ascii="Times New Roman" w:hAnsi="Times New Roman" w:cs="Times New Roman"/>
          <w:highlight w:val="white"/>
        </w:rPr>
        <w:t>. I draw inspiration from work from across this spectrum of queer DH in my pursuit of less “extractive” and more anti-oppressive digital humanities methodologies.</w:t>
      </w:r>
    </w:p>
    <w:p w14:paraId="75C7E8BE"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1138C3B4"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0" w:name="reparative_DH"/>
      <w:r>
        <w:rPr>
          <w:rFonts w:ascii="Times New Roman" w:hAnsi="Times New Roman" w:cs="Times New Roman"/>
          <w:highlight w:val="white"/>
        </w:rPr>
        <w:t>As</w:t>
      </w:r>
      <w:bookmarkEnd w:id="40"/>
      <w:r>
        <w:rPr>
          <w:rFonts w:ascii="Times New Roman" w:hAnsi="Times New Roman" w:cs="Times New Roman"/>
          <w:highlight w:val="white"/>
        </w:rPr>
        <w:t xml:space="preserve"> I encounter the limitations of the various information and tool</w:t>
      </w:r>
      <w:r>
        <w:rPr>
          <w:rFonts w:ascii="Times New Roman" w:hAnsi="Times New Roman" w:cs="Times New Roman"/>
          <w:highlight w:val="white"/>
        </w:rPr>
        <w:t>s with through which I attempt to understand the 1790s, my goal is to do something other than facilely observe that they are limited. Critique, in many venues, still has valuable new information to contribute regarding the contemporary digital landscape. D</w:t>
      </w:r>
      <w:r>
        <w:rPr>
          <w:rFonts w:ascii="Times New Roman" w:hAnsi="Times New Roman" w:cs="Times New Roman"/>
          <w:highlight w:val="white"/>
        </w:rPr>
        <w:t>rucker, Noble, and Chun’s warnings about the subjective nature of data and algorithms, for example, all have the potential for urgent relevance. In part because their critiques have been presented so effectively, however, I do not give critique a central r</w:t>
      </w:r>
      <w:r>
        <w:rPr>
          <w:rFonts w:ascii="Times New Roman" w:hAnsi="Times New Roman" w:cs="Times New Roman"/>
          <w:highlight w:val="white"/>
        </w:rPr>
        <w:t xml:space="preserve">ole here. Most of the digital artefacts that I examine have been created, not by ever-hungering capitalist corporations, but by my fellow scholars. In the spirit of laying down the next </w:t>
      </w:r>
      <w:r>
        <w:rPr>
          <w:rFonts w:ascii="Times New Roman" w:hAnsi="Times New Roman" w:cs="Times New Roman"/>
          <w:highlight w:val="white"/>
        </w:rPr>
        <w:lastRenderedPageBreak/>
        <w:t>few stones in the building of a cathedral begun long before me, I want</w:t>
      </w:r>
      <w:r>
        <w:rPr>
          <w:rFonts w:ascii="Times New Roman" w:hAnsi="Times New Roman" w:cs="Times New Roman"/>
          <w:highlight w:val="white"/>
        </w:rPr>
        <w:t xml:space="preserve"> to identify the best ways to continue building on their foundations. In a digital humanities context, a focus on building connections can be mundanely practical: typing indexes from print works into spreadsheets, correcting errors within datasets, writing</w:t>
      </w:r>
      <w:r>
        <w:rPr>
          <w:rFonts w:ascii="Times New Roman" w:hAnsi="Times New Roman" w:cs="Times New Roman"/>
          <w:highlight w:val="white"/>
        </w:rPr>
        <w:t xml:space="preserve"> programs to process metadata: all of these maintain the functional usability of existing resources in new contexts. When this kind of extended, detail-oriented labour is combined with serious reflection on the histories and possible futures of these resou</w:t>
      </w:r>
      <w:r>
        <w:rPr>
          <w:rFonts w:ascii="Times New Roman" w:hAnsi="Times New Roman" w:cs="Times New Roman"/>
          <w:highlight w:val="white"/>
        </w:rPr>
        <w:t>rces, I contend, they bring us to new knowledge. In this, maintaining and using digital resources is also a way to repair them — and to produce reparative readings of their contents.</w:t>
      </w:r>
    </w:p>
    <w:p w14:paraId="49B87B7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4565BBCE"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1" w:name="surprise"/>
      <w:r>
        <w:rPr>
          <w:rFonts w:ascii="Times New Roman" w:hAnsi="Times New Roman" w:cs="Times New Roman"/>
          <w:highlight w:val="white"/>
        </w:rPr>
        <w:t>Thus</w:t>
      </w:r>
      <w:bookmarkEnd w:id="41"/>
      <w:r>
        <w:rPr>
          <w:rFonts w:ascii="Times New Roman" w:hAnsi="Times New Roman" w:cs="Times New Roman"/>
          <w:highlight w:val="white"/>
        </w:rPr>
        <w:t xml:space="preserve"> far, the importance of reparative work to DH is evi</w:t>
      </w:r>
      <w:r>
        <w:rPr>
          <w:rFonts w:ascii="Times New Roman" w:hAnsi="Times New Roman" w:cs="Times New Roman"/>
          <w:highlight w:val="white"/>
        </w:rPr>
        <w:t>dent. But what about the other direction? Just as, I argue, both DH and bibliography have important resources to offer to each other, so to do I argue that DH has something to offer to reparative reading. Specifically, a well-formulated DH praxis can intro</w:t>
      </w:r>
      <w:r>
        <w:rPr>
          <w:rFonts w:ascii="Times New Roman" w:hAnsi="Times New Roman" w:cs="Times New Roman"/>
          <w:highlight w:val="white"/>
        </w:rPr>
        <w:t xml:space="preserve">duce a new relationship to the experience of </w:t>
      </w:r>
      <w:r>
        <w:rPr>
          <w:rFonts w:ascii="Times New Roman" w:hAnsi="Times New Roman" w:cs="Times New Roman"/>
          <w:i/>
          <w:iCs/>
          <w:highlight w:val="white"/>
        </w:rPr>
        <w:t>surprise</w:t>
      </w:r>
      <w:r>
        <w:rPr>
          <w:rFonts w:ascii="Times New Roman" w:hAnsi="Times New Roman" w:cs="Times New Roman"/>
          <w:highlight w:val="white"/>
        </w:rPr>
        <w:t xml:space="preserve"> which is so challenging in paranoid reading. The most common dismissals of DH research are attempts to say, “we already knew that” — essentially, </w:t>
      </w:r>
      <w:r>
        <w:rPr>
          <w:rFonts w:ascii="Times New Roman" w:hAnsi="Times New Roman" w:cs="Times New Roman"/>
          <w:highlight w:val="magenta"/>
        </w:rPr>
        <w:t>[PARANOID AVOIDANCE OF UNPLEASANT SURPRISE FROM DH COMIN</w:t>
      </w:r>
      <w:r>
        <w:rPr>
          <w:rFonts w:ascii="Times New Roman" w:hAnsi="Times New Roman" w:cs="Times New Roman"/>
          <w:highlight w:val="magenta"/>
        </w:rPr>
        <w:t>G FOR THEIR JOBS]</w:t>
      </w:r>
      <w:r>
        <w:rPr>
          <w:rFonts w:ascii="Times New Roman" w:hAnsi="Times New Roman" w:cs="Times New Roman"/>
          <w:highlight w:val="white"/>
        </w:rPr>
        <w:t xml:space="preserve">. This reaction invites two responses. First, </w:t>
      </w:r>
      <w:r>
        <w:rPr>
          <w:rFonts w:ascii="Times New Roman" w:hAnsi="Times New Roman" w:cs="Times New Roman"/>
          <w:highlight w:val="magenta"/>
        </w:rPr>
        <w:t xml:space="preserve">[if the experiment told us that everything we knew was COMPLETELY WRONG, this would not be very good because probably at least some of what we know is right; an experiment should validate some </w:t>
      </w:r>
      <w:r>
        <w:rPr>
          <w:rFonts w:ascii="Times New Roman" w:hAnsi="Times New Roman" w:cs="Times New Roman"/>
          <w:highlight w:val="magenta"/>
        </w:rPr>
        <w:t>of our existing knowledge]</w:t>
      </w:r>
      <w:r>
        <w:rPr>
          <w:rFonts w:ascii="Times New Roman" w:hAnsi="Times New Roman" w:cs="Times New Roman"/>
          <w:highlight w:val="white"/>
        </w:rPr>
        <w:t xml:space="preserve">. </w:t>
      </w:r>
      <w:r>
        <w:rPr>
          <w:rFonts w:ascii="Times New Roman" w:hAnsi="Times New Roman" w:cs="Times New Roman"/>
          <w:highlight w:val="magenta"/>
        </w:rPr>
        <w:t>[Experiments fall into two categories: those which tell us about our methods, and those which tell us about our fields of study]</w:t>
      </w:r>
      <w:r>
        <w:rPr>
          <w:rFonts w:ascii="Times New Roman" w:hAnsi="Times New Roman" w:cs="Times New Roman"/>
          <w:highlight w:val="white"/>
        </w:rPr>
        <w:t xml:space="preserve">. Second, as scholars such as Ted Underwood have noted, it is often only </w:t>
      </w:r>
      <w:r>
        <w:rPr>
          <w:rFonts w:ascii="Times New Roman" w:hAnsi="Times New Roman" w:cs="Times New Roman"/>
          <w:i/>
          <w:iCs/>
          <w:highlight w:val="white"/>
        </w:rPr>
        <w:t>retroactively</w:t>
      </w:r>
      <w:r>
        <w:rPr>
          <w:rFonts w:ascii="Times New Roman" w:hAnsi="Times New Roman" w:cs="Times New Roman"/>
          <w:highlight w:val="white"/>
        </w:rPr>
        <w:t xml:space="preserve"> that these di</w:t>
      </w:r>
      <w:r>
        <w:rPr>
          <w:rFonts w:ascii="Times New Roman" w:hAnsi="Times New Roman" w:cs="Times New Roman"/>
          <w:highlight w:val="white"/>
        </w:rPr>
        <w:t xml:space="preserve">scoveries are declared to be “obvious” results which everyone “already knew” </w:t>
      </w:r>
      <w:r>
        <w:rPr>
          <w:rFonts w:ascii="Times New Roman" w:hAnsi="Times New Roman" w:cs="Times New Roman"/>
          <w:highlight w:val="magenta"/>
        </w:rPr>
        <w:t>(CITE)</w:t>
      </w:r>
      <w:r>
        <w:rPr>
          <w:rFonts w:ascii="Times New Roman" w:hAnsi="Times New Roman" w:cs="Times New Roman"/>
          <w:highlight w:val="white"/>
        </w:rPr>
        <w:t xml:space="preserve">. If we are asked to form an explicit hypothesis in advance, we might be very surprised by the exact numbers. </w:t>
      </w:r>
      <w:r>
        <w:rPr>
          <w:rFonts w:ascii="Times New Roman" w:hAnsi="Times New Roman" w:cs="Times New Roman"/>
          <w:highlight w:val="magenta"/>
        </w:rPr>
        <w:lastRenderedPageBreak/>
        <w:t>[TRANSITION]</w:t>
      </w:r>
      <w:r>
        <w:rPr>
          <w:rFonts w:ascii="Times New Roman" w:hAnsi="Times New Roman" w:cs="Times New Roman"/>
          <w:highlight w:val="white"/>
        </w:rPr>
        <w:t xml:space="preserve"> Rather than being an awkward fit for my theoretica</w:t>
      </w:r>
      <w:r>
        <w:rPr>
          <w:rFonts w:ascii="Times New Roman" w:hAnsi="Times New Roman" w:cs="Times New Roman"/>
          <w:highlight w:val="white"/>
        </w:rPr>
        <w:t>l aims, and rather than pursuing reparative reading in spite of my computational methods, I see the laborious, intimate process of experimental computation as a directly valuable source</w:t>
      </w:r>
    </w:p>
    <w:p w14:paraId="6AE2A86C"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1464283B"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r>
        <w:rPr>
          <w:rFonts w:cs="Georgia"/>
          <w:b/>
          <w:bCs/>
          <w:sz w:val="26"/>
          <w:szCs w:val="26"/>
          <w:highlight w:val="white"/>
        </w:rPr>
        <w:t xml:space="preserve">3.  </w:t>
      </w:r>
      <w:bookmarkStart w:id="42" w:name="upcoming_2_experiments"/>
      <w:r>
        <w:rPr>
          <w:rFonts w:cs="Georgia"/>
          <w:b/>
          <w:bCs/>
          <w:sz w:val="26"/>
          <w:szCs w:val="26"/>
          <w:highlight w:val="white"/>
        </w:rPr>
        <w:t>upcoming 2 experiments</w:t>
      </w:r>
      <w:bookmarkEnd w:id="42"/>
    </w:p>
    <w:p w14:paraId="61680F9C"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p>
    <w:p w14:paraId="702BCC01"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3" w:name="overall_goal"/>
      <w:r>
        <w:rPr>
          <w:rFonts w:ascii="Times New Roman" w:hAnsi="Times New Roman" w:cs="Times New Roman"/>
          <w:highlight w:val="white"/>
        </w:rPr>
        <w:t>Having</w:t>
      </w:r>
      <w:bookmarkEnd w:id="43"/>
      <w:r>
        <w:rPr>
          <w:rFonts w:ascii="Times New Roman" w:hAnsi="Times New Roman" w:cs="Times New Roman"/>
          <w:highlight w:val="white"/>
        </w:rPr>
        <w:t xml:space="preserve"> delineated a large and complex scholarly context for this work, and made some preliminary efforts toward synthesis of these disparate backgrounds, it is time, now, to delineate the research born of this context. This disse</w:t>
      </w:r>
      <w:r>
        <w:rPr>
          <w:rFonts w:ascii="Times New Roman" w:hAnsi="Times New Roman" w:cs="Times New Roman"/>
          <w:highlight w:val="white"/>
        </w:rPr>
        <w:t>rtation proceeds in two major parts. The first examines the 1790s through the lens of ‘titles,’ and the second through ‘persons.’ In both cases my central interest is the vexed category of ‘popularity.’ With both ‘titles’ and ‘persons’, I establish the mat</w:t>
      </w:r>
      <w:r>
        <w:rPr>
          <w:rFonts w:ascii="Times New Roman" w:hAnsi="Times New Roman" w:cs="Times New Roman"/>
          <w:highlight w:val="white"/>
        </w:rPr>
        <w:t>erials with which I will be working and their implicit models. Using the information they make most readily accessible, I explore which works and individuals emerge as ‘popular’ or ‘important’ in each resource. I also probe each resource for its representa</w:t>
      </w:r>
      <w:r>
        <w:rPr>
          <w:rFonts w:ascii="Times New Roman" w:hAnsi="Times New Roman" w:cs="Times New Roman"/>
          <w:highlight w:val="white"/>
        </w:rPr>
        <w:t>tion of (or failure to represent) my touchstone authors, Ann Radcliffe, Charlotte Turner Smith, Hannah More, and Mary Robinson. The resulting findings are primarily used to evaluate how the underlying digital resources participate in or resist the projects</w:t>
      </w:r>
      <w:r>
        <w:rPr>
          <w:rFonts w:ascii="Times New Roman" w:hAnsi="Times New Roman" w:cs="Times New Roman"/>
          <w:highlight w:val="white"/>
        </w:rPr>
        <w:t xml:space="preserve"> of canon-building. Then, for both titles and persons, there is a ‘turn.’ For each area of inquiry I introduce a novel experiment which synthesizes my materials and repurposes them. These experiments are then used to draw conclusions about 1790s print cult</w:t>
      </w:r>
      <w:r>
        <w:rPr>
          <w:rFonts w:ascii="Times New Roman" w:hAnsi="Times New Roman" w:cs="Times New Roman"/>
          <w:highlight w:val="white"/>
        </w:rPr>
        <w:t>ure.</w:t>
      </w:r>
    </w:p>
    <w:p w14:paraId="5B3E37A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7CE8D94D"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r>
        <w:rPr>
          <w:rFonts w:cs="Georgia"/>
          <w:b/>
          <w:bCs/>
          <w:sz w:val="26"/>
          <w:szCs w:val="26"/>
          <w:highlight w:val="white"/>
        </w:rPr>
        <w:lastRenderedPageBreak/>
        <w:t xml:space="preserve">3.1.  </w:t>
      </w:r>
      <w:bookmarkStart w:id="44" w:name="titles"/>
      <w:r>
        <w:rPr>
          <w:rFonts w:cs="Georgia"/>
          <w:b/>
          <w:bCs/>
          <w:sz w:val="26"/>
          <w:szCs w:val="26"/>
          <w:highlight w:val="white"/>
        </w:rPr>
        <w:t>titles</w:t>
      </w:r>
      <w:bookmarkEnd w:id="44"/>
    </w:p>
    <w:p w14:paraId="0BE5598F"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p>
    <w:p w14:paraId="78A97CB7"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white"/>
        </w:rPr>
        <w:t>The first phase of this project takes up titles and databases. Throughout this work, a ‘title’ is the broadest possible umbrella term for a text: it is synonymous with ‘a database entry which I believe to represent a printed</w:t>
      </w:r>
      <w:r>
        <w:rPr>
          <w:rFonts w:ascii="Times New Roman" w:hAnsi="Times New Roman" w:cs="Times New Roman"/>
          <w:highlight w:val="white"/>
        </w:rPr>
        <w:t xml:space="preserve"> work.’ Each individual database will shape the precise correspondences between a ‘title’ and the printed texts about which I use ‘titles’ to reason. For example, it will vary based on my source whether multiple editions of the same work are several ‘title</w:t>
      </w:r>
      <w:r>
        <w:rPr>
          <w:rFonts w:ascii="Times New Roman" w:hAnsi="Times New Roman" w:cs="Times New Roman"/>
          <w:highlight w:val="white"/>
        </w:rPr>
        <w:t>s’ or one ‘title,’ and whether the titles exclusively represent ‘books’ or also include chapbooks, broadsheets, or even ephemera. Due to the inscrutability of digital infrastructure discussed above, it is often not possible for me to know prior to experime</w:t>
      </w:r>
      <w:r>
        <w:rPr>
          <w:rFonts w:ascii="Times New Roman" w:hAnsi="Times New Roman" w:cs="Times New Roman"/>
          <w:highlight w:val="white"/>
        </w:rPr>
        <w:t>ntation what kinds of titles I am working with. Chapter two, therefore, two takes up contemporary digital archives directly, examining corpora of eighteenth-century literature through the same critical lens by which anthologies and classroom teaching are o</w:t>
      </w:r>
      <w:r>
        <w:rPr>
          <w:rFonts w:ascii="Times New Roman" w:hAnsi="Times New Roman" w:cs="Times New Roman"/>
          <w:highlight w:val="white"/>
        </w:rPr>
        <w:t>ften scrutinized.</w:t>
      </w:r>
    </w:p>
    <w:p w14:paraId="19227A69"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5ABEC06C"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5" w:name="ch_2"/>
      <w:r>
        <w:rPr>
          <w:rFonts w:ascii="Times New Roman" w:hAnsi="Times New Roman" w:cs="Times New Roman"/>
          <w:highlight w:val="white"/>
        </w:rPr>
        <w:t>In</w:t>
      </w:r>
      <w:bookmarkEnd w:id="45"/>
      <w:r>
        <w:rPr>
          <w:rFonts w:ascii="Times New Roman" w:hAnsi="Times New Roman" w:cs="Times New Roman"/>
          <w:highlight w:val="white"/>
        </w:rPr>
        <w:t xml:space="preserve"> chapter two, I make the case that digital archives can implicitly shape scholarly research, and begin the process of revealing and interrogating their invisible assumptions. The chapter begins with a task somewhere between a l</w:t>
      </w:r>
      <w:r>
        <w:rPr>
          <w:rFonts w:ascii="Times New Roman" w:hAnsi="Times New Roman" w:cs="Times New Roman"/>
          <w:highlight w:val="white"/>
        </w:rPr>
        <w:t>iterature review and a scientific meta-analysis. My first goal will be to survey as broadly as possible the accessible mass holdings of eighteenth-century texts (all those containing at least 100 works from the 1790s). I expect to find systematic exclusion</w:t>
      </w:r>
      <w:r>
        <w:rPr>
          <w:rFonts w:ascii="Times New Roman" w:hAnsi="Times New Roman" w:cs="Times New Roman"/>
          <w:highlight w:val="white"/>
        </w:rPr>
        <w:t xml:space="preserve">s where archives are investing more labour in their holdings, with narrower selections as they move from bibliographic data to facsimiles to scholarly transcripts. To contextualize these decisions about inclusion, I research the history of how each corpus </w:t>
      </w:r>
      <w:r>
        <w:rPr>
          <w:rFonts w:ascii="Times New Roman" w:hAnsi="Times New Roman" w:cs="Times New Roman"/>
          <w:highlight w:val="white"/>
        </w:rPr>
        <w:t xml:space="preserve">was formed. As part of this demystification process, I also discuss and theorize the difficulties involved in researching </w:t>
      </w:r>
      <w:r>
        <w:rPr>
          <w:rFonts w:ascii="Times New Roman" w:hAnsi="Times New Roman" w:cs="Times New Roman"/>
          <w:highlight w:val="white"/>
        </w:rPr>
        <w:lastRenderedPageBreak/>
        <w:t>these histories: drawing on, for example, my experience with HathiTrust’s codebase, I critique the assumption that digital resources m</w:t>
      </w:r>
      <w:r>
        <w:rPr>
          <w:rFonts w:ascii="Times New Roman" w:hAnsi="Times New Roman" w:cs="Times New Roman"/>
          <w:highlight w:val="white"/>
        </w:rPr>
        <w:t>ake all information transparent and accessible. Returning to the actual contents of each archive, I discuss the nature of their exclusions, and consider paths to greater inclusivity.  The second chapter thus establishes the corpora which will drive my argu</w:t>
      </w:r>
      <w:r>
        <w:rPr>
          <w:rFonts w:ascii="Times New Roman" w:hAnsi="Times New Roman" w:cs="Times New Roman"/>
          <w:highlight w:val="white"/>
        </w:rPr>
        <w:t>ment in chapter three, and will shape the later phases of my research in chapters four and five.</w:t>
      </w:r>
    </w:p>
    <w:p w14:paraId="62E8C48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16C75777" w14:textId="67170703"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white"/>
        </w:rPr>
        <w:t>In chapter three, I synthesize these disparate sources of texts and metadata, to examine popularity as it manifests in print culture. I begin by creating my o</w:t>
      </w:r>
      <w:r>
        <w:rPr>
          <w:rFonts w:ascii="Times New Roman" w:hAnsi="Times New Roman" w:cs="Times New Roman"/>
          <w:highlight w:val="white"/>
        </w:rPr>
        <w:t>wn ‘superset’ database of all records. I then query this database through random sampling and topic modelling. Both random sampling and topic modelling, as methodologies, allow me to examine information outside of its pre-designed data structures. Random s</w:t>
      </w:r>
      <w:r>
        <w:rPr>
          <w:rFonts w:ascii="Times New Roman" w:hAnsi="Times New Roman" w:cs="Times New Roman"/>
          <w:highlight w:val="white"/>
        </w:rPr>
        <w:t>ampling, which Steven Zwicker</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&lt;citation&gt;&lt;priority&gt;64&lt;/priority&gt;&lt;uuid&gt;FE9F0BB4-60A7-4135-BC8B-3161B4113BA6&lt;/uuid&gt;&lt;publications&gt;&lt;publication&gt;&lt;subtype&gt;400&lt;/subtype&gt;&lt;title&gt;Is There Such a Thing as Restoration Literature?&lt;/title&gt;&lt;url&gt;http://hlq.ucpress.edu/cgi/doi/10.1525/hlq.2006.69.3.425&lt;/url&gt;&lt;volume&gt;69&lt;/volume&gt;&lt;publication_date&gt;99200609001200000000220000&lt;/publication_date&gt;&lt;uuid&gt;309038DE-F336-4B1B-81A3-FAAA1B057784&lt;/uuid&gt;&lt;type&gt;400&lt;/type&gt;&lt;number&gt;3&lt;/number&gt;&lt;citekey&gt;Zwicker:2006ck&lt;/citekey&gt;&lt;doi&gt;10.1525/hlq.2006.69.3.425&lt;/doi&gt;&lt;startpage&gt;425&lt;/startpage&gt;&lt;endpage&gt;450&lt;/endpage&gt;&lt;bundle&gt;&lt;publication&gt;&lt;title&gt;Huntington Library Quarterly&lt;/title&gt;&lt;uuid&gt;0253DF07-FFD2-4EDD-8FF4-6E32AD9DAE86&lt;/uuid&gt;&lt;subtype&gt;-100&lt;/subtype&gt;&lt;type&gt;-100&lt;/type&gt;&lt;/publication&gt;&lt;/bundle&gt;&lt;authors&gt;&lt;author&gt;&lt;lastName&gt;Zwicker&lt;/lastName&gt;&lt;firstName&gt;Steven&lt;/firstName&gt;&lt;middleNames&gt;N&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(Zwicker)</w:t>
      </w:r>
      <w:r w:rsidR="008335DF">
        <w:rPr>
          <w:rFonts w:ascii="Times New Roman" w:hAnsi="Times New Roman" w:cs="Times New Roman"/>
          <w:highlight w:val="white"/>
        </w:rPr>
        <w:fldChar w:fldCharType="end"/>
      </w:r>
      <w:r>
        <w:rPr>
          <w:rFonts w:ascii="Times New Roman" w:hAnsi="Times New Roman" w:cs="Times New Roman"/>
          <w:highlight w:val="white"/>
        </w:rPr>
        <w:t>} and Leo Lahti, Niko Ilomäki, and Mikko Tolonen</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&lt;citation&gt;&lt;priority&gt;65&lt;/priority&gt;&lt;uuid&gt;0F43DEC2-E55B-4DC7-B7B3-B3118641FD48&lt;/uuid&gt;&lt;publications&gt;&lt;publication&gt;&lt;subtype&gt;400&lt;/subtype&gt;&lt;title&gt;A Quantitative Study of History in the English Short-Title Catalogue (ESTC), 1470-1800&lt;/title&gt;&lt;url&gt;https://www.liberquarterly.eu/article/10.18352/lq.10112/&lt;/url&gt;&lt;volume&gt;25&lt;/volume&gt;&lt;publication_date&gt;99201512041200000000222000&lt;/publication_date&gt;&lt;uuid&gt;1CC50C17-39B6-4B0D-B161-6FF902EFDD34&lt;/uuid&gt;&lt;type&gt;400&lt;/type&gt;&lt;number&gt;2&lt;/number&gt;&lt;citekey&gt;Lahti:2015dd&lt;/citekey&gt;&lt;doi&gt;10.18352/lq.10112&lt;/doi&gt;&lt;startpage&gt;87&lt;/startpage&gt;&lt;endpage&gt;31&lt;/endpage&gt;&lt;bundle&gt;&lt;publication&gt;&lt;title&gt;LIBER Quarterly&lt;/title&gt;&lt;uuid&gt;07122BC6-793C-44FA-A696-1C3815A06AF7&lt;/uuid&gt;&lt;subtype&gt;-100&lt;/subtype&gt;&lt;type&gt;-100&lt;/type&gt;&lt;/publication&gt;&lt;/bundle&gt;&lt;authors&gt;&lt;author&gt;&lt;lastName&gt;Lahti&lt;/lastName&gt;&lt;firstName&gt;Leo&lt;/firstName&gt;&lt;/author&gt;&lt;author&gt;&lt;lastName&gt;Ilomäki&lt;/lastName&gt;&lt;firstName&gt;Niko&lt;/firstName&gt;&lt;/author&gt;&lt;author&gt;&lt;lastName&gt;Tolonen&lt;/lastName&gt;&lt;firstName&gt;Mikko&lt;/firstName&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(Lahti, Ilomäki, and Tolonen)</w:t>
      </w:r>
      <w:r w:rsidR="008335DF">
        <w:rPr>
          <w:rFonts w:ascii="Times New Roman" w:hAnsi="Times New Roman" w:cs="Times New Roman"/>
          <w:highlight w:val="white"/>
        </w:rPr>
        <w:fldChar w:fldCharType="end"/>
      </w:r>
      <w:r>
        <w:rPr>
          <w:rFonts w:ascii="Times New Roman" w:hAnsi="Times New Roman" w:cs="Times New Roman"/>
          <w:highlight w:val="white"/>
        </w:rPr>
        <w:t>} have applied successfully to the English Short Title Catalogue’s holdings, makes it feasible to apply a greater level of human scrutiny t</w:t>
      </w:r>
      <w:r>
        <w:rPr>
          <w:rFonts w:ascii="Times New Roman" w:hAnsi="Times New Roman" w:cs="Times New Roman"/>
          <w:highlight w:val="white"/>
        </w:rPr>
        <w:t>o a large body of texts. Topic modelling makes it feasible regularize otherwise-disparate materials without imposing a pre-defined ontology. My use of topic modelling differs somewhat from its typical use in literary distant reading, which generally applie</w:t>
      </w:r>
      <w:r>
        <w:rPr>
          <w:rFonts w:ascii="Times New Roman" w:hAnsi="Times New Roman" w:cs="Times New Roman"/>
          <w:highlight w:val="white"/>
        </w:rPr>
        <w:t>s topic models to the full text of literary works, and examines topics themselves as proxies for subtle elements of textual content. I model only the titles of works, taking advantage of the eighteenth century’s distinctively rich title conventions.</w:t>
      </w:r>
      <w:r>
        <w:rPr>
          <w:rFonts w:ascii="Times New Roman" w:hAnsi="Times New Roman" w:cs="Times New Roman"/>
          <w:highlight w:val="white"/>
          <w:vertAlign w:val="superscript"/>
        </w:rPr>
        <w:footnoteReference w:id="16"/>
      </w:r>
      <w:r>
        <w:rPr>
          <w:rFonts w:ascii="Times New Roman" w:hAnsi="Times New Roman" w:cs="Times New Roman"/>
          <w:highlight w:val="white"/>
        </w:rPr>
        <w:t xml:space="preserve"> </w:t>
      </w:r>
      <w:bookmarkStart w:id="46" w:name="ch_3"/>
      <w:r>
        <w:rPr>
          <w:rFonts w:ascii="Times New Roman" w:hAnsi="Times New Roman" w:cs="Times New Roman"/>
          <w:highlight w:val="white"/>
        </w:rPr>
        <w:t>Both</w:t>
      </w:r>
      <w:bookmarkEnd w:id="46"/>
      <w:r>
        <w:rPr>
          <w:rFonts w:ascii="Times New Roman" w:hAnsi="Times New Roman" w:cs="Times New Roman"/>
          <w:highlight w:val="white"/>
        </w:rPr>
        <w:t xml:space="preserve"> of these methods allow me to use </w:t>
      </w:r>
      <w:r>
        <w:rPr>
          <w:rFonts w:ascii="Times New Roman" w:hAnsi="Times New Roman" w:cs="Times New Roman"/>
          <w:highlight w:val="white"/>
        </w:rPr>
        <w:lastRenderedPageBreak/>
        <w:t>my ‘superset’ database to ask questions about 1790s literature itself. Influenced by Lesser and Farmer’s articulation of “structures of popu</w:t>
      </w:r>
      <w:r>
        <w:rPr>
          <w:rFonts w:ascii="Times New Roman" w:hAnsi="Times New Roman" w:cs="Times New Roman"/>
          <w:highlight w:val="white"/>
        </w:rPr>
        <w:t>larity,” I consider popularity in terms of total number of editions, frequency of reprinting, and market share. After presenting my proposals for how to calculate each of these metrics, I ask: what was most popular during the decade, according to my corpor</w:t>
      </w:r>
      <w:r>
        <w:rPr>
          <w:rFonts w:ascii="Times New Roman" w:hAnsi="Times New Roman" w:cs="Times New Roman"/>
          <w:highlight w:val="white"/>
        </w:rPr>
        <w:t>a? How do the corpora differ in their answers, and why? Many of the most reprinted works substantially pre-date the 1790s in their composition. Accordingly, taking up David Brewer’s challenge to account for the increased “footprint” of some texts beyond th</w:t>
      </w:r>
      <w:r>
        <w:rPr>
          <w:rFonts w:ascii="Times New Roman" w:hAnsi="Times New Roman" w:cs="Times New Roman"/>
          <w:highlight w:val="white"/>
        </w:rPr>
        <w:t xml:space="preserve">e moment of their original publication, I also pay attention to works originally written before the 1790s which nonetheless can be considered important “1790s literature” due to prominent reprinting. This inquiry’s first question is one of discovery: what </w:t>
      </w:r>
      <w:r>
        <w:rPr>
          <w:rFonts w:ascii="Times New Roman" w:hAnsi="Times New Roman" w:cs="Times New Roman"/>
          <w:highlight w:val="white"/>
        </w:rPr>
        <w:t>works resurface in the 1790s? Its next question is one of close-reading and historical context: what makes them seem newly relevant? The chapter as a whole, then, presents a sustained study of the relative popularity of the most prominent works printed dur</w:t>
      </w:r>
      <w:r>
        <w:rPr>
          <w:rFonts w:ascii="Times New Roman" w:hAnsi="Times New Roman" w:cs="Times New Roman"/>
          <w:highlight w:val="white"/>
        </w:rPr>
        <w:t>ing the 1790s, and seeks to answer how these prominent works might affect what we define as “popular literature.”</w:t>
      </w:r>
    </w:p>
    <w:p w14:paraId="78733875"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7749E499"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r>
        <w:rPr>
          <w:rFonts w:cs="Georgia"/>
          <w:b/>
          <w:bCs/>
          <w:sz w:val="26"/>
          <w:szCs w:val="26"/>
          <w:highlight w:val="white"/>
        </w:rPr>
        <w:lastRenderedPageBreak/>
        <w:t xml:space="preserve">3.2.  </w:t>
      </w:r>
      <w:bookmarkStart w:id="47" w:name="persons"/>
      <w:r>
        <w:rPr>
          <w:rFonts w:cs="Georgia"/>
          <w:b/>
          <w:bCs/>
          <w:sz w:val="26"/>
          <w:szCs w:val="26"/>
          <w:highlight w:val="white"/>
        </w:rPr>
        <w:t>persons</w:t>
      </w:r>
      <w:bookmarkEnd w:id="47"/>
    </w:p>
    <w:p w14:paraId="68D3CAC6" w14:textId="77777777" w:rsidR="00000000" w:rsidRDefault="00C67F0E">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cs="Georgia"/>
          <w:b/>
          <w:bCs/>
          <w:sz w:val="26"/>
          <w:szCs w:val="26"/>
          <w:highlight w:val="white"/>
        </w:rPr>
      </w:pPr>
    </w:p>
    <w:p w14:paraId="2016FE40"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r>
        <w:rPr>
          <w:rFonts w:ascii="Times New Roman" w:hAnsi="Times New Roman" w:cs="Times New Roman"/>
          <w:highlight w:val="white"/>
        </w:rPr>
        <w:t>The second phase of the project takes up persons and networks. As in the first phase of the project, it is a substantial undertaking simply to recover contemporary printing practices; this time, rather than asking what was printed, I ask who it was printed</w:t>
      </w:r>
      <w:r>
        <w:rPr>
          <w:rFonts w:ascii="Times New Roman" w:hAnsi="Times New Roman" w:cs="Times New Roman"/>
          <w:highlight w:val="white"/>
        </w:rPr>
        <w:t xml:space="preserve"> by. A great deal of scholarly work already exists on printing circles, coterie publishing, and individual publishing houses. My project consults this scholarship to extract and encode connections between authors, printers, and publishers (but not patrons,</w:t>
      </w:r>
      <w:r>
        <w:rPr>
          <w:rFonts w:ascii="Times New Roman" w:hAnsi="Times New Roman" w:cs="Times New Roman"/>
          <w:highlight w:val="white"/>
        </w:rPr>
        <w:t xml:space="preserve"> readers, or other persons not immediately involved in the production of printed texts) in order to synthesize the implicit social networks underlying 1790s print production.</w:t>
      </w:r>
      <w:r>
        <w:rPr>
          <w:rFonts w:ascii="Times New Roman" w:hAnsi="Times New Roman" w:cs="Times New Roman"/>
          <w:highlight w:val="white"/>
          <w:vertAlign w:val="superscript"/>
        </w:rPr>
        <w:footnoteReference w:id="17"/>
      </w:r>
    </w:p>
    <w:p w14:paraId="2D249B71"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706C0EBF" w14:textId="26C2026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8" w:name="ch_4"/>
      <w:r>
        <w:rPr>
          <w:rFonts w:ascii="Times New Roman" w:hAnsi="Times New Roman" w:cs="Times New Roman"/>
          <w:highlight w:val="white"/>
        </w:rPr>
        <w:t>Chapter</w:t>
      </w:r>
      <w:bookmarkEnd w:id="48"/>
      <w:r>
        <w:rPr>
          <w:rFonts w:ascii="Times New Roman" w:hAnsi="Times New Roman" w:cs="Times New Roman"/>
          <w:highlight w:val="white"/>
        </w:rPr>
        <w:t xml:space="preserve"> four introduces my mapping of the social world of print production 1789-99. My understanding and use of network analysis is contextualized in light of Wendy Chun’s work on n</w:t>
      </w:r>
      <w:r>
        <w:rPr>
          <w:rFonts w:ascii="Times New Roman" w:hAnsi="Times New Roman" w:cs="Times New Roman"/>
          <w:highlight w:val="white"/>
        </w:rPr>
        <w:t xml:space="preserve">etworks in “Queerying Homophily” </w:t>
      </w:r>
      <w:r w:rsidR="008335DF">
        <w:rPr>
          <w:rFonts w:ascii="Times New Roman" w:hAnsi="Times New Roman" w:cs="Times New Roman"/>
          <w:highlight w:val="white"/>
        </w:rPr>
        <w:fldChar w:fldCharType="begin"/>
      </w:r>
      <w:r w:rsidR="003975BD">
        <w:rPr>
          <w:rFonts w:ascii="Times New Roman" w:hAnsi="Times New Roman" w:cs="Times New Roman"/>
          <w:highlight w:val="white"/>
        </w:rPr>
        <w:instrText xml:space="preserve"> ADDIN PAPERS2_CITATIONS &lt;citation&gt;&lt;priority&gt;66&lt;/priority&gt;&lt;uuid&gt;3A1956A1-C676-4A4B-8239-82100A78B63D&lt;/uuid&gt;&lt;publications&gt;&lt;publication&gt;&lt;subtype&gt;-1000&lt;/subtype&gt;&lt;place&gt;Lüneburg&lt;/place&gt;&lt;publisher&gt;meon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8335DF">
        <w:rPr>
          <w:rFonts w:ascii="Times New Roman" w:hAnsi="Times New Roman" w:cs="Times New Roman"/>
          <w:highlight w:val="white"/>
        </w:rPr>
        <w:fldChar w:fldCharType="separate"/>
      </w:r>
      <w:r w:rsidR="008335DF">
        <w:rPr>
          <w:rFonts w:ascii="Times New Roman" w:hAnsi="Times New Roman" w:cs="Times New Roman"/>
        </w:rPr>
        <w:t>(Chun)</w:t>
      </w:r>
      <w:r w:rsidR="008335DF">
        <w:rPr>
          <w:rFonts w:ascii="Times New Roman" w:hAnsi="Times New Roman" w:cs="Times New Roman"/>
          <w:highlight w:val="white"/>
        </w:rPr>
        <w:fldChar w:fldCharType="end"/>
      </w:r>
      <w:r>
        <w:rPr>
          <w:rFonts w:ascii="Times New Roman" w:hAnsi="Times New Roman" w:cs="Times New Roman"/>
          <w:highlight w:val="white"/>
        </w:rPr>
        <w:t xml:space="preserve">. I describe my methodology and its assumptions, and provide a rich description of my resulting network graph. The graph I create may show one large interconnected network, or several separate networks of </w:t>
      </w:r>
      <w:r>
        <w:rPr>
          <w:rFonts w:ascii="Times New Roman" w:hAnsi="Times New Roman" w:cs="Times New Roman"/>
          <w:highlight w:val="white"/>
        </w:rPr>
        <w:t>varying sizes; these networks may show highly distinct clusters, or evenly interconnected webs. Drawing on mathematical graph theory, the chapter will explain the implications of whichever shape the network ultimately displays. It will also present an over</w:t>
      </w:r>
      <w:r>
        <w:rPr>
          <w:rFonts w:ascii="Times New Roman" w:hAnsi="Times New Roman" w:cs="Times New Roman"/>
          <w:highlight w:val="white"/>
        </w:rPr>
        <w:t xml:space="preserve">view of the people I identify as the “major players” in the </w:t>
      </w:r>
      <w:r>
        <w:rPr>
          <w:rFonts w:ascii="Times New Roman" w:hAnsi="Times New Roman" w:cs="Times New Roman"/>
          <w:highlight w:val="white"/>
        </w:rPr>
        <w:lastRenderedPageBreak/>
        <w:t>publishing world of the 1790s, both mathematically (looking for nodes with various kinds of centrality) and in the scholarship.</w:t>
      </w:r>
    </w:p>
    <w:p w14:paraId="7C7EA746"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21E42C3B"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bookmarkStart w:id="49" w:name="ch_5"/>
      <w:r>
        <w:rPr>
          <w:rFonts w:ascii="Times New Roman" w:hAnsi="Times New Roman" w:cs="Times New Roman"/>
          <w:highlight w:val="white"/>
        </w:rPr>
        <w:t>Having</w:t>
      </w:r>
      <w:bookmarkEnd w:id="49"/>
      <w:r>
        <w:rPr>
          <w:rFonts w:ascii="Times New Roman" w:hAnsi="Times New Roman" w:cs="Times New Roman"/>
          <w:highlight w:val="white"/>
        </w:rPr>
        <w:t xml:space="preserve"> recaptured these complex networks in some depth, I c</w:t>
      </w:r>
      <w:r>
        <w:rPr>
          <w:rFonts w:ascii="Times New Roman" w:hAnsi="Times New Roman" w:cs="Times New Roman"/>
          <w:highlight w:val="white"/>
        </w:rPr>
        <w:t>an then examine them, in chapter five, for their relation to our current understanding of mainstream and radical--or as I am terming them “mainstream” and “non-mainstream”--printing circles. My network graphs model individual political affiliation as a com</w:t>
      </w:r>
      <w:r>
        <w:rPr>
          <w:rFonts w:ascii="Times New Roman" w:hAnsi="Times New Roman" w:cs="Times New Roman"/>
          <w:highlight w:val="white"/>
        </w:rPr>
        <w:t>plex, socially defined practice rather than a set of concrete and stable ideological stances. This chapter will look for traces of affiliation in the print practices of publishers and authors. I consider individual printers with political allegiances, as i</w:t>
      </w:r>
      <w:r>
        <w:rPr>
          <w:rFonts w:ascii="Times New Roman" w:hAnsi="Times New Roman" w:cs="Times New Roman"/>
          <w:highlight w:val="white"/>
        </w:rPr>
        <w:t>n Dissenting societies, radical publishers, and correspondence societies. This then enables me to consider authors’ strategic choices as they publish with different printers. Having identified radical elements in the publishing world, I interrogate the rad</w:t>
      </w:r>
      <w:r>
        <w:rPr>
          <w:rFonts w:ascii="Times New Roman" w:hAnsi="Times New Roman" w:cs="Times New Roman"/>
          <w:highlight w:val="white"/>
        </w:rPr>
        <w:t>icals’ claims to marginalization. I suspect that I might find that they were not as socially estranged from the mainstream as they describe themselves, and that their printed works may accordingly have been less marginal. I discuss alternative print market</w:t>
      </w:r>
      <w:r>
        <w:rPr>
          <w:rFonts w:ascii="Times New Roman" w:hAnsi="Times New Roman" w:cs="Times New Roman"/>
          <w:highlight w:val="white"/>
        </w:rPr>
        <w:t xml:space="preserve">s and alternative circulation, in context with the print production which they are alternatives to. The circulation of works in manuscript presents me with two challenges which will be discussed here. The first challenge is methodological: the circulation </w:t>
      </w:r>
      <w:r>
        <w:rPr>
          <w:rFonts w:ascii="Times New Roman" w:hAnsi="Times New Roman" w:cs="Times New Roman"/>
          <w:highlight w:val="white"/>
        </w:rPr>
        <w:t>of manuscripts clearly occurred, and may have constituted “publication” within social circles, but manuscripts fall outside my purview. This chapter will therefore discuss the nature and rough shape of the gap which the exclusion of manuscript works leaves</w:t>
      </w:r>
      <w:r>
        <w:rPr>
          <w:rFonts w:ascii="Times New Roman" w:hAnsi="Times New Roman" w:cs="Times New Roman"/>
          <w:highlight w:val="white"/>
        </w:rPr>
        <w:t xml:space="preserve"> in my study. The second task of this chapter is more theoretical: as queer and decolonial DH scholars note, there is an ethical choice implicated in the decision to systematically discover, collect, and expose communities which intentionally operated belo</w:t>
      </w:r>
      <w:r>
        <w:rPr>
          <w:rFonts w:ascii="Times New Roman" w:hAnsi="Times New Roman" w:cs="Times New Roman"/>
          <w:highlight w:val="white"/>
        </w:rPr>
        <w:t xml:space="preserve">w the notice of state observation. Historical distance prevents </w:t>
      </w:r>
      <w:r>
        <w:rPr>
          <w:rFonts w:ascii="Times New Roman" w:hAnsi="Times New Roman" w:cs="Times New Roman"/>
          <w:highlight w:val="white"/>
        </w:rPr>
        <w:lastRenderedPageBreak/>
        <w:t>me from worrying about causing direct harm through my work, but nonetheless I critically interrogate my own research practices and contextualize my choices with the horizon of expectations wit</w:t>
      </w:r>
      <w:r>
        <w:rPr>
          <w:rFonts w:ascii="Times New Roman" w:hAnsi="Times New Roman" w:cs="Times New Roman"/>
          <w:highlight w:val="white"/>
        </w:rPr>
        <w:t>hin the radical circles I expose. Finally, having discussed the networks of radical and mainstream publishing in the 1790s, I also compare the position of radical publishers in the 1790s with their status in the corpora discussed in chapters two and three,</w:t>
      </w:r>
      <w:r>
        <w:rPr>
          <w:rFonts w:ascii="Times New Roman" w:hAnsi="Times New Roman" w:cs="Times New Roman"/>
          <w:highlight w:val="white"/>
        </w:rPr>
        <w:t xml:space="preserve"> where they may in fact be marginalized. Together, these approaches further complicate the story of popularity which the dissertation challenges elsewhere, by suggesting ways to reassess of the popularity of radical works</w:t>
      </w:r>
      <w:commentRangeStart w:id="50"/>
      <w:r>
        <w:rPr>
          <w:rFonts w:ascii="Times New Roman" w:hAnsi="Times New Roman" w:cs="Times New Roman"/>
          <w:highlight w:val="white"/>
        </w:rPr>
        <w:fldChar w:fldCharType="begin"/>
      </w:r>
      <w:r>
        <w:rPr>
          <w:rFonts w:ascii="Times New Roman" w:hAnsi="Times New Roman" w:cs="Times New Roman"/>
          <w:highlight w:val="white"/>
        </w:rPr>
        <w:instrText>HYPERLINK "scrivcmt://673211F6-ED1E</w:instrText>
      </w:r>
      <w:r>
        <w:rPr>
          <w:rFonts w:ascii="Times New Roman" w:hAnsi="Times New Roman" w:cs="Times New Roman"/>
          <w:highlight w:val="white"/>
        </w:rPr>
        <w:instrText>-4B56-BB02-40862EE6F372"</w:instrText>
      </w:r>
      <w:r w:rsidR="008335DF">
        <w:rPr>
          <w:rFonts w:ascii="Times New Roman" w:hAnsi="Times New Roman" w:cs="Times New Roman"/>
          <w:highlight w:val="white"/>
        </w:rPr>
      </w:r>
      <w:r>
        <w:rPr>
          <w:rFonts w:ascii="Times New Roman" w:hAnsi="Times New Roman" w:cs="Times New Roman"/>
          <w:highlight w:val="white"/>
        </w:rPr>
        <w:fldChar w:fldCharType="separate"/>
      </w:r>
      <w:r>
        <w:rPr>
          <w:rFonts w:ascii="Times New Roman" w:hAnsi="Times New Roman" w:cs="Times New Roman"/>
          <w:highlight w:val="white"/>
        </w:rPr>
        <w:t>.</w:t>
      </w:r>
      <w:r>
        <w:rPr>
          <w:rFonts w:ascii="Times New Roman" w:hAnsi="Times New Roman" w:cs="Times New Roman"/>
          <w:highlight w:val="white"/>
        </w:rPr>
        <w:fldChar w:fldCharType="end"/>
      </w:r>
      <w:commentRangeEnd w:id="50"/>
      <w:r>
        <w:rPr>
          <w:rFonts w:ascii="Times New Roman" w:hAnsi="Times New Roman" w:cs="Times New Roman"/>
          <w:highlight w:val="white"/>
        </w:rPr>
        <w:commentReference w:id="50"/>
      </w:r>
    </w:p>
    <w:p w14:paraId="49819A64" w14:textId="77777777" w:rsidR="00000000" w:rsidRDefault="00C67F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highlight w:val="white"/>
        </w:rPr>
      </w:pPr>
    </w:p>
    <w:p w14:paraId="4E083E0D" w14:textId="2CB578FD"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rFonts w:ascii="Times New Roman" w:hAnsi="Times New Roman" w:cs="Times New Roman"/>
        </w:rPr>
        <w:t>Works Cited</w:t>
      </w:r>
      <w:bookmarkStart w:id="51" w:name="_GoBack"/>
      <w:bookmarkEnd w:id="51"/>
    </w:p>
    <w:p w14:paraId="3EDDE66A" w14:textId="771E530C" w:rsidR="003975BD" w:rsidRDefault="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pPr>
      <w:r>
        <w:t>(Note that this works cited was auto-generated by my bibliography software – most entries are incomplete.)</w:t>
      </w:r>
    </w:p>
    <w:p w14:paraId="1F0E6B50"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Bainbridge, Simon. </w:t>
      </w:r>
      <w:r>
        <w:rPr>
          <w:rFonts w:cs="Georgia"/>
          <w:i/>
          <w:iCs/>
        </w:rPr>
        <w:t>British Poetry and the Revolutionary and Napoleonic Wars</w:t>
      </w:r>
      <w:r>
        <w:rPr>
          <w:rFonts w:cs="Georgia"/>
        </w:rPr>
        <w:t>. Oxford University Press, 2003. Print.</w:t>
      </w:r>
    </w:p>
    <w:p w14:paraId="0737953D"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Bode, Katherine. “The Equivalence of “Close” and “Distant” Reading; or, Toward a New Object for Data-Rich Literary History.” </w:t>
      </w:r>
      <w:r>
        <w:rPr>
          <w:rFonts w:cs="Georgia"/>
          <w:i/>
          <w:iCs/>
        </w:rPr>
        <w:t>Modern Language Quarterly</w:t>
      </w:r>
      <w:r>
        <w:rPr>
          <w:rFonts w:cs="Georgia"/>
        </w:rPr>
        <w:t xml:space="preserve"> 78.1 (2017): 77–106. Web.</w:t>
      </w:r>
    </w:p>
    <w:p w14:paraId="7A64E8F9"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Buurma, Rachel Sagner, and Laura Heffernan. “Search and Replace: Josephine Miles and the Origins of Distant Reading </w:t>
      </w:r>
    </w:p>
    <w:p w14:paraId="0C4A91EB"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 </w:t>
      </w:r>
      <w:r>
        <w:rPr>
          <w:rFonts w:cs="Georgia"/>
          <w:i/>
          <w:iCs/>
        </w:rPr>
        <w:t>Modernism / Modernity Print</w:t>
      </w:r>
      <w:r>
        <w:rPr>
          <w:rFonts w:cs="Georgia"/>
        </w:rPr>
        <w:t>. N.p., 18 Apr. 2018. Print.</w:t>
      </w:r>
    </w:p>
    <w:p w14:paraId="23CCA8C8"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Cairo, Alberto. </w:t>
      </w:r>
      <w:r>
        <w:rPr>
          <w:rFonts w:cs="Georgia"/>
          <w:i/>
          <w:iCs/>
        </w:rPr>
        <w:t>How Charts Lie</w:t>
      </w:r>
      <w:r>
        <w:rPr>
          <w:rFonts w:cs="Georgia"/>
        </w:rPr>
        <w:t>. 2019. Print.</w:t>
      </w:r>
    </w:p>
    <w:p w14:paraId="7D73D446"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Cairo, Alberto. “Infographics to Explain, Data Visualizations to Explore.” </w:t>
      </w:r>
      <w:r>
        <w:rPr>
          <w:rFonts w:cs="Georgia"/>
          <w:i/>
          <w:iCs/>
        </w:rPr>
        <w:t>The Functional Art Alberto Cairos Weblog on Visualization, Infographics, and Data Journalism</w:t>
      </w:r>
      <w:r>
        <w:rPr>
          <w:rFonts w:cs="Georgia"/>
        </w:rPr>
        <w:t>. N.p., 16 Mar. 2014. Print.</w:t>
      </w:r>
    </w:p>
    <w:p w14:paraId="5FA3768A"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Cairo, Alberto. </w:t>
      </w:r>
      <w:r>
        <w:rPr>
          <w:rFonts w:cs="Georgia"/>
          <w:i/>
          <w:iCs/>
        </w:rPr>
        <w:t>The Truthful Art: Data, Charts, and Maps for Communication</w:t>
      </w:r>
      <w:r>
        <w:rPr>
          <w:rFonts w:cs="Georgia"/>
        </w:rPr>
        <w:t>. San Francisco: New Riders, 2016. Print.</w:t>
      </w:r>
    </w:p>
    <w:p w14:paraId="1D0788BE"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Chun, Wendy Hui Kyong. “</w:t>
      </w:r>
      <w:r w:rsidRPr="003975BD">
        <w:rPr>
          <w:rFonts w:cs="Georgia"/>
        </w:rPr>
        <w:t>Queerying Homophily</w:t>
      </w:r>
      <w:r>
        <w:rPr>
          <w:rFonts w:cs="Georgia"/>
          <w:b/>
          <w:bCs/>
        </w:rPr>
        <w:t xml:space="preserve"> </w:t>
      </w:r>
      <w:r>
        <w:rPr>
          <w:rFonts w:cs="Georgia"/>
        </w:rPr>
        <w:t xml:space="preserve">.” </w:t>
      </w:r>
      <w:r>
        <w:rPr>
          <w:rFonts w:cs="Georgia"/>
          <w:i/>
          <w:iCs/>
        </w:rPr>
        <w:t>Pattern Discrimination</w:t>
      </w:r>
      <w:r>
        <w:rPr>
          <w:rFonts w:cs="Georgia"/>
        </w:rPr>
        <w:t>. Lüneburg: meon press, 2018. Print.</w:t>
      </w:r>
    </w:p>
    <w:p w14:paraId="4515971F"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Clery, E J. </w:t>
      </w:r>
      <w:r>
        <w:rPr>
          <w:rFonts w:cs="Georgia"/>
          <w:i/>
          <w:iCs/>
        </w:rPr>
        <w:t>The Rise of Supernatural Fiction</w:t>
      </w:r>
      <w:r>
        <w:rPr>
          <w:rFonts w:cs="Georgia"/>
        </w:rPr>
        <w:t>. Print.</w:t>
      </w:r>
    </w:p>
    <w:p w14:paraId="68535FA5"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Cronin, Richard. </w:t>
      </w:r>
      <w:r>
        <w:rPr>
          <w:rFonts w:cs="Georgia"/>
          <w:i/>
          <w:iCs/>
        </w:rPr>
        <w:t>The Politics of Romantic Poetry</w:t>
      </w:r>
      <w:r>
        <w:rPr>
          <w:rFonts w:cs="Georgia"/>
        </w:rPr>
        <w:t>. 2000. Print.</w:t>
      </w:r>
    </w:p>
    <w:p w14:paraId="61891F8C" w14:textId="7693411E"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Drucker, Johanna. “</w:t>
      </w:r>
      <w:r w:rsidRPr="003975BD">
        <w:rPr>
          <w:rFonts w:cs="Georgia"/>
        </w:rPr>
        <w:t>Humanities Approaches to Graphical Display</w:t>
      </w:r>
      <w:r>
        <w:rPr>
          <w:rFonts w:cs="Georgia"/>
        </w:rPr>
        <w:t xml:space="preserve">.” </w:t>
      </w:r>
      <w:r>
        <w:rPr>
          <w:rFonts w:cs="Georgia"/>
          <w:i/>
          <w:iCs/>
        </w:rPr>
        <w:t>Digital Humanities Quarterly</w:t>
      </w:r>
      <w:r>
        <w:rPr>
          <w:rFonts w:cs="Georgia"/>
        </w:rPr>
        <w:t xml:space="preserve"> 5.1 (2011): 1–23. Print.</w:t>
      </w:r>
    </w:p>
    <w:p w14:paraId="648C1932"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Facundo, A C. </w:t>
      </w:r>
      <w:r>
        <w:rPr>
          <w:rFonts w:cs="Georgia"/>
          <w:i/>
          <w:iCs/>
        </w:rPr>
        <w:t>Oscillations of Literary Theory: the Paranoid Imperative and Queer Reparative</w:t>
      </w:r>
      <w:r>
        <w:rPr>
          <w:rFonts w:cs="Georgia"/>
        </w:rPr>
        <w:t>. 2016. Print.</w:t>
      </w:r>
    </w:p>
    <w:p w14:paraId="6DAF7D1C"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Felski, Rita. “Everyday Aesthetics.” </w:t>
      </w:r>
      <w:r>
        <w:rPr>
          <w:rFonts w:cs="Georgia"/>
          <w:i/>
          <w:iCs/>
        </w:rPr>
        <w:t>the minnesota review</w:t>
      </w:r>
      <w:r>
        <w:rPr>
          <w:rFonts w:cs="Georgia"/>
        </w:rPr>
        <w:t xml:space="preserve"> 71-72 (2009): 171–179. Print.</w:t>
      </w:r>
    </w:p>
    <w:p w14:paraId="005F953C"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lastRenderedPageBreak/>
        <w:t xml:space="preserve">Gamer, Michael. </w:t>
      </w:r>
      <w:r>
        <w:rPr>
          <w:rFonts w:cs="Georgia"/>
          <w:i/>
          <w:iCs/>
        </w:rPr>
        <w:t>Romanticism and the Gothic</w:t>
      </w:r>
      <w:r>
        <w:rPr>
          <w:rFonts w:cs="Georgia"/>
        </w:rPr>
        <w:t>. Print.</w:t>
      </w:r>
    </w:p>
    <w:p w14:paraId="6DECCE39"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Guillory, John. </w:t>
      </w:r>
      <w:r>
        <w:rPr>
          <w:rFonts w:cs="Georgia"/>
          <w:i/>
          <w:iCs/>
        </w:rPr>
        <w:t>Cultural Capital: the Problem of Literary Canon Formation</w:t>
      </w:r>
      <w:r>
        <w:rPr>
          <w:rFonts w:cs="Georgia"/>
        </w:rPr>
        <w:t>. University of Chicago Press, 1993. Print.</w:t>
      </w:r>
    </w:p>
    <w:p w14:paraId="30B06016"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HathiTrust. “Getting Content Into HathiTrust.” </w:t>
      </w:r>
      <w:r>
        <w:rPr>
          <w:rFonts w:cs="Georgia"/>
          <w:i/>
          <w:iCs/>
        </w:rPr>
        <w:t>HathiTrust</w:t>
      </w:r>
      <w:r>
        <w:rPr>
          <w:rFonts w:cs="Georgia"/>
        </w:rPr>
        <w:t>. N.p., 10 Mar. 2019. Print.</w:t>
      </w:r>
    </w:p>
    <w:p w14:paraId="79630C1F"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HathiTrust. “Our Digital Library.” </w:t>
      </w:r>
      <w:r>
        <w:rPr>
          <w:rFonts w:cs="Georgia"/>
          <w:i/>
          <w:iCs/>
        </w:rPr>
        <w:t>HathiTrust</w:t>
      </w:r>
      <w:r>
        <w:rPr>
          <w:rFonts w:cs="Georgia"/>
        </w:rPr>
        <w:t>. N.p., 10 Mar. 2019. Print.</w:t>
      </w:r>
    </w:p>
    <w:p w14:paraId="67D5032F"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HathiTrust. “Our Membership.” </w:t>
      </w:r>
      <w:r>
        <w:rPr>
          <w:rFonts w:cs="Georgia"/>
          <w:i/>
          <w:iCs/>
        </w:rPr>
        <w:t>HathiTrust</w:t>
      </w:r>
      <w:r>
        <w:rPr>
          <w:rFonts w:cs="Georgia"/>
        </w:rPr>
        <w:t>. N.p., 10 Mar. 2019. Print.</w:t>
      </w:r>
    </w:p>
    <w:p w14:paraId="71E82113"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Klein, Lauren. “Distant Reading After Moretti.” 2018. 1–4. Print.</w:t>
      </w:r>
    </w:p>
    <w:p w14:paraId="7149D188"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Lahti, Leo, Niko Ilomäki, and Mikko Tolonen. “A Quantitative Study of History in the English Short-Title Catalogue (ESTC), 1470-1800.” </w:t>
      </w:r>
      <w:r>
        <w:rPr>
          <w:rFonts w:cs="Georgia"/>
          <w:i/>
          <w:iCs/>
        </w:rPr>
        <w:t>LIBER Quarterly</w:t>
      </w:r>
      <w:r>
        <w:rPr>
          <w:rFonts w:cs="Georgia"/>
        </w:rPr>
        <w:t xml:space="preserve"> 25.2 (2015): 87–31. Web.</w:t>
      </w:r>
    </w:p>
    <w:p w14:paraId="37F84385"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Latour, Bruno. </w:t>
      </w:r>
      <w:r>
        <w:rPr>
          <w:rFonts w:cs="Georgia"/>
          <w:i/>
          <w:iCs/>
        </w:rPr>
        <w:t>Reassembling the Social: an Introduction to Actor-Network-Theory</w:t>
      </w:r>
      <w:r>
        <w:rPr>
          <w:rFonts w:cs="Georgia"/>
        </w:rPr>
        <w:t>. Oxford UP, 2005. Print.</w:t>
      </w:r>
    </w:p>
    <w:p w14:paraId="4A431B8F"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Love, Heather. “Close but Not Deep: Literary Ethics and the Descriptive Turn.” </w:t>
      </w:r>
      <w:r>
        <w:rPr>
          <w:rFonts w:cs="Georgia"/>
          <w:i/>
          <w:iCs/>
        </w:rPr>
        <w:t>New Literary History</w:t>
      </w:r>
      <w:r>
        <w:rPr>
          <w:rFonts w:cs="Georgia"/>
        </w:rPr>
        <w:t xml:space="preserve"> 41.2 (2010): 371–391. Web.</w:t>
      </w:r>
    </w:p>
    <w:p w14:paraId="0B85196A"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Love, Heather. “Close Reading and Thin Description.” </w:t>
      </w:r>
      <w:r>
        <w:rPr>
          <w:rFonts w:cs="Georgia"/>
          <w:i/>
          <w:iCs/>
        </w:rPr>
        <w:t>Public Culture</w:t>
      </w:r>
      <w:r>
        <w:rPr>
          <w:rFonts w:cs="Georgia"/>
        </w:rPr>
        <w:t xml:space="preserve"> 25.3 71 (2013): 401–434. Web.</w:t>
      </w:r>
    </w:p>
    <w:p w14:paraId="0C2CB088"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Mee, Jon. </w:t>
      </w:r>
      <w:r>
        <w:rPr>
          <w:rFonts w:cs="Georgia"/>
          <w:i/>
          <w:iCs/>
        </w:rPr>
        <w:t>Print, Publicity, and Popular Radicalism in the 1790s: the Laurel of Liberty</w:t>
      </w:r>
      <w:r>
        <w:rPr>
          <w:rFonts w:cs="Georgia"/>
        </w:rPr>
        <w:t>. 2016. Print.</w:t>
      </w:r>
    </w:p>
    <w:p w14:paraId="297D0DA6"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Moretti, Franco. “Conjectures on World Literature.” </w:t>
      </w:r>
      <w:r>
        <w:rPr>
          <w:rFonts w:cs="Georgia"/>
          <w:i/>
          <w:iCs/>
        </w:rPr>
        <w:t>New Left Review</w:t>
      </w:r>
      <w:r>
        <w:rPr>
          <w:rFonts w:cs="Georgia"/>
        </w:rPr>
        <w:t xml:space="preserve"> 1 (2000): n. pag. Print.</w:t>
      </w:r>
    </w:p>
    <w:p w14:paraId="3D8174A5"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Noble, Safiya. </w:t>
      </w:r>
      <w:r>
        <w:rPr>
          <w:rFonts w:cs="Georgia"/>
          <w:i/>
          <w:iCs/>
        </w:rPr>
        <w:t>Algorithms of Oppression</w:t>
      </w:r>
      <w:r>
        <w:rPr>
          <w:rFonts w:cs="Georgia"/>
        </w:rPr>
        <w:t>. NYU Press, 2018. Print.</w:t>
      </w:r>
    </w:p>
    <w:p w14:paraId="2A64A187"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Saavedra, Ryan. “Socialist Rep. Alexandria Ocasio-Cortez (D- NY) Claims That Algorithms, Which Are Driven by Math, Are Racist.” (2019): 1–1. Print.</w:t>
      </w:r>
    </w:p>
    <w:p w14:paraId="71958BBC"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Sedgwick, Eve Kosofsky. “Paranoid Reading and Reparative Reading.” </w:t>
      </w:r>
      <w:r>
        <w:rPr>
          <w:rFonts w:cs="Georgia"/>
          <w:i/>
          <w:iCs/>
        </w:rPr>
        <w:t>Touching Feeling</w:t>
      </w:r>
      <w:r>
        <w:rPr>
          <w:rFonts w:cs="Georgia"/>
        </w:rPr>
        <w:t>. Durham &amp; London: N.p., 2003. 123–151. Print. Or, You're So Paranoid, You Probably Think This Essay Is About You.</w:t>
      </w:r>
    </w:p>
    <w:p w14:paraId="111EA762"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Taylor, George. </w:t>
      </w:r>
      <w:r>
        <w:rPr>
          <w:rFonts w:cs="Georgia"/>
          <w:i/>
          <w:iCs/>
        </w:rPr>
        <w:t>The French Revolution and the London Stage, 1789-1805</w:t>
      </w:r>
      <w:r>
        <w:rPr>
          <w:rFonts w:cs="Georgia"/>
        </w:rPr>
        <w:t>. Cambridge: Cambridge University Press, 2001. Web.</w:t>
      </w:r>
    </w:p>
    <w:p w14:paraId="60080648"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Tufte, E R. </w:t>
      </w:r>
      <w:r>
        <w:rPr>
          <w:rFonts w:cs="Georgia"/>
          <w:i/>
          <w:iCs/>
        </w:rPr>
        <w:t>The Visual Display of Quantitative Information</w:t>
      </w:r>
      <w:r>
        <w:rPr>
          <w:rFonts w:cs="Georgia"/>
        </w:rPr>
        <w:t>. 2nd ed. Graphics Press, 2001. Print.</w:t>
      </w:r>
    </w:p>
    <w:p w14:paraId="2EE5F464" w14:textId="77777777" w:rsid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Underwood, Ted. “A Genealogy of Distant Reading .” </w:t>
      </w:r>
      <w:r>
        <w:rPr>
          <w:rFonts w:cs="Georgia"/>
          <w:i/>
          <w:iCs/>
        </w:rPr>
        <w:t>Digital Humanities Quarterly</w:t>
      </w:r>
      <w:r>
        <w:rPr>
          <w:rFonts w:cs="Georgia"/>
        </w:rPr>
        <w:t xml:space="preserve"> 11.2 (2017): 1–11. Print.</w:t>
      </w:r>
    </w:p>
    <w:p w14:paraId="4B6E729E" w14:textId="3FBA5AA7" w:rsidR="00C67F0E" w:rsidRPr="003975BD" w:rsidRDefault="003975BD" w:rsidP="003975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cs="Georgia"/>
        </w:rPr>
      </w:pPr>
      <w:r>
        <w:rPr>
          <w:rFonts w:cs="Georgia"/>
        </w:rPr>
        <w:t xml:space="preserve">Zwicker, Steven N. “Is There Such a Thing as Restoration Literature?.” </w:t>
      </w:r>
      <w:r>
        <w:rPr>
          <w:rFonts w:cs="Georgia"/>
          <w:i/>
          <w:iCs/>
        </w:rPr>
        <w:t>Huntington Library Quarterly</w:t>
      </w:r>
      <w:r>
        <w:rPr>
          <w:rFonts w:cs="Georgia"/>
        </w:rPr>
        <w:t xml:space="preserve"> 69.3 (2006): 425–450. Web.</w:t>
      </w:r>
      <w:r>
        <w:fldChar w:fldCharType="begin"/>
      </w:r>
      <w:r>
        <w:instrText xml:space="preserve"> ADDIN PAPERS2_CITATIONS &lt;papers2_bibliography/&gt;</w:instrText>
      </w:r>
      <w:r>
        <w:fldChar w:fldCharType="separate"/>
      </w:r>
      <w:r>
        <w:fldChar w:fldCharType="end"/>
      </w:r>
    </w:p>
    <w:sectPr w:rsidR="00C67F0E" w:rsidRPr="003975BD">
      <w:headerReference w:type="default" r:id="rId9"/>
      <w:footerReference w:type="default" r:id="rId10"/>
      <w:endnotePr>
        <w:numFmt w:val="decimal"/>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awrence Evalyn" w:initials="Lawrence ">
    <w:p w14:paraId="115779F9" w14:textId="77777777" w:rsidR="00000000" w:rsidRDefault="00C67F0E">
      <w:pPr>
        <w:widowControl/>
        <w:rPr>
          <w:rFonts w:ascii="Times New Roman" w:hAnsi="Times New Roman" w:cs="Times New Roman"/>
        </w:rPr>
      </w:pPr>
      <w:r>
        <w:rPr>
          <w:rFonts w:ascii="Times New Roman" w:hAnsi="Times New Roman" w:cs="Times New Roman"/>
        </w:rPr>
        <w:t>add a paragraph about the rise of the novel afte</w:t>
      </w:r>
      <w:r>
        <w:rPr>
          <w:rFonts w:ascii="Times New Roman" w:hAnsi="Times New Roman" w:cs="Times New Roman"/>
        </w:rPr>
        <w:t>r this one, later on</w:t>
      </w:r>
    </w:p>
    <w:p w14:paraId="63EF0C0A" w14:textId="77777777" w:rsidR="00000000" w:rsidRDefault="00C67F0E">
      <w:pPr>
        <w:widowControl/>
        <w:rPr>
          <w:rFonts w:ascii="Times New Roman" w:hAnsi="Times New Roman" w:cs="Times New Roman"/>
        </w:rPr>
      </w:pPr>
    </w:p>
    <w:p w14:paraId="64ADB984" w14:textId="77777777" w:rsidR="00000000" w:rsidRDefault="00C67F0E">
      <w:pPr>
        <w:widowControl/>
        <w:rPr>
          <w:rFonts w:ascii="Times New Roman" w:hAnsi="Times New Roman" w:cs="Times New Roman"/>
        </w:rPr>
      </w:pPr>
    </w:p>
    <w:p w14:paraId="77B2EDA4" w14:textId="77777777" w:rsidR="00000000" w:rsidRDefault="00C67F0E">
      <w:pPr>
        <w:widowControl/>
        <w:rPr>
          <w:rFonts w:ascii="Times New Roman" w:hAnsi="Times New Roman" w:cs="Times New Roman"/>
        </w:rPr>
      </w:pPr>
    </w:p>
    <w:p w14:paraId="2653B3FA" w14:textId="77777777" w:rsidR="00000000" w:rsidRDefault="00C67F0E">
      <w:pPr>
        <w:widowControl/>
        <w:rPr>
          <w:rFonts w:ascii="Times New Roman" w:hAnsi="Times New Roman" w:cs="Times New Roman"/>
        </w:rPr>
      </w:pPr>
      <w:r>
        <w:rPr>
          <w:rFonts w:ascii="Times New Roman" w:hAnsi="Times New Roman" w:cs="Times New Roman"/>
        </w:rPr>
        <w:t>The unexpected difficulty of distinguishing “trash” and “treasure” is also a throughline in the many competing histories of the rise of the novel, and in particular their need to address the Gothic novel’s astonishing popularity.</w:t>
      </w:r>
    </w:p>
  </w:comment>
  <w:comment w:id="19" w:author="Lawrence Evalyn" w:initials="Lawrence ">
    <w:p w14:paraId="742C39FC" w14:textId="77777777" w:rsidR="00000000" w:rsidRDefault="00C67F0E">
      <w:pPr>
        <w:widowControl/>
        <w:rPr>
          <w:rFonts w:ascii="Times New Roman" w:hAnsi="Times New Roman" w:cs="Times New Roman"/>
        </w:rPr>
      </w:pPr>
      <w:r>
        <w:rPr>
          <w:rFonts w:ascii="Times New Roman" w:hAnsi="Times New Roman" w:cs="Times New Roman"/>
        </w:rPr>
        <w:t>I feel like I really shouldn’t shorthand all this stuff as “queer theory,” since I’m not persuaded that eg Felski is at</w:t>
      </w:r>
      <w:r>
        <w:rPr>
          <w:rFonts w:ascii="Times New Roman" w:hAnsi="Times New Roman" w:cs="Times New Roman"/>
        </w:rPr>
        <w:t xml:space="preserve"> ALL a ‘queer theorist’ — but it all comes from Sedgwick for me, and I do need some kind of name for this collection of ideas — and my own attachment to Felski is tied to queerness</w:t>
      </w:r>
    </w:p>
  </w:comment>
  <w:comment w:id="26" w:author="Lawrence Evalyn" w:initials="Lawrence ">
    <w:p w14:paraId="5FB97347" w14:textId="77777777" w:rsidR="00000000" w:rsidRDefault="00C67F0E">
      <w:pPr>
        <w:widowControl/>
        <w:rPr>
          <w:rFonts w:ascii="Times New Roman" w:hAnsi="Times New Roman" w:cs="Times New Roman"/>
        </w:rPr>
      </w:pPr>
      <w:r>
        <w:rPr>
          <w:rFonts w:ascii="Times New Roman" w:hAnsi="Times New Roman" w:cs="Times New Roman"/>
        </w:rPr>
        <w:t>Does this w</w:t>
      </w:r>
      <w:r>
        <w:rPr>
          <w:rFonts w:ascii="Times New Roman" w:hAnsi="Times New Roman" w:cs="Times New Roman"/>
        </w:rPr>
        <w:t>hole section actually belong in chapter two? If so, what goes here instead — lit review of other DH work done on the 18thC? Maybe, common methods used?</w:t>
      </w:r>
    </w:p>
  </w:comment>
  <w:comment w:id="39" w:author="Lawrence Evalyn" w:initials="Lawrence ">
    <w:p w14:paraId="68885903" w14:textId="77777777" w:rsidR="00000000" w:rsidRDefault="00C67F0E">
      <w:pPr>
        <w:widowControl/>
        <w:rPr>
          <w:rFonts w:ascii="Times New Roman" w:hAnsi="Times New Roman" w:cs="Times New Roman"/>
        </w:rPr>
      </w:pPr>
      <w:r>
        <w:rPr>
          <w:rFonts w:ascii="Times New Roman" w:hAnsi="Times New Roman" w:cs="Times New Roman"/>
        </w:rPr>
        <w:t>Need to add an example here. Also need to expand in more detail on all of these examples.</w:t>
      </w:r>
    </w:p>
  </w:comment>
  <w:comment w:id="50" w:author="Lawrence Evalyn" w:initials="Lawrence ">
    <w:p w14:paraId="51CBA959" w14:textId="77777777" w:rsidR="00000000" w:rsidRDefault="00C67F0E">
      <w:pPr>
        <w:widowControl/>
        <w:rPr>
          <w:rFonts w:ascii="Times New Roman" w:hAnsi="Times New Roman" w:cs="Times New Roman"/>
        </w:rPr>
      </w:pPr>
      <w:r>
        <w:rPr>
          <w:rFonts w:ascii="Times New Roman" w:hAnsi="Times New Roman" w:cs="Times New Roman"/>
        </w:rPr>
        <w:t>I’m not really sure how to conclude this chapter — but I think this is probably something that will be clear when I’ve actually completed the rest of the diss.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3B3FA" w15:done="0"/>
  <w15:commentEx w15:paraId="742C39FC" w15:done="0"/>
  <w15:commentEx w15:paraId="5FB97347" w15:done="0"/>
  <w15:commentEx w15:paraId="68885903" w15:done="0"/>
  <w15:commentEx w15:paraId="51CBA9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3B3FA" w16cid:durableId="2031AAA7"/>
  <w16cid:commentId w16cid:paraId="742C39FC" w16cid:durableId="2031AAA9"/>
  <w16cid:commentId w16cid:paraId="5FB97347" w16cid:durableId="2031AAAA"/>
  <w16cid:commentId w16cid:paraId="68885903" w16cid:durableId="2031AAAB"/>
  <w16cid:commentId w16cid:paraId="51CBA959" w16cid:durableId="2031A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F08C8" w14:textId="77777777" w:rsidR="00C67F0E" w:rsidRDefault="00C67F0E">
      <w:r>
        <w:separator/>
      </w:r>
    </w:p>
  </w:endnote>
  <w:endnote w:type="continuationSeparator" w:id="0">
    <w:p w14:paraId="2850FBE7" w14:textId="77777777" w:rsidR="00C67F0E" w:rsidRDefault="00C67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C8CD" w14:textId="77777777" w:rsidR="00000000" w:rsidRDefault="00C67F0E">
    <w:pPr>
      <w:widowControl/>
      <w:jc w:val="center"/>
      <w:rPr>
        <w:rFonts w:ascii="Helvetica" w:hAnsi="Helvetica" w:cs="Helvetica"/>
      </w:rPr>
    </w:pPr>
    <w:r>
      <w:rPr>
        <w:rFonts w:ascii="Helvetica" w:hAnsi="Helvetica" w:cs="Helvetica"/>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69D13" w14:textId="77777777" w:rsidR="00C67F0E" w:rsidRDefault="00C67F0E">
      <w:r>
        <w:separator/>
      </w:r>
    </w:p>
  </w:footnote>
  <w:footnote w:type="continuationSeparator" w:id="0">
    <w:p w14:paraId="60EA0F0D" w14:textId="77777777" w:rsidR="00C67F0E" w:rsidRDefault="00C67F0E">
      <w:r>
        <w:continuationSeparator/>
      </w:r>
    </w:p>
  </w:footnote>
  <w:footnote w:id="1">
    <w:p w14:paraId="0E55BD03"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TODO: footnote a couple examples of these.</w:t>
      </w:r>
    </w:p>
  </w:footnote>
  <w:footnote w:id="2">
    <w:p w14:paraId="0A40C7A0"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TODO: footnote a couple examples of these</w:t>
      </w:r>
    </w:p>
  </w:footnote>
  <w:footnote w:id="3">
    <w:p w14:paraId="07D9BE4B" w14:textId="77777777" w:rsidR="003975BD"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 xml:space="preserve">Indeed, Buurma notes, “There are good reasons, of course, that scholars and journalists like to begin with Busa: he was the first concordance-maker to automate all five stages of the process, in 1951,” and he intentionally foregrounded and </w:t>
      </w:r>
      <w:r>
        <w:rPr>
          <w:rFonts w:ascii="Times New Roman" w:hAnsi="Times New Roman" w:cs="Times New Roman"/>
        </w:rPr>
        <w:t xml:space="preserve">publicized the innovative nature of his work.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&lt;citation&gt;&lt;priority&gt;7&lt;/priority&gt;&lt;uuid&gt;E5409F69-64E1-4FF3-8CD3-2F6AD70FC119&lt;/uuid&gt;&lt;publications&gt;&lt;publication&gt;&lt;subtype&gt;403&lt;/subtype&gt;&lt;title&gt;Search and Replace: Josephine Miles and the Origins of Distant Reading </w:instrText>
      </w:r>
    </w:p>
    <w:p w14:paraId="44FCBA50" w14:textId="5BF4E496" w:rsidR="00000000" w:rsidRDefault="003975BD">
      <w:pPr>
        <w:pStyle w:val="Footnote"/>
        <w:widowControl/>
        <w:ind w:firstLine="360"/>
        <w:rPr>
          <w:rFonts w:ascii="Times New Roman" w:hAnsi="Times New Roman" w:cs="Times New Roman"/>
        </w:rPr>
      </w:pPr>
      <w:r>
        <w:rPr>
          <w:rFonts w:ascii="Times New Roman" w:hAnsi="Times New Roman" w:cs="Times New Roman"/>
        </w:rPr>
        <w:instrText>&lt;/title&gt;&lt;publication_date&gt;99201804181200000000222000&lt;/publication_date&gt;&lt;uuid&gt;7F40CF57-508D-4566-B54C-57B5BBA3744C&lt;/uuid&gt;&lt;type&gt;400&lt;/type&gt;&lt;citekey&gt;Buurma:2018wt&lt;/citekey&gt;&lt;startpage&gt;1&lt;/startpage&gt;&lt;endpage&gt;11&lt;/endpage&gt;&lt;bundle&gt;&lt;publication&gt;&lt;title&gt;Modernism / Modernity Print+&lt;/title&gt;&lt;uuid&gt;9259F406-8F8B-45EB-9779-D7BFF7D87E29&lt;/uuid&gt;&lt;subtype&gt;-300&lt;/subtype&gt;&lt;type&gt;-300&lt;/type&gt;&lt;/publication&gt;&lt;/bundle&gt;&lt;authors&gt;&lt;author&gt;&lt;lastName&gt;Buurma&lt;/lastName&gt;&lt;firstName&gt;Rachel&lt;/firstName&gt;&lt;middleNames&gt;Sagner&lt;/middleNames&gt;&lt;/author&gt;&lt;author&gt;&lt;lastName&gt;Heffernan&lt;/lastName&gt;&lt;firstName&gt;Laura&lt;/firstName&gt;&lt;/author&gt;&lt;/authors&gt;&lt;editors&gt;&lt;author&gt;&lt;lastName&gt;Heffernan&lt;/lastName&gt;&lt;firstName&gt;Laura&lt;/firstName&gt;&lt;/author&gt;&lt;/edit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(Buurma and Heffernan)</w:t>
      </w:r>
      <w:r w:rsidR="008335DF">
        <w:rPr>
          <w:rFonts w:ascii="Times New Roman" w:hAnsi="Times New Roman" w:cs="Times New Roman"/>
        </w:rPr>
        <w:fldChar w:fldCharType="end"/>
      </w:r>
    </w:p>
  </w:footnote>
  <w:footnote w:id="4">
    <w:p w14:paraId="2E845C04"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In the interest of preserving this history of citation, the students were Mary Jackman and Helen S. Agoa, credited on the cover of the published Dryden index. (Miles herself attached her name only to the preface.</w:t>
      </w:r>
      <w:r>
        <w:rPr>
          <w:rFonts w:ascii="Times New Roman" w:hAnsi="Times New Roman" w:cs="Times New Roman"/>
        </w:rPr>
        <w:t>) From the computer lab staff, Miles particularly thanked Shirley Rice, Odette Carothers, and Penny Gee.</w:t>
      </w:r>
    </w:p>
  </w:footnote>
  <w:footnote w:id="5">
    <w:p w14:paraId="26CACDD6" w14:textId="77777777" w:rsidR="00000000" w:rsidRPr="008335DF" w:rsidRDefault="00C67F0E" w:rsidP="008335DF">
      <w:pPr>
        <w:pStyle w:val="Footnote"/>
        <w:widowControl/>
        <w:ind w:firstLine="360"/>
        <w:rPr>
          <w:rFonts w:ascii="Times New Roman" w:hAnsi="Times New Roman" w:cs="Times New Roman"/>
          <w:i/>
          <w:iCs/>
        </w:rPr>
      </w:pPr>
      <w:r>
        <w:rPr>
          <w:vertAlign w:val="superscript"/>
        </w:rPr>
        <w:footnoteRef/>
      </w:r>
      <w:r>
        <w:t xml:space="preserve"> </w:t>
      </w:r>
      <w:r>
        <w:rPr>
          <w:rFonts w:ascii="Times New Roman" w:hAnsi="Times New Roman" w:cs="Times New Roman"/>
        </w:rPr>
        <w:t>Joc</w:t>
      </w:r>
      <w:r>
        <w:rPr>
          <w:rFonts w:ascii="Times New Roman" w:hAnsi="Times New Roman" w:cs="Times New Roman"/>
        </w:rPr>
        <w:t xml:space="preserve">kers typically uses the term ‘macroanalysis’ to refer to his work, which is closely ties to Moretti’s distant reading, as in, for example, his monograph </w:t>
      </w:r>
      <w:r>
        <w:rPr>
          <w:rFonts w:ascii="Times New Roman" w:hAnsi="Times New Roman" w:cs="Times New Roman"/>
          <w:i/>
          <w:iCs/>
        </w:rPr>
        <w:t>Macroanalysis:</w:t>
      </w:r>
      <w:r w:rsidR="008335DF">
        <w:rPr>
          <w:rFonts w:ascii="Times New Roman" w:hAnsi="Times New Roman" w:cs="Times New Roman"/>
          <w:i/>
          <w:iCs/>
        </w:rPr>
        <w:t xml:space="preserve"> </w:t>
      </w:r>
      <w:r>
        <w:rPr>
          <w:rFonts w:ascii="Times New Roman" w:hAnsi="Times New Roman" w:cs="Times New Roman"/>
          <w:i/>
          <w:iCs/>
        </w:rPr>
        <w:t>Digital Methods and Literary History</w:t>
      </w:r>
      <w:r w:rsidR="008335DF">
        <w:rPr>
          <w:rFonts w:ascii="Times New Roman" w:hAnsi="Times New Roman" w:cs="Times New Roman"/>
          <w:i/>
          <w:iCs/>
        </w:rPr>
        <w:t xml:space="preserve">  </w:t>
      </w:r>
      <w:r w:rsidR="008335DF">
        <w:rPr>
          <w:rFonts w:ascii="Times New Roman" w:hAnsi="Times New Roman" w:cs="Times New Roman"/>
        </w:rPr>
        <w:t xml:space="preserve"> \cite{Jockers:2013uc</w:t>
      </w:r>
      <w:r>
        <w:rPr>
          <w:rFonts w:ascii="Times New Roman" w:hAnsi="Times New Roman" w:cs="Times New Roman"/>
        </w:rPr>
        <w:t>}.</w:t>
      </w:r>
    </w:p>
  </w:footnote>
  <w:footnote w:id="6">
    <w:p w14:paraId="4D47500D"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It may also be the case, of course, that even fields with a long history of graphical display would benefit from greater scrutiny of the evidence they use; see: the Data Dinosaur. But this is beyond the remit of what an English PhD can address.</w:t>
      </w:r>
    </w:p>
  </w:footnote>
  <w:footnote w:id="7">
    <w:p w14:paraId="43D6DD3C"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 xml:space="preserve">I cite Tufte and Cairo as the thinkers whose design philosophies best accord with my own current understanding of the work and craft of persuasive data visualization, but my actual practical training as a </w:t>
      </w:r>
      <w:r>
        <w:rPr>
          <w:rFonts w:ascii="Times New Roman" w:hAnsi="Times New Roman" w:cs="Times New Roman"/>
        </w:rPr>
        <w:t>graphic designer is indebted to Judith Galas, Sonia Davis Gutiérrez, and Tom Hapgood.</w:t>
      </w:r>
    </w:p>
  </w:footnote>
  <w:footnote w:id="8">
    <w:p w14:paraId="24F230D3"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1. show comparisons, contrasts, differences</w:t>
      </w:r>
    </w:p>
    <w:p w14:paraId="7A47C2F3" w14:textId="77777777" w:rsidR="00000000" w:rsidRDefault="00C67F0E">
      <w:pPr>
        <w:pStyle w:val="Footnote"/>
        <w:widowControl/>
        <w:ind w:firstLine="360"/>
        <w:rPr>
          <w:rFonts w:ascii="Times New Roman" w:hAnsi="Times New Roman" w:cs="Times New Roman"/>
        </w:rPr>
      </w:pPr>
    </w:p>
    <w:p w14:paraId="2E0EDC3D" w14:textId="77777777" w:rsidR="00000000" w:rsidRDefault="00C67F0E">
      <w:pPr>
        <w:pStyle w:val="Footnote"/>
        <w:widowControl/>
        <w:ind w:firstLine="360"/>
        <w:rPr>
          <w:rFonts w:ascii="Times New Roman" w:hAnsi="Times New Roman" w:cs="Times New Roman"/>
        </w:rPr>
      </w:pPr>
      <w:r>
        <w:rPr>
          <w:rFonts w:ascii="Times New Roman" w:hAnsi="Times New Roman" w:cs="Times New Roman"/>
        </w:rPr>
        <w:t>2. show causality, mechanism, explanation, systemic structure (intervention relies on manipulable causality -- can't do anything with the information without causality)</w:t>
      </w:r>
    </w:p>
    <w:p w14:paraId="0B23E2A9" w14:textId="77777777" w:rsidR="00000000" w:rsidRDefault="00C67F0E">
      <w:pPr>
        <w:pStyle w:val="Footnote"/>
        <w:widowControl/>
        <w:ind w:firstLine="360"/>
        <w:rPr>
          <w:rFonts w:ascii="Times New Roman" w:hAnsi="Times New Roman" w:cs="Times New Roman"/>
        </w:rPr>
      </w:pPr>
    </w:p>
    <w:p w14:paraId="7ABB2058" w14:textId="77777777" w:rsidR="00000000" w:rsidRDefault="00C67F0E">
      <w:pPr>
        <w:pStyle w:val="Footnote"/>
        <w:widowControl/>
        <w:ind w:firstLine="360"/>
        <w:rPr>
          <w:rFonts w:ascii="Times New Roman" w:hAnsi="Times New Roman" w:cs="Times New Roman"/>
        </w:rPr>
      </w:pPr>
      <w:r>
        <w:rPr>
          <w:rFonts w:ascii="Times New Roman" w:hAnsi="Times New Roman" w:cs="Times New Roman"/>
        </w:rPr>
        <w:t>3. show multiple variables (3 or more) -- the world is multivariate</w:t>
      </w:r>
    </w:p>
    <w:p w14:paraId="77D4BD96" w14:textId="77777777" w:rsidR="00000000" w:rsidRDefault="00C67F0E">
      <w:pPr>
        <w:pStyle w:val="Footnote"/>
        <w:widowControl/>
        <w:ind w:firstLine="360"/>
        <w:rPr>
          <w:rFonts w:ascii="Times New Roman" w:hAnsi="Times New Roman" w:cs="Times New Roman"/>
        </w:rPr>
      </w:pPr>
    </w:p>
    <w:p w14:paraId="377A19CE" w14:textId="77777777" w:rsidR="00000000" w:rsidRDefault="00C67F0E">
      <w:pPr>
        <w:pStyle w:val="Footnote"/>
        <w:widowControl/>
        <w:ind w:firstLine="360"/>
        <w:rPr>
          <w:rFonts w:ascii="Times New Roman" w:hAnsi="Times New Roman" w:cs="Times New Roman"/>
        </w:rPr>
      </w:pPr>
      <w:r>
        <w:rPr>
          <w:rFonts w:ascii="Times New Roman" w:hAnsi="Times New Roman" w:cs="Times New Roman"/>
        </w:rPr>
        <w:t>4. *completely integrate* words, numbers, maps, graphics, etc, etc. Provide information at exact point of need</w:t>
      </w:r>
    </w:p>
    <w:p w14:paraId="623CC67B" w14:textId="77777777" w:rsidR="00000000" w:rsidRDefault="00C67F0E">
      <w:pPr>
        <w:pStyle w:val="Footnote"/>
        <w:widowControl/>
        <w:ind w:firstLine="360"/>
        <w:rPr>
          <w:rFonts w:ascii="Times New Roman" w:hAnsi="Times New Roman" w:cs="Times New Roman"/>
        </w:rPr>
      </w:pPr>
    </w:p>
    <w:p w14:paraId="509743EF" w14:textId="77777777" w:rsidR="00000000" w:rsidRDefault="00C67F0E">
      <w:pPr>
        <w:pStyle w:val="Footnote"/>
        <w:widowControl/>
        <w:ind w:firstLine="360"/>
        <w:rPr>
          <w:rFonts w:ascii="Times New Roman" w:hAnsi="Times New Roman" w:cs="Times New Roman"/>
        </w:rPr>
      </w:pPr>
      <w:r>
        <w:rPr>
          <w:rFonts w:ascii="Times New Roman" w:hAnsi="Times New Roman" w:cs="Times New Roman"/>
        </w:rPr>
        <w:t>5. documentation must thoroughly describe evidence and its sources, provide</w:t>
      </w:r>
      <w:r>
        <w:rPr>
          <w:rFonts w:ascii="Times New Roman" w:hAnsi="Times New Roman" w:cs="Times New Roman"/>
        </w:rPr>
        <w:t xml:space="preserve"> complete measurement scales</w:t>
      </w:r>
    </w:p>
    <w:p w14:paraId="56160D34" w14:textId="77777777" w:rsidR="00000000" w:rsidRDefault="00C67F0E">
      <w:pPr>
        <w:pStyle w:val="Footnote"/>
        <w:widowControl/>
        <w:ind w:firstLine="360"/>
        <w:rPr>
          <w:rFonts w:ascii="Times New Roman" w:hAnsi="Times New Roman" w:cs="Times New Roman"/>
        </w:rPr>
      </w:pPr>
    </w:p>
    <w:p w14:paraId="27055484" w14:textId="77777777" w:rsidR="00000000" w:rsidRDefault="00C67F0E">
      <w:pPr>
        <w:widowControl/>
        <w:ind w:firstLine="360"/>
        <w:rPr>
          <w:rFonts w:ascii="Times New Roman" w:hAnsi="Times New Roman" w:cs="Times New Roman"/>
        </w:rPr>
      </w:pPr>
      <w:r>
        <w:rPr>
          <w:rFonts w:ascii="Times New Roman" w:hAnsi="Times New Roman" w:cs="Times New Roman"/>
        </w:rPr>
        <w:t>6. presentations succeed based on their content. for better presentations, get better content.</w:t>
      </w:r>
    </w:p>
  </w:footnote>
  <w:footnote w:id="9">
    <w:p w14:paraId="12881084"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Although these events, of course, did not occur on January 1 or December 31</w:t>
      </w:r>
      <w:r>
        <w:rPr>
          <w:rFonts w:ascii="Times New Roman" w:hAnsi="Times New Roman" w:cs="Times New Roman"/>
        </w:rPr>
        <w:t>, respectively, the entirety of 1789 and 1799 are both included in my study here, out of sheer technological necessity.</w:t>
      </w:r>
    </w:p>
  </w:footnote>
  <w:footnote w:id="10">
    <w:p w14:paraId="08EE5326" w14:textId="4971CE02"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 xml:space="preserve">By this, Mee means “both attacks on personalities by the radical press but also the development of personae by writers and booksellers” </w:t>
      </w:r>
      <w:r w:rsidR="008335DF">
        <w:rPr>
          <w:rFonts w:ascii="Times New Roman" w:hAnsi="Times New Roman" w:cs="Times New Roman"/>
        </w:rPr>
        <w:fldChar w:fldCharType="begin"/>
      </w:r>
      <w:r w:rsidR="003975BD">
        <w:rPr>
          <w:rFonts w:ascii="Times New Roman" w:hAnsi="Times New Roman" w:cs="Times New Roman"/>
        </w:rPr>
        <w:instrText xml:space="preserve"> ADDIN PAPERS2_CITATIONS &lt;citation&gt;&lt;priority&gt;35&lt;/priority&gt;&lt;uuid&gt;E0622DB5-3246-4B8C-B6C5-5BFF4604A988&lt;/uuid&gt;&lt;publications&gt;&lt;publication&gt;&lt;subtype&gt;1&lt;/subtype&gt;&lt;title&gt;Print,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s&gt;&lt;/citation&gt;</w:instrText>
      </w:r>
      <w:r w:rsidR="008335DF">
        <w:rPr>
          <w:rFonts w:ascii="Times New Roman" w:hAnsi="Times New Roman" w:cs="Times New Roman"/>
        </w:rPr>
        <w:fldChar w:fldCharType="separate"/>
      </w:r>
      <w:r w:rsidR="008335DF">
        <w:rPr>
          <w:rFonts w:ascii="Times New Roman" w:hAnsi="Times New Roman" w:cs="Times New Roman"/>
        </w:rPr>
        <w:t>(Mee)</w:t>
      </w:r>
      <w:r w:rsidR="008335DF">
        <w:rPr>
          <w:rFonts w:ascii="Times New Roman" w:hAnsi="Times New Roman" w:cs="Times New Roman"/>
        </w:rPr>
        <w:fldChar w:fldCharType="end"/>
      </w:r>
      <w:r>
        <w:rPr>
          <w:rFonts w:ascii="Times New Roman" w:hAnsi="Times New Roman" w:cs="Times New Roman"/>
        </w:rPr>
        <w:t>.</w:t>
      </w:r>
    </w:p>
  </w:footnote>
  <w:footnote w:id="11">
    <w:p w14:paraId="39F89F50"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I have heard it quipped more than once in digital humanities gatherings that you always think you’re going to get your texts from somewhere else, but Project Gutenberg is where you’ll actually get them.</w:t>
      </w:r>
    </w:p>
  </w:footnote>
  <w:footnote w:id="12">
    <w:p w14:paraId="120496FC"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https://books.google.ca/intl/en/googlebooks/partners/</w:t>
      </w:r>
    </w:p>
  </w:footnote>
  <w:footnote w:id="13">
    <w:p w14:paraId="5520E9A2"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CITE http://languagelog.ldc.upenn.edu/</w:t>
      </w:r>
      <w:r>
        <w:rPr>
          <w:rFonts w:ascii="Times New Roman" w:hAnsi="Times New Roman" w:cs="Times New Roman"/>
        </w:rPr>
        <w:t>nll/?p=1701</w:t>
      </w:r>
    </w:p>
  </w:footnote>
  <w:footnote w:id="14">
    <w:p w14:paraId="6AAFCC82"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https://archive.org/about/</w:t>
      </w:r>
    </w:p>
  </w:footnote>
  <w:footnote w:id="15">
    <w:p w14:paraId="75457D33"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As a recurrent Freudian slip, I have more than once typo’d the word “data” as “danger”</w:t>
      </w:r>
    </w:p>
  </w:footnote>
  <w:footnote w:id="16">
    <w:p w14:paraId="05E115E7"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 xml:space="preserve">For </w:t>
      </w:r>
      <w:r>
        <w:rPr>
          <w:rFonts w:ascii="Times New Roman" w:hAnsi="Times New Roman" w:cs="Times New Roman"/>
        </w:rPr>
        <w:t>example, a typical title in the English Short Title Catalogue for the decade is “The injustice and impolicy of the slave-trade, and of the slavery of the Africans: illustrated in a sermon preached before the Connecticut Society for the Promotion of Freedom</w:t>
      </w:r>
      <w:r>
        <w:rPr>
          <w:rFonts w:ascii="Times New Roman" w:hAnsi="Times New Roman" w:cs="Times New Roman"/>
        </w:rPr>
        <w:t>, and for the Relief of Persons Unlawfully Holden in Bondage, at their annual meeting in New-Haven, September 15, 1791. / By Jonathan Edwards, D.D. Pastor of a church in New-Haven. ; To which is added, A short sketch of the evidence for the abolition of th</w:t>
      </w:r>
      <w:r>
        <w:rPr>
          <w:rFonts w:ascii="Times New Roman" w:hAnsi="Times New Roman" w:cs="Times New Roman"/>
        </w:rPr>
        <w:t>e slave-trade, delivered before a committee of the British House of Commons.” The usefulness of this title, as an advertisement for (if not necessarily an accurate representative of!) the work’s content, I argue, presents an opportunity unique to the eight</w:t>
      </w:r>
      <w:r>
        <w:rPr>
          <w:rFonts w:ascii="Times New Roman" w:hAnsi="Times New Roman" w:cs="Times New Roman"/>
        </w:rPr>
        <w:t xml:space="preserve">eenth century. The eighteenth century is often dismissed as unsuitable for computational distant reading because eighteenth century printed type produces very low-quality OCR transcripts — but a focus on OCR-based distant reading itself seems to me like a </w:t>
      </w:r>
      <w:r>
        <w:rPr>
          <w:rFonts w:ascii="Times New Roman" w:hAnsi="Times New Roman" w:cs="Times New Roman"/>
        </w:rPr>
        <w:t>response to the poverty of paratextual material in later literature.</w:t>
      </w:r>
    </w:p>
  </w:footnote>
  <w:footnote w:id="17">
    <w:p w14:paraId="2711E283" w14:textId="77777777" w:rsidR="00000000" w:rsidRDefault="00C67F0E">
      <w:pPr>
        <w:pStyle w:val="Footnote"/>
        <w:widowControl/>
        <w:ind w:firstLine="360"/>
        <w:rPr>
          <w:rFonts w:ascii="Times New Roman" w:hAnsi="Times New Roman" w:cs="Times New Roman"/>
        </w:rPr>
      </w:pPr>
      <w:r>
        <w:rPr>
          <w:vertAlign w:val="superscript"/>
        </w:rPr>
        <w:footnoteRef/>
      </w:r>
      <w:r>
        <w:t xml:space="preserve"> </w:t>
      </w:r>
      <w:r>
        <w:rPr>
          <w:rFonts w:ascii="Times New Roman" w:hAnsi="Times New Roman" w:cs="Times New Roman"/>
        </w:rPr>
        <w:t>I begin my research for this chapter by encoding only a few existing studies, i</w:t>
      </w:r>
      <w:r>
        <w:rPr>
          <w:rFonts w:ascii="Times New Roman" w:hAnsi="Times New Roman" w:cs="Times New Roman"/>
        </w:rPr>
        <w:t>n order to evaluate the feasibility of my method at scale. It is possible that, rather than directly consulting the more richly historically-informed work of other scholars, I will instead fall back on inferring networks from the author and publisher metad</w:t>
      </w:r>
      <w:r>
        <w:rPr>
          <w:rFonts w:ascii="Times New Roman" w:hAnsi="Times New Roman" w:cs="Times New Roman"/>
        </w:rPr>
        <w:t>ata included with the corpora examined in chapters two and three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B48C" w14:textId="77777777" w:rsidR="00000000" w:rsidRDefault="00C67F0E">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35DF"/>
    <w:rsid w:val="003975BD"/>
    <w:rsid w:val="005B406D"/>
    <w:rsid w:val="007752B5"/>
    <w:rsid w:val="008335DF"/>
    <w:rsid w:val="00912BC9"/>
    <w:rsid w:val="00C67F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BF392"/>
  <w14:defaultImageDpi w14:val="0"/>
  <w15:docId w15:val="{36073C92-DA83-AC41-BA98-F7E712C0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Georgi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Georgia" w:hAnsi="Georg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rFonts w:ascii="Georgia" w:hAnsi="Georgia"/>
      <w:sz w:val="24"/>
      <w:szCs w:val="24"/>
      <w:lang w:val="en-US"/>
    </w:rPr>
  </w:style>
  <w:style w:type="paragraph" w:customStyle="1" w:styleId="Footnote">
    <w:name w:val="Footnote"/>
    <w:uiPriority w:val="99"/>
    <w:pPr>
      <w:widowControl w:val="0"/>
      <w:autoSpaceDE w:val="0"/>
      <w:autoSpaceDN w:val="0"/>
      <w:adjustRightInd w:val="0"/>
    </w:pPr>
    <w:rPr>
      <w:rFonts w:ascii="Georgia" w:hAnsi="Georgia"/>
      <w:sz w:val="24"/>
      <w:szCs w:val="24"/>
      <w:lang w:val="en-US"/>
    </w:rPr>
  </w:style>
  <w:style w:type="paragraph" w:styleId="BalloonText">
    <w:name w:val="Balloon Text"/>
    <w:basedOn w:val="Normal"/>
    <w:link w:val="BalloonTextChar"/>
    <w:uiPriority w:val="99"/>
    <w:semiHidden/>
    <w:unhideWhenUsed/>
    <w:rsid w:val="008335DF"/>
    <w:rPr>
      <w:rFonts w:ascii="Times New Roman" w:hAnsi="Times New Roman" w:cs="Times New Roman"/>
      <w:sz w:val="18"/>
      <w:szCs w:val="18"/>
    </w:rPr>
  </w:style>
  <w:style w:type="character" w:customStyle="1" w:styleId="BalloonTextChar">
    <w:name w:val="Balloon Text Char"/>
    <w:link w:val="BalloonText"/>
    <w:uiPriority w:val="99"/>
    <w:semiHidden/>
    <w:rsid w:val="008335DF"/>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19925</Words>
  <Characters>113575</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133234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Lawrence Evalyn</dc:creator>
  <cp:keywords/>
  <dc:description/>
  <cp:lastModifiedBy>Blind Referee</cp:lastModifiedBy>
  <cp:revision>5</cp:revision>
  <dcterms:created xsi:type="dcterms:W3CDTF">2019-03-12T07:54:00Z</dcterms:created>
  <dcterms:modified xsi:type="dcterms:W3CDTF">2019-03-12T08:14:00Z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id="http://www.zotero.org/styles/modern-language-association"/&gt;&lt;format class="21"/&gt;&lt;count citations="78" publications="31"/&gt;&lt;/info&gt;PAPERS2_INFO_END</vt:lpwstr>
  </property>
</Properties>
</file>