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0100" w14:textId="77777777" w:rsidR="002F0BEE" w:rsidRDefault="00B67DD8" w:rsidP="001340A6">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sz w:val="40"/>
          <w:szCs w:val="24"/>
        </w:rPr>
      </w:pPr>
      <w:bookmarkStart w:id="0" w:name="ch_1_intro"/>
      <w:r>
        <w:rPr>
          <w:rFonts w:ascii="Helvetica" w:hAnsi="Helvetica" w:cs="Helvetica"/>
          <w:b/>
          <w:sz w:val="40"/>
          <w:szCs w:val="24"/>
        </w:rPr>
        <w:t>ch 1 - intro</w:t>
      </w:r>
      <w:bookmarkEnd w:id="0"/>
    </w:p>
    <w:p w14:paraId="73174BBE" w14:textId="77777777" w:rsidR="002F0BEE" w:rsidRDefault="00B67DD8" w:rsidP="001340A6">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sz w:val="26"/>
          <w:szCs w:val="24"/>
        </w:rPr>
      </w:pPr>
      <w:r>
        <w:rPr>
          <w:rFonts w:ascii="Georgia" w:hAnsi="Georgia" w:cs="Helvetica"/>
          <w:b/>
          <w:sz w:val="26"/>
          <w:szCs w:val="24"/>
        </w:rPr>
        <w:t xml:space="preserve">1.  </w:t>
      </w:r>
      <w:bookmarkStart w:id="1" w:name="intro"/>
      <w:r>
        <w:rPr>
          <w:rFonts w:ascii="Georgia" w:hAnsi="Georgia" w:cs="Helvetica"/>
          <w:b/>
          <w:sz w:val="26"/>
          <w:szCs w:val="24"/>
        </w:rPr>
        <w:t>intro</w:t>
      </w:r>
      <w:bookmarkStart w:id="2" w:name="_GoBack"/>
      <w:bookmarkEnd w:id="1"/>
      <w:bookmarkEnd w:id="2"/>
    </w:p>
    <w:p w14:paraId="5FC1A3D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r>
        <w:rPr>
          <w:rFonts w:ascii="TimesNewRomanPSMT" w:hAnsi="TimesNewRomanPSMT" w:cs="Helvetica"/>
          <w:sz w:val="24"/>
          <w:szCs w:val="24"/>
        </w:rPr>
        <w:t xml:space="preserve">According to the English Short Title Catalogue (ESTC), the most popular English authors of the 1790s were Thomas Paine, Hannah More, John Wesley, and William Shakespeare. Of course this inflammatory claim immediately falls apart </w:t>
      </w:r>
      <w:r>
        <w:rPr>
          <w:rFonts w:ascii="TimesNewRomanPSMT" w:hAnsi="TimesNewRomanPSMT" w:cs="Helvetica"/>
          <w:sz w:val="24"/>
          <w:szCs w:val="24"/>
        </w:rPr>
        <w:t>on further scrutiny. In fact, by the metric of ‘unique entries in the ESTC database,’ the most popular author of the decade is by far Great Britain, followed by Great Britain, Great Britain, Great Britain, and King George III.</w:t>
      </w:r>
      <w:r>
        <w:rPr>
          <w:rFonts w:ascii="TimesNewRomanPSMT" w:hAnsi="TimesNewRomanPSMT" w:cs="Helvetica"/>
          <w:sz w:val="24"/>
          <w:szCs w:val="24"/>
          <w:vertAlign w:val="superscript"/>
        </w:rPr>
        <w:footnoteReference w:id="1"/>
      </w:r>
      <w:r>
        <w:rPr>
          <w:rFonts w:ascii="TimesNewRomanPSMT" w:hAnsi="TimesNewRomanPSMT" w:cs="Helvetica"/>
          <w:sz w:val="24"/>
          <w:szCs w:val="24"/>
        </w:rPr>
        <w:t xml:space="preserve"> </w:t>
      </w:r>
      <w:bookmarkStart w:id="3" w:name="dramatic_open"/>
      <w:r>
        <w:rPr>
          <w:rFonts w:ascii="TimesNewRomanPSMT" w:hAnsi="TimesNewRomanPSMT" w:cs="Helvetica"/>
          <w:sz w:val="24"/>
          <w:szCs w:val="24"/>
        </w:rPr>
        <w:t>Paine</w:t>
      </w:r>
      <w:bookmarkEnd w:id="3"/>
      <w:r>
        <w:rPr>
          <w:rFonts w:ascii="TimesNewRomanPSMT" w:hAnsi="TimesNewRomanPSMT" w:cs="Helvetica"/>
          <w:sz w:val="24"/>
          <w:szCs w:val="24"/>
        </w:rPr>
        <w:t>, More, Wesley and Shak</w:t>
      </w:r>
      <w:r>
        <w:rPr>
          <w:rFonts w:ascii="TimesNewRomanPSMT" w:hAnsi="TimesNewRomanPSMT" w:cs="Helvetica"/>
          <w:sz w:val="24"/>
          <w:szCs w:val="24"/>
        </w:rPr>
        <w:t>espeare are only able to rise to our notice if we intervene in the dataset to filter out all authors whose names contain the phrase “Great Britain”; otherwise, Shakespeare is outnumbered by the House of Lords and by the Church of England. These claims demo</w:t>
      </w:r>
      <w:r>
        <w:rPr>
          <w:rFonts w:ascii="TimesNewRomanPSMT" w:hAnsi="TimesNewRomanPSMT" w:cs="Helvetica"/>
          <w:sz w:val="24"/>
          <w:szCs w:val="24"/>
        </w:rPr>
        <w:t>nstrate that a poorly-formed question will produce a useless and stupid answer even (or perhaps especially) if computation is used to answer it. This dissertation is dedicated to the formulation of better questions. I am interested in the limits of the gen</w:t>
      </w:r>
      <w:r>
        <w:rPr>
          <w:rFonts w:ascii="TimesNewRomanPSMT" w:hAnsi="TimesNewRomanPSMT" w:cs="Helvetica"/>
          <w:sz w:val="24"/>
          <w:szCs w:val="24"/>
        </w:rPr>
        <w:t xml:space="preserve">eralizations that we make, both in “distant reading” research and in non-digital </w:t>
      </w:r>
      <w:commentRangeStart w:id="4"/>
      <w:r>
        <w:rPr>
          <w:rFonts w:ascii="TimesNewRomanPSMT" w:hAnsi="TimesNewRomanPSMT" w:cs="Helvetica"/>
          <w:sz w:val="24"/>
          <w:szCs w:val="24"/>
        </w:rPr>
        <w:fldChar w:fldCharType="begin"/>
      </w:r>
      <w:r>
        <w:rPr>
          <w:rFonts w:ascii="TimesNewRomanPSMT" w:hAnsi="TimesNewRomanPSMT" w:cs="Helvetica"/>
          <w:sz w:val="24"/>
          <w:szCs w:val="24"/>
        </w:rPr>
        <w:instrText>HYPERLINK "scrivcmt://5CF3BF85-4F2E-46A9-B639-0E5F8A65DCC5"</w:instrText>
      </w:r>
      <w:r>
        <w:rPr>
          <w:rFonts w:ascii="TimesNewRomanPSMT" w:hAnsi="TimesNewRomanPSMT" w:cs="Helvetica"/>
          <w:sz w:val="24"/>
          <w:szCs w:val="24"/>
        </w:rPr>
        <w:fldChar w:fldCharType="separate"/>
      </w:r>
      <w:r>
        <w:rPr>
          <w:rFonts w:ascii="TimesNewRomanPSMT" w:hAnsi="TimesNewRomanPSMT" w:cs="Helvetica"/>
          <w:sz w:val="24"/>
          <w:szCs w:val="24"/>
        </w:rPr>
        <w:t>scholarship</w:t>
      </w:r>
      <w:r>
        <w:rPr>
          <w:rFonts w:ascii="TimesNewRomanPSMT" w:hAnsi="TimesNewRomanPSMT" w:cs="Helvetica"/>
          <w:sz w:val="24"/>
          <w:szCs w:val="24"/>
        </w:rPr>
        <w:fldChar w:fldCharType="end"/>
      </w:r>
      <w:commentRangeEnd w:id="4"/>
      <w:r>
        <w:rPr>
          <w:rFonts w:ascii="TimesNewRomanPSMT" w:hAnsi="TimesNewRomanPSMT" w:cs="Helvetica"/>
          <w:sz w:val="24"/>
          <w:szCs w:val="24"/>
        </w:rPr>
        <w:commentReference w:id="4"/>
      </w:r>
      <w:r>
        <w:rPr>
          <w:rFonts w:ascii="TimesNewRomanPSMT" w:hAnsi="TimesNewRomanPSMT" w:cs="Helvetica"/>
          <w:sz w:val="24"/>
          <w:szCs w:val="24"/>
        </w:rPr>
        <w:t>. I take as my starting point the contention that, in order to identify what is “popular” or “impor</w:t>
      </w:r>
      <w:r>
        <w:rPr>
          <w:rFonts w:ascii="TimesNewRomanPSMT" w:hAnsi="TimesNewRomanPSMT" w:cs="Helvetica"/>
          <w:sz w:val="24"/>
          <w:szCs w:val="24"/>
        </w:rPr>
        <w:t xml:space="preserve">tant,” we must also understand what is normal. At its core, my question is: given that it is not possible to read everything (or even most things), how do we, and how </w:t>
      </w:r>
      <w:r>
        <w:rPr>
          <w:rFonts w:ascii="TimesNewRomanPSMT" w:hAnsi="TimesNewRomanPSMT" w:cs="Helvetica"/>
          <w:i/>
          <w:sz w:val="24"/>
          <w:szCs w:val="24"/>
        </w:rPr>
        <w:t>should</w:t>
      </w:r>
      <w:r>
        <w:rPr>
          <w:rFonts w:ascii="TimesNewRomanPSMT" w:hAnsi="TimesNewRomanPSMT" w:cs="Helvetica"/>
          <w:sz w:val="24"/>
          <w:szCs w:val="24"/>
        </w:rPr>
        <w:t xml:space="preserve"> we, determine what to read, preserve, study, and teach? This “question” is, of course, many questions: what we do is by no means what we </w:t>
      </w:r>
      <w:r>
        <w:rPr>
          <w:rFonts w:ascii="TimesNewRomanPSMT" w:hAnsi="TimesNewRomanPSMT" w:cs="Helvetica"/>
          <w:i/>
          <w:sz w:val="24"/>
          <w:szCs w:val="24"/>
        </w:rPr>
        <w:t>should</w:t>
      </w:r>
      <w:r>
        <w:rPr>
          <w:rFonts w:ascii="TimesNewRomanPSMT" w:hAnsi="TimesNewRomanPSMT" w:cs="Helvetica"/>
          <w:sz w:val="24"/>
          <w:szCs w:val="24"/>
        </w:rPr>
        <w:t xml:space="preserve"> do; what we read is not necessarily what we study or teach. It is also an old, nearly an old-</w:t>
      </w:r>
      <w:r>
        <w:rPr>
          <w:rFonts w:ascii="TimesNewRomanPSMT" w:hAnsi="TimesNewRomanPSMT" w:cs="Helvetica"/>
          <w:sz w:val="24"/>
          <w:szCs w:val="24"/>
        </w:rPr>
        <w:lastRenderedPageBreak/>
        <w:t>fashioned question</w:t>
      </w:r>
      <w:r>
        <w:rPr>
          <w:rFonts w:ascii="TimesNewRomanPSMT" w:hAnsi="TimesNewRomanPSMT" w:cs="Helvetica"/>
          <w:sz w:val="24"/>
          <w:szCs w:val="24"/>
        </w:rPr>
        <w:t>. The current moment of self-reflection in the field of Digital Humanities, however, provides a timely reason to revisit it. Even literary scholars who do not carry out “Digital Humanities” research are impacted by the corpus-building choices of major digi</w:t>
      </w:r>
      <w:r>
        <w:rPr>
          <w:rFonts w:ascii="TimesNewRomanPSMT" w:hAnsi="TimesNewRomanPSMT" w:cs="Helvetica"/>
          <w:sz w:val="24"/>
          <w:szCs w:val="24"/>
        </w:rPr>
        <w:t>tal resources, since all literary research is now mediated at some level by search algorithms and databases, even if this mediation is as small as looking up the holding libraries for physical copies of texts. It is therefore relevant to the field as a who</w:t>
      </w:r>
      <w:r>
        <w:rPr>
          <w:rFonts w:ascii="TimesNewRomanPSMT" w:hAnsi="TimesNewRomanPSMT" w:cs="Helvetica"/>
          <w:sz w:val="24"/>
          <w:szCs w:val="24"/>
        </w:rPr>
        <w:t>le if, as I contend, corpus-building has become the new canon-building: an invisible and naturalized process of selecting texts for idiosyncratic and historically-specific reasons, and then treating those individual texts as ideal representatives of an ima</w:t>
      </w:r>
      <w:r>
        <w:rPr>
          <w:rFonts w:ascii="TimesNewRomanPSMT" w:hAnsi="TimesNewRomanPSMT" w:cs="Helvetica"/>
          <w:sz w:val="24"/>
          <w:szCs w:val="24"/>
        </w:rPr>
        <w:t xml:space="preserve">gined “whole” of literature. </w:t>
      </w:r>
    </w:p>
    <w:p w14:paraId="22B77DF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7469620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r>
        <w:rPr>
          <w:rFonts w:ascii="TimesNewRomanPSMT" w:hAnsi="TimesNewRomanPSMT" w:cs="Helvetica"/>
          <w:sz w:val="24"/>
          <w:szCs w:val="24"/>
        </w:rPr>
        <w:t>Despite the crucial importance of corpus-building to the interpretation of “distant reading” research, it is often extremely difficult to know what is in a corpus. Even large institutional resources used by many scholars prov</w:t>
      </w:r>
      <w:r>
        <w:rPr>
          <w:rFonts w:ascii="TimesNewRomanPSMT" w:hAnsi="TimesNewRomanPSMT" w:cs="Helvetica"/>
          <w:sz w:val="24"/>
          <w:szCs w:val="24"/>
        </w:rPr>
        <w:t>ide little context for their choices of what to include or exclude. These hidden choices are particularly problematic when historical selection factors might have led to the creation of databases which re-create social inequalities. I focus specifically on</w:t>
      </w:r>
      <w:r>
        <w:rPr>
          <w:rFonts w:ascii="TimesNewRomanPSMT" w:hAnsi="TimesNewRomanPSMT" w:cs="Helvetica"/>
          <w:sz w:val="24"/>
          <w:szCs w:val="24"/>
        </w:rPr>
        <w:t xml:space="preserve"> writing printed in England between 1789 and 1799, to explore how works from this eleven-year “decade” have been selected as important, literary, or popular. For this period, the English Short Title Catalogue provides basic bibliographic data for nearly 52</w:t>
      </w:r>
      <w:r>
        <w:rPr>
          <w:rFonts w:ascii="TimesNewRomanPSMT" w:hAnsi="TimesNewRomanPSMT" w:cs="Helvetica"/>
          <w:sz w:val="24"/>
          <w:szCs w:val="24"/>
        </w:rPr>
        <w:t xml:space="preserve">,000 titles, but the Eighteenth Century Collections Online Text Creation Partnership corpus of XML-encoded full texts includes fewer than 500 titles. This difference raises the question: why were the other 51,500 titles </w:t>
      </w:r>
      <w:r>
        <w:rPr>
          <w:rFonts w:ascii="TimesNewRomanPSMT" w:hAnsi="TimesNewRomanPSMT" w:cs="Helvetica"/>
          <w:i/>
          <w:sz w:val="24"/>
          <w:szCs w:val="24"/>
        </w:rPr>
        <w:t>not</w:t>
      </w:r>
      <w:r>
        <w:rPr>
          <w:rFonts w:ascii="TimesNewRomanPSMT" w:hAnsi="TimesNewRomanPSMT" w:cs="Helvetica"/>
          <w:sz w:val="24"/>
          <w:szCs w:val="24"/>
        </w:rPr>
        <w:t xml:space="preserve"> considered worth the investment </w:t>
      </w:r>
      <w:r>
        <w:rPr>
          <w:rFonts w:ascii="TimesNewRomanPSMT" w:hAnsi="TimesNewRomanPSMT" w:cs="Helvetica"/>
          <w:sz w:val="24"/>
          <w:szCs w:val="24"/>
        </w:rPr>
        <w:t xml:space="preserve">of scholarly effort? And with particular urgency: do the most invested-in resources underrepresent women? My experiments examine six major databases to answer these questions: The English Short Title Catalogue (ESTC), </w:t>
      </w:r>
      <w:r>
        <w:rPr>
          <w:rFonts w:ascii="TimesNewRomanPSMT" w:hAnsi="TimesNewRomanPSMT" w:cs="Helvetica"/>
          <w:sz w:val="24"/>
          <w:szCs w:val="24"/>
        </w:rPr>
        <w:lastRenderedPageBreak/>
        <w:t xml:space="preserve">Eighteenth Century Collections Online </w:t>
      </w:r>
      <w:r>
        <w:rPr>
          <w:rFonts w:ascii="TimesNewRomanPSMT" w:hAnsi="TimesNewRomanPSMT" w:cs="Helvetica"/>
          <w:sz w:val="24"/>
          <w:szCs w:val="24"/>
        </w:rPr>
        <w:t>(ECCO), the Eighteenth Century Collections Online Text Creation Partnership (ECCO-TCP), Google Books, Project Gutenberg,</w:t>
      </w:r>
      <w:r>
        <w:rPr>
          <w:rFonts w:ascii="TimesNewRomanPSMT" w:hAnsi="TimesNewRomanPSMT" w:cs="Helvetica"/>
          <w:sz w:val="24"/>
          <w:szCs w:val="24"/>
          <w:vertAlign w:val="superscript"/>
        </w:rPr>
        <w:footnoteReference w:id="2"/>
      </w:r>
      <w:r>
        <w:rPr>
          <w:rFonts w:ascii="TimesNewRomanPSMT" w:hAnsi="TimesNewRomanPSMT" w:cs="Helvetica"/>
          <w:sz w:val="24"/>
          <w:szCs w:val="24"/>
        </w:rPr>
        <w:t xml:space="preserve"> and HathiTrust. For each database, I download their holdings identified as printed in England 1789-1799.</w:t>
      </w:r>
      <w:r>
        <w:rPr>
          <w:rFonts w:ascii="TimesNewRomanPSMT" w:hAnsi="TimesNewRomanPSMT" w:cs="Helvetica"/>
          <w:sz w:val="24"/>
          <w:szCs w:val="24"/>
          <w:vertAlign w:val="superscript"/>
        </w:rPr>
        <w:footnoteReference w:id="3"/>
      </w:r>
      <w:r>
        <w:rPr>
          <w:rFonts w:ascii="TimesNewRomanPSMT" w:hAnsi="TimesNewRomanPSMT" w:cs="Helvetica"/>
          <w:sz w:val="24"/>
          <w:szCs w:val="24"/>
        </w:rPr>
        <w:t xml:space="preserve"> I identify how many titles t</w:t>
      </w:r>
      <w:r>
        <w:rPr>
          <w:rFonts w:ascii="TimesNewRomanPSMT" w:hAnsi="TimesNewRomanPSMT" w:cs="Helvetica"/>
          <w:sz w:val="24"/>
          <w:szCs w:val="24"/>
        </w:rPr>
        <w:t>he database attributes to each year. I calculate how many works are attributed to male, female, or unknown authors.</w:t>
      </w:r>
      <w:r>
        <w:rPr>
          <w:rFonts w:ascii="TimesNewRomanPSMT" w:hAnsi="TimesNewRomanPSMT" w:cs="Helvetica"/>
          <w:sz w:val="24"/>
          <w:szCs w:val="24"/>
          <w:vertAlign w:val="superscript"/>
        </w:rPr>
        <w:footnoteReference w:id="4"/>
      </w:r>
      <w:r>
        <w:rPr>
          <w:rFonts w:ascii="TimesNewRomanPSMT" w:hAnsi="TimesNewRomanPSMT" w:cs="Helvetica"/>
          <w:sz w:val="24"/>
          <w:szCs w:val="24"/>
        </w:rPr>
        <w:t xml:space="preserve"> These very simple pieces of information, when they differ widely between databases,</w:t>
      </w:r>
      <w:r>
        <w:rPr>
          <w:rFonts w:ascii="TimesNewRomanPSMT" w:hAnsi="TimesNewRomanPSMT" w:cs="Helvetica"/>
          <w:sz w:val="24"/>
          <w:szCs w:val="24"/>
          <w:vertAlign w:val="superscript"/>
        </w:rPr>
        <w:footnoteReference w:id="5"/>
      </w:r>
      <w:r>
        <w:rPr>
          <w:rFonts w:ascii="TimesNewRomanPSMT" w:hAnsi="TimesNewRomanPSMT" w:cs="Helvetica"/>
          <w:sz w:val="24"/>
          <w:szCs w:val="24"/>
        </w:rPr>
        <w:t xml:space="preserve"> provides the basis for an initial analysis of the assu</w:t>
      </w:r>
      <w:r>
        <w:rPr>
          <w:rFonts w:ascii="TimesNewRomanPSMT" w:hAnsi="TimesNewRomanPSMT" w:cs="Helvetica"/>
          <w:sz w:val="24"/>
          <w:szCs w:val="24"/>
        </w:rPr>
        <w:t>mptions and limitations of each database. I then examine the contents of each database more closely, to compare the inclusion of broad categories of writing like poetry, drama, prose fiction, and ephemera.</w:t>
      </w:r>
      <w:r>
        <w:rPr>
          <w:rFonts w:ascii="TimesNewRomanPSMT" w:hAnsi="TimesNewRomanPSMT" w:cs="Helvetica"/>
          <w:sz w:val="24"/>
          <w:szCs w:val="24"/>
          <w:vertAlign w:val="superscript"/>
        </w:rPr>
        <w:footnoteReference w:id="6"/>
      </w:r>
      <w:r>
        <w:rPr>
          <w:rFonts w:ascii="TimesNewRomanPSMT" w:hAnsi="TimesNewRomanPSMT" w:cs="Helvetica"/>
          <w:sz w:val="24"/>
          <w:szCs w:val="24"/>
        </w:rPr>
        <w:t xml:space="preserve"> </w:t>
      </w:r>
      <w:bookmarkStart w:id="5" w:name="dramatic_goals"/>
      <w:r>
        <w:rPr>
          <w:rFonts w:ascii="TimesNewRomanPSMT" w:hAnsi="TimesNewRomanPSMT" w:cs="Helvetica"/>
          <w:sz w:val="24"/>
          <w:szCs w:val="24"/>
        </w:rPr>
        <w:t>Identifying</w:t>
      </w:r>
      <w:bookmarkEnd w:id="5"/>
      <w:r>
        <w:rPr>
          <w:rFonts w:ascii="TimesNewRomanPSMT" w:hAnsi="TimesNewRomanPSMT" w:cs="Helvetica"/>
          <w:sz w:val="24"/>
          <w:szCs w:val="24"/>
        </w:rPr>
        <w:t xml:space="preserve"> these categories of writing within ea</w:t>
      </w:r>
      <w:r>
        <w:rPr>
          <w:rFonts w:ascii="TimesNewRomanPSMT" w:hAnsi="TimesNewRomanPSMT" w:cs="Helvetica"/>
          <w:sz w:val="24"/>
          <w:szCs w:val="24"/>
        </w:rPr>
        <w:t>ch corpus reveals a predictable preference for “literary” forms such as novels and poetry in the smaller databases. This preference for particular kinds of writing might explain changes in gender representation of smaller databases. If the novel is the dom</w:t>
      </w:r>
      <w:r>
        <w:rPr>
          <w:rFonts w:ascii="TimesNewRomanPSMT" w:hAnsi="TimesNewRomanPSMT" w:cs="Helvetica"/>
          <w:sz w:val="24"/>
          <w:szCs w:val="24"/>
        </w:rPr>
        <w:t>ain of women, for example, a corpus can underrepresent women by underrepresenting novels. Or it could include a representative number of novels, but disproportionately include novels by men. My investigation allows me to identify the patterns of selection.</w:t>
      </w:r>
      <w:r>
        <w:rPr>
          <w:rFonts w:ascii="TimesNewRomanPSMT" w:hAnsi="TimesNewRomanPSMT" w:cs="Helvetica"/>
          <w:sz w:val="24"/>
          <w:szCs w:val="24"/>
        </w:rPr>
        <w:t xml:space="preserve"> To ground my analysis in specifics, I take Charlotte Smith, Mary Robinson, Hannah More, and Ann Radcliffe as case study authors. All four authors have long histories of contentious reception, rooted in debates about seriousness, popularity, and women’s </w:t>
      </w:r>
      <w:r>
        <w:rPr>
          <w:rFonts w:ascii="TimesNewRomanPSMT" w:hAnsi="TimesNewRomanPSMT" w:cs="Helvetica"/>
          <w:sz w:val="24"/>
          <w:szCs w:val="24"/>
        </w:rPr>
        <w:lastRenderedPageBreak/>
        <w:t>wr</w:t>
      </w:r>
      <w:r>
        <w:rPr>
          <w:rFonts w:ascii="TimesNewRomanPSMT" w:hAnsi="TimesNewRomanPSMT" w:cs="Helvetica"/>
          <w:sz w:val="24"/>
          <w:szCs w:val="24"/>
        </w:rPr>
        <w:t>iting. I revisit them to see how their careers might be interpreted through a new lens. I do so, in part, to challenge the contrast drawn between ‘popular’ and ‘serious’ writing, especially in the historical evaluation of women’s writing as literary.</w:t>
      </w:r>
    </w:p>
    <w:p w14:paraId="09E2577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4B4287F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bookmarkStart w:id="6" w:name="1790s_canon_debate"/>
      <w:r>
        <w:rPr>
          <w:rFonts w:ascii="TimesNewRomanPSMT" w:hAnsi="TimesNewRomanPSMT" w:cs="Helvetica"/>
          <w:sz w:val="24"/>
          <w:szCs w:val="24"/>
        </w:rPr>
        <w:t>The</w:t>
      </w:r>
      <w:bookmarkEnd w:id="6"/>
      <w:r>
        <w:rPr>
          <w:rFonts w:ascii="TimesNewRomanPSMT" w:hAnsi="TimesNewRomanPSMT" w:cs="Helvetica"/>
          <w:sz w:val="24"/>
          <w:szCs w:val="24"/>
        </w:rPr>
        <w:t xml:space="preserve"> </w:t>
      </w:r>
      <w:r>
        <w:rPr>
          <w:rFonts w:ascii="TimesNewRomanPSMT" w:hAnsi="TimesNewRomanPSMT" w:cs="Helvetica"/>
          <w:sz w:val="24"/>
          <w:szCs w:val="24"/>
        </w:rPr>
        <w:t xml:space="preserve">problem of evaluating literature is not a new or a simple one. In the eighteenth century, the debate took the form of urgently needing to distinguish ‘trash’ from ‘treasure’. Michael Gamer, in </w:t>
      </w:r>
      <w:r>
        <w:rPr>
          <w:rFonts w:ascii="TimesNewRomanPSMT" w:hAnsi="TimesNewRomanPSMT" w:cs="Helvetica"/>
          <w:i/>
          <w:sz w:val="24"/>
          <w:szCs w:val="24"/>
        </w:rPr>
        <w:t>Romanticism and the Gothic: Genre, Reception, and Canon Formati</w:t>
      </w:r>
      <w:r>
        <w:rPr>
          <w:rFonts w:ascii="TimesNewRomanPSMT" w:hAnsi="TimesNewRomanPSMT" w:cs="Helvetica"/>
          <w:i/>
          <w:sz w:val="24"/>
          <w:szCs w:val="24"/>
        </w:rPr>
        <w:t>on</w:t>
      </w:r>
      <w:r>
        <w:rPr>
          <w:rFonts w:ascii="TimesNewRomanPSMT" w:hAnsi="TimesNewRomanPSMT" w:cs="Helvetica"/>
          <w:sz w:val="24"/>
          <w:szCs w:val="24"/>
        </w:rPr>
        <w:t xml:space="preserve">, highlights the role of the eighteenth-century reviewer as a crucial mediator between the writers and readers of </w:t>
      </w:r>
      <w:commentRangeStart w:id="7"/>
      <w:r>
        <w:rPr>
          <w:rFonts w:ascii="TimesNewRomanPSMT" w:hAnsi="TimesNewRomanPSMT" w:cs="Helvetica"/>
          <w:sz w:val="24"/>
          <w:szCs w:val="24"/>
        </w:rPr>
        <w:fldChar w:fldCharType="begin"/>
      </w:r>
      <w:r>
        <w:rPr>
          <w:rFonts w:ascii="TimesNewRomanPSMT" w:hAnsi="TimesNewRomanPSMT" w:cs="Helvetica"/>
          <w:sz w:val="24"/>
          <w:szCs w:val="24"/>
        </w:rPr>
        <w:instrText>HYPERLINK "scrivcmt://FE132F89-7ED1-4CB5-939E-E56479FA7CC4"</w:instrText>
      </w:r>
      <w:r>
        <w:rPr>
          <w:rFonts w:ascii="TimesNewRomanPSMT" w:hAnsi="TimesNewRomanPSMT" w:cs="Helvetica"/>
          <w:sz w:val="24"/>
          <w:szCs w:val="24"/>
        </w:rPr>
        <w:fldChar w:fldCharType="separate"/>
      </w:r>
      <w:r>
        <w:rPr>
          <w:rFonts w:ascii="TimesNewRomanPSMT" w:hAnsi="TimesNewRomanPSMT" w:cs="Helvetica"/>
          <w:sz w:val="24"/>
          <w:szCs w:val="24"/>
        </w:rPr>
        <w:t>books</w:t>
      </w:r>
      <w:r>
        <w:rPr>
          <w:rFonts w:ascii="TimesNewRomanPSMT" w:hAnsi="TimesNewRomanPSMT" w:cs="Helvetica"/>
          <w:sz w:val="24"/>
          <w:szCs w:val="24"/>
        </w:rPr>
        <w:fldChar w:fldCharType="end"/>
      </w:r>
      <w:commentRangeEnd w:id="7"/>
      <w:r>
        <w:rPr>
          <w:rFonts w:ascii="TimesNewRomanPSMT" w:hAnsi="TimesNewRomanPSMT" w:cs="Helvetica"/>
          <w:sz w:val="24"/>
          <w:szCs w:val="24"/>
        </w:rPr>
        <w:commentReference w:id="7"/>
      </w:r>
      <w:r>
        <w:rPr>
          <w:rFonts w:ascii="TimesNewRomanPSMT" w:hAnsi="TimesNewRomanPSMT" w:cs="Helvetica"/>
          <w:sz w:val="24"/>
          <w:szCs w:val="24"/>
        </w:rPr>
        <w:t>. Importantly, although the assessments take the form of reviews of in</w:t>
      </w:r>
      <w:r>
        <w:rPr>
          <w:rFonts w:ascii="TimesNewRomanPSMT" w:hAnsi="TimesNewRomanPSMT" w:cs="Helvetica"/>
          <w:sz w:val="24"/>
          <w:szCs w:val="24"/>
        </w:rPr>
        <w:t>dividual works, Gamer also argues that the critics’ objections are in fact “a regulatory discourse – carried out under the fiction of paternalistic advice to a given gothic writer, but functioning as an implicit threat to other readers and writers” that af</w:t>
      </w:r>
      <w:r>
        <w:rPr>
          <w:rFonts w:ascii="TimesNewRomanPSMT" w:hAnsi="TimesNewRomanPSMT" w:cs="Helvetica"/>
          <w:sz w:val="24"/>
          <w:szCs w:val="24"/>
        </w:rPr>
        <w:t>filiation with the gothic comes with “cultural costs” (42). The gothic stands in as a proxy for any kind of “popular” reading that takes place “in the absence of formal education and training” (57), so a denunciation of a gothic work becomes a reaffirmatio</w:t>
      </w:r>
      <w:r>
        <w:rPr>
          <w:rFonts w:ascii="TimesNewRomanPSMT" w:hAnsi="TimesNewRomanPSMT" w:cs="Helvetica"/>
          <w:sz w:val="24"/>
          <w:szCs w:val="24"/>
        </w:rPr>
        <w:t xml:space="preserve">n of class-based literary hierarchies. In other words, these reviews create and affirm the cultural capital of a category of ‘serious’ </w:t>
      </w:r>
      <w:commentRangeStart w:id="8"/>
      <w:r>
        <w:rPr>
          <w:rFonts w:ascii="TimesNewRomanPSMT" w:hAnsi="TimesNewRomanPSMT" w:cs="Helvetica"/>
          <w:sz w:val="24"/>
          <w:szCs w:val="24"/>
        </w:rPr>
        <w:fldChar w:fldCharType="begin"/>
      </w:r>
      <w:r>
        <w:rPr>
          <w:rFonts w:ascii="TimesNewRomanPSMT" w:hAnsi="TimesNewRomanPSMT" w:cs="Helvetica"/>
          <w:sz w:val="24"/>
          <w:szCs w:val="24"/>
        </w:rPr>
        <w:instrText>HYPERLINK "scrivcmt://322F1740-B76B-4B00-98C9-D536E2C82D6A"</w:instrText>
      </w:r>
      <w:r>
        <w:rPr>
          <w:rFonts w:ascii="TimesNewRomanPSMT" w:hAnsi="TimesNewRomanPSMT" w:cs="Helvetica"/>
          <w:sz w:val="24"/>
          <w:szCs w:val="24"/>
        </w:rPr>
        <w:fldChar w:fldCharType="separate"/>
      </w:r>
      <w:r>
        <w:rPr>
          <w:rFonts w:ascii="TimesNewRomanPSMT" w:hAnsi="TimesNewRomanPSMT" w:cs="Helvetica"/>
          <w:sz w:val="24"/>
          <w:szCs w:val="24"/>
        </w:rPr>
        <w:t>literature</w:t>
      </w:r>
      <w:r>
        <w:rPr>
          <w:rFonts w:ascii="TimesNewRomanPSMT" w:hAnsi="TimesNewRomanPSMT" w:cs="Helvetica"/>
          <w:sz w:val="24"/>
          <w:szCs w:val="24"/>
        </w:rPr>
        <w:fldChar w:fldCharType="end"/>
      </w:r>
      <w:commentRangeEnd w:id="8"/>
      <w:r>
        <w:rPr>
          <w:rFonts w:ascii="TimesNewRomanPSMT" w:hAnsi="TimesNewRomanPSMT" w:cs="Helvetica"/>
          <w:sz w:val="24"/>
          <w:szCs w:val="24"/>
        </w:rPr>
        <w:commentReference w:id="8"/>
      </w:r>
      <w:r>
        <w:rPr>
          <w:rFonts w:ascii="TimesNewRomanPSMT" w:hAnsi="TimesNewRomanPSMT" w:cs="Helvetica"/>
          <w:sz w:val="24"/>
          <w:szCs w:val="24"/>
        </w:rPr>
        <w:t xml:space="preserve">. Gamer is only concerned with the gothic and </w:t>
      </w:r>
      <w:r>
        <w:rPr>
          <w:rFonts w:ascii="TimesNewRomanPSMT" w:hAnsi="TimesNewRomanPSMT" w:cs="Helvetica"/>
          <w:sz w:val="24"/>
          <w:szCs w:val="24"/>
        </w:rPr>
        <w:t>romanticism, but the overall regulatory function of literary reviewers as moral arbiters— and the stock conventionality of their objections, which do not affect the actual production or consumption of the works attacked— applies to most forms of writing in</w:t>
      </w:r>
      <w:r>
        <w:rPr>
          <w:rFonts w:ascii="TimesNewRomanPSMT" w:hAnsi="TimesNewRomanPSMT" w:cs="Helvetica"/>
          <w:sz w:val="24"/>
          <w:szCs w:val="24"/>
        </w:rPr>
        <w:t xml:space="preserve"> the period. For example, George Taylor sees the same dynamic in the theatre. In </w:t>
      </w:r>
      <w:r>
        <w:rPr>
          <w:rFonts w:ascii="TimesNewRomanPSMT" w:hAnsi="TimesNewRomanPSMT" w:cs="Helvetica"/>
          <w:i/>
          <w:sz w:val="24"/>
          <w:szCs w:val="24"/>
        </w:rPr>
        <w:t xml:space="preserve">The French Revolution and the London Stage, </w:t>
      </w:r>
      <w:r>
        <w:rPr>
          <w:rFonts w:ascii="TimesNewRomanPSMT" w:hAnsi="TimesNewRomanPSMT" w:cs="Helvetica"/>
          <w:sz w:val="24"/>
          <w:szCs w:val="24"/>
        </w:rPr>
        <w:t>he</w:t>
      </w:r>
      <w:r>
        <w:rPr>
          <w:rFonts w:ascii="TimesNewRomanPSMT" w:hAnsi="TimesNewRomanPSMT" w:cs="Helvetica"/>
          <w:i/>
          <w:sz w:val="24"/>
          <w:szCs w:val="24"/>
        </w:rPr>
        <w:t xml:space="preserve"> </w:t>
      </w:r>
      <w:r>
        <w:rPr>
          <w:rFonts w:ascii="TimesNewRomanPSMT" w:hAnsi="TimesNewRomanPSMT" w:cs="Helvetica"/>
          <w:sz w:val="24"/>
          <w:szCs w:val="24"/>
        </w:rPr>
        <w:t xml:space="preserve">argues that, “[c]ritics might make sharp comparisons” between the many kinds of entertainments that were staged, “but little of </w:t>
      </w:r>
      <w:r>
        <w:rPr>
          <w:rFonts w:ascii="TimesNewRomanPSMT" w:hAnsi="TimesNewRomanPSMT" w:cs="Helvetica"/>
          <w:sz w:val="24"/>
          <w:szCs w:val="24"/>
        </w:rPr>
        <w:t xml:space="preserve">the programme was dismissed [by audiences] as ‘trash', or ‘immoral', or irrelevant ‘fancy’” (3). Taylor sees the repetitive discourse of eighteenth </w:t>
      </w:r>
      <w:r>
        <w:rPr>
          <w:rFonts w:ascii="TimesNewRomanPSMT" w:hAnsi="TimesNewRomanPSMT" w:cs="Helvetica"/>
          <w:sz w:val="24"/>
          <w:szCs w:val="24"/>
        </w:rPr>
        <w:lastRenderedPageBreak/>
        <w:t>century literary critics as proof of a larger social divide: “Disagreement as to what is trash and what is t</w:t>
      </w:r>
      <w:r>
        <w:rPr>
          <w:rFonts w:ascii="TimesNewRomanPSMT" w:hAnsi="TimesNewRomanPSMT" w:cs="Helvetica"/>
          <w:sz w:val="24"/>
          <w:szCs w:val="24"/>
        </w:rPr>
        <w:t>reasure suggests cultural crisis, when values are put under question by social stress or political conflict” (3). Gamer and Taylor both suggest that moral judgment of literature by its critics was driven by social friction, rather than by the aesthetic dis</w:t>
      </w:r>
      <w:r>
        <w:rPr>
          <w:rFonts w:ascii="TimesNewRomanPSMT" w:hAnsi="TimesNewRomanPSMT" w:cs="Helvetica"/>
          <w:sz w:val="24"/>
          <w:szCs w:val="24"/>
        </w:rPr>
        <w:t>tinctions which they claimed as their motivation.</w:t>
      </w:r>
    </w:p>
    <w:p w14:paraId="5266BB6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4A2FA8B2" w14:textId="77777777" w:rsidR="002F0BEE" w:rsidRDefault="00B67DD8">
      <w:pPr>
        <w:pStyle w:val="Paragraph"/>
        <w:rPr>
          <w:rFonts w:ascii="TimesNewRomanPSMT" w:hAnsi="TimesNewRomanPSMT" w:cs="Helvetica"/>
          <w:sz w:val="24"/>
          <w:szCs w:val="24"/>
        </w:rPr>
      </w:pPr>
      <w:r>
        <w:rPr>
          <w:rFonts w:cs="Helvetica"/>
          <w:szCs w:val="24"/>
        </w:rPr>
        <w:t xml:space="preserve">In other words, Gamer and Taylor both affirm the key conclusion of John Guillory’s </w:t>
      </w:r>
      <w:r>
        <w:rPr>
          <w:rFonts w:cs="Helvetica"/>
          <w:i/>
          <w:szCs w:val="24"/>
        </w:rPr>
        <w:t>Cultural Capital: The Problem of Literary Canon Formation</w:t>
      </w:r>
      <w:r>
        <w:rPr>
          <w:rFonts w:cs="Helvetica"/>
          <w:szCs w:val="24"/>
        </w:rPr>
        <w:t>, that “in fact ‘aesthetic value’ is nothing more or other than c</w:t>
      </w:r>
      <w:r>
        <w:rPr>
          <w:rFonts w:cs="Helvetica"/>
          <w:szCs w:val="24"/>
        </w:rPr>
        <w:t>ultural capital" (332). Guillory’s sociological history of literary canons is a well-established part of literary studies, which will take on new dimensions as I apply to to the current moment of digital databases. In the eighteenth century, he argues, the</w:t>
      </w:r>
      <w:r>
        <w:rPr>
          <w:rFonts w:cs="Helvetica"/>
          <w:szCs w:val="24"/>
        </w:rPr>
        <w:t xml:space="preserve"> cultural capital of vernacular English literature is defined by its use within the school system to enable and restrict social mobility. English vernacular literature first begins to accumulate cultural capital in middle-class schools where it is “a subst</w:t>
      </w:r>
      <w:r>
        <w:rPr>
          <w:rFonts w:cs="Helvetica"/>
          <w:szCs w:val="24"/>
        </w:rPr>
        <w:t>itute for the study of Greek and Latin, but with the same object of producing a linguistic sign of social distinction” (97) that would allow readers to improve and signify their social standing. The public re-assessment of literature described by Gamer and</w:t>
      </w:r>
      <w:r>
        <w:rPr>
          <w:rFonts w:cs="Helvetica"/>
          <w:szCs w:val="24"/>
        </w:rPr>
        <w:t xml:space="preserve"> Taylor is, for Guillory, “the first crisis in the status of the vernacular canon, the problem of assimilating new vernacular genres such as the novel” (xi), which seem in danger of affording too much social mobility by offering too little literary distinc</w:t>
      </w:r>
      <w:r>
        <w:rPr>
          <w:rFonts w:cs="Helvetica"/>
          <w:szCs w:val="24"/>
        </w:rPr>
        <w:t>tion for social elites.</w:t>
      </w:r>
      <w:r>
        <w:rPr>
          <w:rFonts w:cs="Helvetica"/>
          <w:szCs w:val="24"/>
          <w:vertAlign w:val="superscript"/>
        </w:rPr>
        <w:footnoteReference w:id="7"/>
      </w:r>
      <w:r>
        <w:rPr>
          <w:rFonts w:cs="Helvetica"/>
          <w:szCs w:val="24"/>
        </w:rPr>
        <w:t xml:space="preserve"> The ‘solution’ is institutionalization, in which “the school becomes the exclusive agent for the dissemination of High Canonical works,” and therefore, he argues, “the prestige of literary works as cultural capital is assessed according to the limit of th</w:t>
      </w:r>
      <w:r>
        <w:rPr>
          <w:rFonts w:cs="Helvetica"/>
          <w:szCs w:val="24"/>
        </w:rPr>
        <w:t>eir dissemination, their relative exclusivity” (133). Under this system, ‘serious’ literature may not be identifiable linguistically, but it can still be identifiable by the difficulty of accessing it. This history of canonization has important implication</w:t>
      </w:r>
      <w:r>
        <w:rPr>
          <w:rFonts w:cs="Helvetica"/>
          <w:szCs w:val="24"/>
        </w:rPr>
        <w:t xml:space="preserve">s for the field of literary study. As Guillory himself insists, if the aesthetic value of a text is determined by the social operations of class, it </w:t>
      </w:r>
      <w:commentRangeStart w:id="9"/>
      <w:r>
        <w:rPr>
          <w:rFonts w:cs="Helvetica"/>
          <w:szCs w:val="24"/>
        </w:rPr>
        <w:fldChar w:fldCharType="begin"/>
      </w:r>
      <w:r>
        <w:rPr>
          <w:rFonts w:cs="Helvetica"/>
          <w:szCs w:val="24"/>
        </w:rPr>
        <w:instrText>HYPERLINK "scrivcmt://65052170-EC5B-4E0B-BC68-744396E71125"</w:instrText>
      </w:r>
      <w:r>
        <w:rPr>
          <w:rFonts w:cs="Helvetica"/>
          <w:szCs w:val="24"/>
        </w:rPr>
        <w:fldChar w:fldCharType="separate"/>
      </w:r>
      <w:r>
        <w:rPr>
          <w:rFonts w:cs="Helvetica"/>
          <w:szCs w:val="24"/>
        </w:rPr>
        <w:t xml:space="preserve">undermines the notion of literature itself as a </w:t>
      </w:r>
      <w:r>
        <w:rPr>
          <w:rFonts w:cs="Helvetica"/>
          <w:szCs w:val="24"/>
        </w:rPr>
        <w:t>category of writing distinguishable in aesthetic terms from non-literary writing</w:t>
      </w:r>
      <w:r>
        <w:rPr>
          <w:rFonts w:cs="Helvetica"/>
          <w:szCs w:val="24"/>
        </w:rPr>
        <w:fldChar w:fldCharType="end"/>
      </w:r>
      <w:commentRangeEnd w:id="9"/>
      <w:r>
        <w:rPr>
          <w:rFonts w:cs="Helvetica"/>
          <w:szCs w:val="24"/>
        </w:rPr>
        <w:commentReference w:id="9"/>
      </w:r>
      <w:r>
        <w:rPr>
          <w:rFonts w:cs="Helvetica"/>
          <w:szCs w:val="24"/>
        </w:rPr>
        <w:t>. Guillory’s book is motivated by the canon debates of the 1990s, which were driven by an urgent re-valuation of literature by women and people of colour.</w:t>
      </w:r>
      <w:r>
        <w:rPr>
          <w:rFonts w:cs="Helvetica"/>
          <w:szCs w:val="24"/>
          <w:vertAlign w:val="superscript"/>
        </w:rPr>
        <w:footnoteReference w:id="8"/>
      </w:r>
      <w:r>
        <w:rPr>
          <w:rFonts w:cs="Helvetica"/>
          <w:szCs w:val="24"/>
        </w:rPr>
        <w:t xml:space="preserve"> </w:t>
      </w:r>
      <w:bookmarkStart w:id="10" w:name="1990s_canon_debate"/>
      <w:r>
        <w:rPr>
          <w:rFonts w:cs="Helvetica"/>
          <w:szCs w:val="24"/>
        </w:rPr>
        <w:t>His</w:t>
      </w:r>
      <w:bookmarkEnd w:id="10"/>
      <w:r>
        <w:rPr>
          <w:rFonts w:cs="Helvetica"/>
          <w:szCs w:val="24"/>
        </w:rPr>
        <w:t xml:space="preserve"> response i</w:t>
      </w:r>
      <w:r>
        <w:rPr>
          <w:rFonts w:cs="Helvetica"/>
          <w:szCs w:val="24"/>
        </w:rPr>
        <w:t xml:space="preserve">nsists that it is untenable to conceive of the problem in terms of increasing the ‘representation’ of individual </w:t>
      </w:r>
      <w:r>
        <w:rPr>
          <w:rFonts w:cs="Helvetica"/>
          <w:szCs w:val="24"/>
        </w:rPr>
        <w:lastRenderedPageBreak/>
        <w:t>works or authors within existing systems. Instead, for Guillory problem lies in the institutionalization of literature itself. “If literary cri</w:t>
      </w:r>
      <w:r>
        <w:rPr>
          <w:rFonts w:cs="Helvetica"/>
          <w:szCs w:val="24"/>
        </w:rPr>
        <w:t>ticism is ever to conceptualize a new disciplinary domain,” he says, embedding his prescription in that “if,” “it will have to undertake first a much more thorough reflection on the historical category of literature; otherwise I suggest that new critical m</w:t>
      </w:r>
      <w:r>
        <w:rPr>
          <w:rFonts w:cs="Helvetica"/>
          <w:szCs w:val="24"/>
        </w:rPr>
        <w:t>ovements will continue to register their agendas symptomatically, by ritually overthrowing a continually resurgent literariness and literary canon” (265). In other words, assigning the cultural capital of “literature” to different works cannot change the u</w:t>
      </w:r>
      <w:r>
        <w:rPr>
          <w:rFonts w:cs="Helvetica"/>
          <w:szCs w:val="24"/>
        </w:rPr>
        <w:t>nderlying system</w:t>
      </w:r>
      <w:commentRangeStart w:id="11"/>
      <w:r>
        <w:rPr>
          <w:rFonts w:cs="Helvetica"/>
          <w:szCs w:val="24"/>
        </w:rPr>
        <w:fldChar w:fldCharType="begin"/>
      </w:r>
      <w:r>
        <w:rPr>
          <w:rFonts w:cs="Helvetica"/>
          <w:szCs w:val="24"/>
        </w:rPr>
        <w:instrText>HYPERLINK "scrivcmt://3B391EB5-F602-4A91-B59C-4459443344D4"</w:instrText>
      </w:r>
      <w:r>
        <w:rPr>
          <w:rFonts w:cs="Helvetica"/>
          <w:szCs w:val="24"/>
        </w:rPr>
        <w:fldChar w:fldCharType="separate"/>
      </w:r>
      <w:r>
        <w:rPr>
          <w:rFonts w:cs="Helvetica"/>
          <w:szCs w:val="24"/>
        </w:rPr>
        <w:t>.</w:t>
      </w:r>
      <w:r>
        <w:rPr>
          <w:rFonts w:cs="Helvetica"/>
          <w:szCs w:val="24"/>
        </w:rPr>
        <w:fldChar w:fldCharType="end"/>
      </w:r>
      <w:commentRangeEnd w:id="11"/>
      <w:r>
        <w:rPr>
          <w:rFonts w:cs="Helvetica"/>
          <w:szCs w:val="24"/>
        </w:rPr>
        <w:commentReference w:id="11"/>
      </w:r>
    </w:p>
    <w:p w14:paraId="21678570" w14:textId="77777777" w:rsidR="002F0BEE" w:rsidRDefault="002F0BEE">
      <w:pPr>
        <w:pStyle w:val="Paragraph"/>
        <w:rPr>
          <w:rFonts w:ascii="TimesNewRomanPSMT" w:hAnsi="TimesNewRomanPSMT" w:cs="Helvetica"/>
          <w:sz w:val="24"/>
          <w:szCs w:val="24"/>
        </w:rPr>
      </w:pPr>
    </w:p>
    <w:p w14:paraId="1B76EC3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bookmarkStart w:id="12" w:name="DH_canon_debate"/>
      <w:r>
        <w:rPr>
          <w:rFonts w:ascii="TimesNewRomanPSMT" w:hAnsi="TimesNewRomanPSMT" w:cs="Helvetica"/>
          <w:sz w:val="24"/>
          <w:szCs w:val="24"/>
        </w:rPr>
        <w:t>Perhaps</w:t>
      </w:r>
      <w:bookmarkEnd w:id="12"/>
      <w:r>
        <w:rPr>
          <w:rFonts w:ascii="TimesNewRomanPSMT" w:hAnsi="TimesNewRomanPSMT" w:cs="Helvetica"/>
          <w:sz w:val="24"/>
          <w:szCs w:val="24"/>
        </w:rPr>
        <w:t xml:space="preserve"> indicating that Guillory was correct, twenty years later, we are still debating the need for “literary criticism … to conceptualize a new disciplinary domain” (Guil</w:t>
      </w:r>
      <w:r>
        <w:rPr>
          <w:rFonts w:ascii="TimesNewRomanPSMT" w:hAnsi="TimesNewRomanPSMT" w:cs="Helvetica"/>
          <w:sz w:val="24"/>
          <w:szCs w:val="24"/>
        </w:rPr>
        <w:t>lory 265), now in the context of computation. The reconceptualization of literary study itself is at the core of Franco Moretti’s coinage of ‘distant reading’: the problem for which “[r]eading ‘more’ seems hardly to be the solution” (“Conjectures” 55) is t</w:t>
      </w:r>
      <w:r>
        <w:rPr>
          <w:rFonts w:ascii="TimesNewRomanPSMT" w:hAnsi="TimesNewRomanPSMT" w:cs="Helvetica"/>
          <w:sz w:val="24"/>
          <w:szCs w:val="24"/>
        </w:rPr>
        <w:t xml:space="preserve">he problem of conceiving of </w:t>
      </w:r>
      <w:r>
        <w:rPr>
          <w:rFonts w:ascii="TimesNewRomanPSMT" w:hAnsi="TimesNewRomanPSMT" w:cs="Helvetica"/>
          <w:i/>
          <w:sz w:val="24"/>
          <w:szCs w:val="24"/>
        </w:rPr>
        <w:t>world</w:t>
      </w:r>
      <w:r>
        <w:rPr>
          <w:rFonts w:ascii="TimesNewRomanPSMT" w:hAnsi="TimesNewRomanPSMT" w:cs="Helvetica"/>
          <w:sz w:val="24"/>
          <w:szCs w:val="24"/>
        </w:rPr>
        <w:t xml:space="preserve"> literature, rather than the “canonical fraction, which is not even one per cent of published literature” (55). His new methods are meant to enable literary studies to examine a new object. The field of distant reading has </w:t>
      </w:r>
      <w:r>
        <w:rPr>
          <w:rFonts w:ascii="TimesNewRomanPSMT" w:hAnsi="TimesNewRomanPSMT" w:cs="Helvetica"/>
          <w:sz w:val="24"/>
          <w:szCs w:val="24"/>
        </w:rPr>
        <w:t xml:space="preserve">been moving away from Moretti himself. However, it is still shaped by the attempt to redefine the disciplinary domain of literary studies. In many cases, the new domain is no longer the “canon” but the “corpus,” a collection of texts which are studied </w:t>
      </w:r>
      <w:r>
        <w:rPr>
          <w:rFonts w:ascii="TimesNewRomanPSMT" w:hAnsi="TimesNewRomanPSMT" w:cs="Helvetica"/>
          <w:i/>
          <w:sz w:val="24"/>
          <w:szCs w:val="24"/>
        </w:rPr>
        <w:t>en m</w:t>
      </w:r>
      <w:r>
        <w:rPr>
          <w:rFonts w:ascii="TimesNewRomanPSMT" w:hAnsi="TimesNewRomanPSMT" w:cs="Helvetica"/>
          <w:i/>
          <w:sz w:val="24"/>
          <w:szCs w:val="24"/>
        </w:rPr>
        <w:t>asse</w:t>
      </w:r>
      <w:r>
        <w:rPr>
          <w:rFonts w:ascii="TimesNewRomanPSMT" w:hAnsi="TimesNewRomanPSMT" w:cs="Helvetica"/>
          <w:sz w:val="24"/>
          <w:szCs w:val="24"/>
        </w:rPr>
        <w:t xml:space="preserve"> for macroanalytical insights. Katherine Bode, for example, in “The Equivalence of ‘Close’ and ‘Distant’ Reading,” argues that Moretti and Matthew Jockers replicate the approaches of New Criticism with their corpora, and calls for “a new scholarly obje</w:t>
      </w:r>
      <w:r>
        <w:rPr>
          <w:rFonts w:ascii="TimesNewRomanPSMT" w:hAnsi="TimesNewRomanPSMT" w:cs="Helvetica"/>
          <w:sz w:val="24"/>
          <w:szCs w:val="24"/>
        </w:rPr>
        <w:t xml:space="preserve">ct of analysis” (79) that directly examines historical and textual context of corpora as representations of “literary systems” (97). Lauren Klein, too, treats the textual corpus as the new object of literary analysis requiring curation, contextualization, </w:t>
      </w:r>
      <w:r>
        <w:rPr>
          <w:rFonts w:ascii="TimesNewRomanPSMT" w:hAnsi="TimesNewRomanPSMT" w:cs="Helvetica"/>
          <w:sz w:val="24"/>
          <w:szCs w:val="24"/>
        </w:rPr>
        <w:t xml:space="preserve">and interpretation. Her critique argues that “it’s not a </w:t>
      </w:r>
      <w:r>
        <w:rPr>
          <w:rFonts w:ascii="TimesNewRomanPSMT" w:hAnsi="TimesNewRomanPSMT" w:cs="Helvetica"/>
          <w:i/>
          <w:sz w:val="24"/>
          <w:szCs w:val="24"/>
        </w:rPr>
        <w:t>coincidence</w:t>
      </w:r>
      <w:r>
        <w:rPr>
          <w:rFonts w:ascii="TimesNewRomanPSMT" w:hAnsi="TimesNewRomanPSMT" w:cs="Helvetica"/>
          <w:sz w:val="24"/>
          <w:szCs w:val="24"/>
        </w:rPr>
        <w:t xml:space="preserve"> that distant reading does not deal well with gender, or with sexuality, or with race,” but also that these failings are not inevitable: “it’s not that distant reading </w:t>
      </w:r>
      <w:r>
        <w:rPr>
          <w:rFonts w:ascii="TimesNewRomanPSMT" w:hAnsi="TimesNewRomanPSMT" w:cs="Helvetica"/>
          <w:i/>
          <w:sz w:val="24"/>
          <w:szCs w:val="24"/>
        </w:rPr>
        <w:t>can’t</w:t>
      </w:r>
      <w:r>
        <w:rPr>
          <w:rFonts w:ascii="TimesNewRomanPSMT" w:hAnsi="TimesNewRomanPSMT" w:cs="Helvetica"/>
          <w:sz w:val="24"/>
          <w:szCs w:val="24"/>
        </w:rPr>
        <w:t xml:space="preserve"> do this work,”</w:t>
      </w:r>
      <w:r>
        <w:rPr>
          <w:rFonts w:ascii="TimesNewRomanPSMT" w:hAnsi="TimesNewRomanPSMT" w:cs="Helvetica"/>
          <w:sz w:val="24"/>
          <w:szCs w:val="24"/>
        </w:rPr>
        <w:t xml:space="preserve"> she insists, “it’s </w:t>
      </w:r>
      <w:r>
        <w:rPr>
          <w:rFonts w:ascii="TimesNewRomanPSMT" w:hAnsi="TimesNewRomanPSMT" w:cs="Helvetica"/>
          <w:sz w:val="24"/>
          <w:szCs w:val="24"/>
        </w:rPr>
        <w:lastRenderedPageBreak/>
        <w:t xml:space="preserve">that it’s yet to sufficiently do so” (n. pag.). Bode, too, despite her strong critique of distant reading as it has been practiced by Moretti and Jockers, does not blame distant reading itself. Distant-readers like Moretti and Jockers, </w:t>
      </w:r>
      <w:r>
        <w:rPr>
          <w:rFonts w:ascii="TimesNewRomanPSMT" w:hAnsi="TimesNewRomanPSMT" w:cs="Helvetica"/>
          <w:sz w:val="24"/>
          <w:szCs w:val="24"/>
        </w:rPr>
        <w:t>she argues, “while claiming direct and objective access to ‘everything,’ … represent and explore only a very limited proportion of the literary system, and do so in an abstract and ahistorical way” (78). Klein, like Bode, calls for “more corpora—more acces</w:t>
      </w:r>
      <w:r>
        <w:rPr>
          <w:rFonts w:ascii="TimesNewRomanPSMT" w:hAnsi="TimesNewRomanPSMT" w:cs="Helvetica"/>
          <w:sz w:val="24"/>
          <w:szCs w:val="24"/>
        </w:rPr>
        <w:t>sible corpora—that perform the work of recovery or resistance” to allow research “beyond quote ‘representative’ samples, which tend to reproduce the same inequities of representation that affect our cultural record as a whole” (n. pag.). This framing re-cr</w:t>
      </w:r>
      <w:r>
        <w:rPr>
          <w:rFonts w:ascii="TimesNewRomanPSMT" w:hAnsi="TimesNewRomanPSMT" w:cs="Helvetica"/>
          <w:sz w:val="24"/>
          <w:szCs w:val="24"/>
        </w:rPr>
        <w:t>eates, at the cite of the corpus, the identical narratives of exclusion and representation which were previously located in critiques of the canon.</w:t>
      </w:r>
    </w:p>
    <w:p w14:paraId="3C4FA06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55C8E39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bookmarkStart w:id="13" w:name="what_Im_doing_here"/>
      <w:r>
        <w:rPr>
          <w:rFonts w:ascii="TimesNewRomanPSMT" w:hAnsi="TimesNewRomanPSMT" w:cs="Helvetica"/>
          <w:sz w:val="24"/>
          <w:szCs w:val="24"/>
        </w:rPr>
        <w:t>The</w:t>
      </w:r>
      <w:bookmarkEnd w:id="13"/>
      <w:r>
        <w:rPr>
          <w:rFonts w:ascii="TimesNewRomanPSMT" w:hAnsi="TimesNewRomanPSMT" w:cs="Helvetica"/>
          <w:sz w:val="24"/>
          <w:szCs w:val="24"/>
        </w:rPr>
        <w:t xml:space="preserve"> relocation of the debate from the canon to the corpus is not without grounds. As this dissertation will</w:t>
      </w:r>
      <w:r>
        <w:rPr>
          <w:rFonts w:ascii="TimesNewRomanPSMT" w:hAnsi="TimesNewRomanPSMT" w:cs="Helvetica"/>
          <w:sz w:val="24"/>
          <w:szCs w:val="24"/>
        </w:rPr>
        <w:t xml:space="preserve"> explore in depth, challenges to the technological accessibility of texts have created new hierarchies, and a new “great unread.” Each archive represents a unique set of choices in response to the same sets of questions: what to include, why, how; what to </w:t>
      </w:r>
      <w:r>
        <w:rPr>
          <w:rFonts w:ascii="TimesNewRomanPSMT" w:hAnsi="TimesNewRomanPSMT" w:cs="Helvetica"/>
          <w:sz w:val="24"/>
          <w:szCs w:val="24"/>
        </w:rPr>
        <w:t xml:space="preserve">make accessible, why, how, to whom; what, in the end, makes a text matter, and what we are meant to </w:t>
      </w:r>
      <w:r>
        <w:rPr>
          <w:rFonts w:ascii="TimesNewRomanPSMT" w:hAnsi="TimesNewRomanPSMT" w:cs="Helvetica"/>
          <w:i/>
          <w:sz w:val="24"/>
          <w:szCs w:val="24"/>
        </w:rPr>
        <w:t>do</w:t>
      </w:r>
      <w:r>
        <w:rPr>
          <w:rFonts w:ascii="TimesNewRomanPSMT" w:hAnsi="TimesNewRomanPSMT" w:cs="Helvetica"/>
          <w:sz w:val="24"/>
          <w:szCs w:val="24"/>
        </w:rPr>
        <w:t xml:space="preserve"> with texts. For example, the English Short Title Catalogue records 51,965 titles printed in England between 1789 and 1799. The corpus most commonly used </w:t>
      </w:r>
      <w:r>
        <w:rPr>
          <w:rFonts w:ascii="TimesNewRomanPSMT" w:hAnsi="TimesNewRomanPSMT" w:cs="Helvetica"/>
          <w:sz w:val="24"/>
          <w:szCs w:val="24"/>
        </w:rPr>
        <w:t>for DH work on eighteenth century literature, ECCO-TCP, includes only 466 titles for that same time period. What are the other 51,499 titles, why are they accessible in the ways they are, and what does it mean for digital eighteenth century studies that th</w:t>
      </w:r>
      <w:r>
        <w:rPr>
          <w:rFonts w:ascii="TimesNewRomanPSMT" w:hAnsi="TimesNewRomanPSMT" w:cs="Helvetica"/>
          <w:sz w:val="24"/>
          <w:szCs w:val="24"/>
        </w:rPr>
        <w:t xml:space="preserve">ey are not included? Although the examination of databases prompts similar hypotheses of exclusion as in longstanding conversations about canons, digital databases do not simply replicate new canons. </w:t>
      </w:r>
      <w:r>
        <w:rPr>
          <w:rFonts w:ascii="TimesNewRomanPSMT" w:hAnsi="TimesNewRomanPSMT" w:cs="Helvetica"/>
          <w:sz w:val="24"/>
          <w:szCs w:val="24"/>
          <w:highlight w:val="magenta"/>
        </w:rPr>
        <w:t xml:space="preserve">[By the end of my dissertation, I </w:t>
      </w:r>
      <w:r>
        <w:rPr>
          <w:rFonts w:ascii="TimesNewRomanPSMT" w:hAnsi="TimesNewRomanPSMT" w:cs="Helvetica"/>
          <w:sz w:val="24"/>
          <w:szCs w:val="24"/>
          <w:highlight w:val="magenta"/>
        </w:rPr>
        <w:lastRenderedPageBreak/>
        <w:t xml:space="preserve">will be able to state </w:t>
      </w:r>
      <w:r>
        <w:rPr>
          <w:rFonts w:ascii="TimesNewRomanPSMT" w:hAnsi="TimesNewRomanPSMT" w:cs="Helvetica"/>
          <w:sz w:val="24"/>
          <w:szCs w:val="24"/>
          <w:highlight w:val="magenta"/>
        </w:rPr>
        <w:t xml:space="preserve">here what IS happening — something structured by related logics of access and prestige, and related simplifications of historical complexity, and related </w:t>
      </w:r>
      <w:r>
        <w:rPr>
          <w:rFonts w:ascii="TimesNewRomanPSMT" w:hAnsi="TimesNewRomanPSMT" w:cs="Helvetica"/>
          <w:i/>
          <w:sz w:val="24"/>
          <w:szCs w:val="24"/>
          <w:highlight w:val="magenta"/>
        </w:rPr>
        <w:t>institutional</w:t>
      </w:r>
      <w:r>
        <w:rPr>
          <w:rFonts w:ascii="TimesNewRomanPSMT" w:hAnsi="TimesNewRomanPSMT" w:cs="Helvetica"/>
          <w:sz w:val="24"/>
          <w:szCs w:val="24"/>
          <w:highlight w:val="magenta"/>
        </w:rPr>
        <w:t xml:space="preserve"> replication of privileged texts.. But very importantly different, too, since we don’t </w:t>
      </w:r>
      <w:r>
        <w:rPr>
          <w:rFonts w:ascii="TimesNewRomanPSMT" w:hAnsi="TimesNewRomanPSMT" w:cs="Helvetica"/>
          <w:i/>
          <w:sz w:val="24"/>
          <w:szCs w:val="24"/>
          <w:highlight w:val="magenta"/>
        </w:rPr>
        <w:t>re</w:t>
      </w:r>
      <w:r>
        <w:rPr>
          <w:rFonts w:ascii="TimesNewRomanPSMT" w:hAnsi="TimesNewRomanPSMT" w:cs="Helvetica"/>
          <w:i/>
          <w:sz w:val="24"/>
          <w:szCs w:val="24"/>
          <w:highlight w:val="magenta"/>
        </w:rPr>
        <w:t>ad</w:t>
      </w:r>
      <w:r>
        <w:rPr>
          <w:rFonts w:ascii="TimesNewRomanPSMT" w:hAnsi="TimesNewRomanPSMT" w:cs="Helvetica"/>
          <w:sz w:val="24"/>
          <w:szCs w:val="24"/>
          <w:highlight w:val="magenta"/>
        </w:rPr>
        <w:t xml:space="preserve"> databases.]</w:t>
      </w:r>
      <w:r>
        <w:rPr>
          <w:rFonts w:ascii="TimesNewRomanPSMT" w:hAnsi="TimesNewRomanPSMT" w:cs="Helvetica"/>
          <w:sz w:val="24"/>
          <w:szCs w:val="24"/>
        </w:rPr>
        <w:t xml:space="preserve"> In a series of computational and non-computational research processes, I examine six databases of eighteenth century texts to learn about four eighteenth century authors, and I examine four eighteenth century authors to learn about eighteent</w:t>
      </w:r>
      <w:r>
        <w:rPr>
          <w:rFonts w:ascii="TimesNewRomanPSMT" w:hAnsi="TimesNewRomanPSMT" w:cs="Helvetica"/>
          <w:sz w:val="24"/>
          <w:szCs w:val="24"/>
        </w:rPr>
        <w:t>h century databases. This dissertation, therefore, takes place within three scholarly conversations: the digital humanities, as an increasingly self-reflective set of practices; eighteenth century studies, and the challenges presented by the 1790s; and the</w:t>
      </w:r>
      <w:r>
        <w:rPr>
          <w:rFonts w:ascii="TimesNewRomanPSMT" w:hAnsi="TimesNewRomanPSMT" w:cs="Helvetica"/>
          <w:sz w:val="24"/>
          <w:szCs w:val="24"/>
        </w:rPr>
        <w:t xml:space="preserve"> frameworks of reparative reading within queer theory which seem to offer valuable resources for both. The remainder of this chapter will describe in more detail the relevant scholarship shaping my frameworks, and then introduce my chapters by introducing </w:t>
      </w:r>
      <w:r>
        <w:rPr>
          <w:rFonts w:ascii="TimesNewRomanPSMT" w:hAnsi="TimesNewRomanPSMT" w:cs="Helvetica"/>
          <w:sz w:val="24"/>
          <w:szCs w:val="24"/>
        </w:rPr>
        <w:t>my four case study authors.</w:t>
      </w:r>
    </w:p>
    <w:p w14:paraId="16CFC15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3B39FEC0"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sz w:val="26"/>
          <w:szCs w:val="24"/>
        </w:rPr>
      </w:pPr>
      <w:r>
        <w:rPr>
          <w:rFonts w:ascii="Georgia" w:hAnsi="Georgia" w:cs="Helvetica"/>
          <w:b/>
          <w:sz w:val="26"/>
          <w:szCs w:val="24"/>
        </w:rPr>
        <w:t xml:space="preserve">2.  </w:t>
      </w:r>
      <w:bookmarkStart w:id="14" w:name="frameworks"/>
      <w:r>
        <w:rPr>
          <w:rFonts w:ascii="Georgia" w:hAnsi="Georgia" w:cs="Helvetica"/>
          <w:b/>
          <w:sz w:val="26"/>
          <w:szCs w:val="24"/>
        </w:rPr>
        <w:t>frameworks</w:t>
      </w:r>
      <w:bookmarkEnd w:id="14"/>
    </w:p>
    <w:p w14:paraId="3AEEF028"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sz w:val="26"/>
          <w:szCs w:val="24"/>
        </w:rPr>
      </w:pPr>
    </w:p>
    <w:p w14:paraId="7B7FF14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bookmarkStart w:id="15" w:name="reparative_reading"/>
      <w:r>
        <w:rPr>
          <w:rFonts w:ascii="TimesNewRomanPSMT" w:hAnsi="TimesNewRomanPSMT" w:cs="Helvetica"/>
          <w:sz w:val="24"/>
          <w:szCs w:val="24"/>
        </w:rPr>
        <w:t>The</w:t>
      </w:r>
      <w:bookmarkEnd w:id="15"/>
      <w:r>
        <w:rPr>
          <w:rFonts w:ascii="TimesNewRomanPSMT" w:hAnsi="TimesNewRomanPSMT" w:cs="Helvetica"/>
          <w:sz w:val="24"/>
          <w:szCs w:val="24"/>
        </w:rPr>
        <w:t xml:space="preserve"> theoretical frameworks of this dissertation are drawn from the fields of feminist DH and queer DH, and from non-DH schools of thought which seem to offer valuable tools. My core motivating framework, as I conceptualize my work, is that of reparative readi</w:t>
      </w:r>
      <w:r>
        <w:rPr>
          <w:rFonts w:ascii="TimesNewRomanPSMT" w:hAnsi="TimesNewRomanPSMT" w:cs="Helvetica"/>
          <w:sz w:val="24"/>
          <w:szCs w:val="24"/>
        </w:rPr>
        <w:t>ng. Eve Sedgwick’s “Paranoid Reading and Reparative Reading” persuasively describes in the dominance of paranoia in literary criticism, and attempts to sketch an alternative in what she terms reparative reading. A paranoid rhetoric of exposure and critique</w:t>
      </w:r>
      <w:r>
        <w:rPr>
          <w:rFonts w:ascii="TimesNewRomanPSMT" w:hAnsi="TimesNewRomanPSMT" w:cs="Helvetica"/>
          <w:sz w:val="24"/>
          <w:szCs w:val="24"/>
        </w:rPr>
        <w:t xml:space="preserve"> strikes me as the most obvious narrative to structure this dissertation’s investigation of the uneven institutional valuation of different </w:t>
      </w:r>
      <w:r>
        <w:rPr>
          <w:rFonts w:ascii="TimesNewRomanPSMT" w:hAnsi="TimesNewRomanPSMT" w:cs="Helvetica"/>
          <w:sz w:val="24"/>
          <w:szCs w:val="24"/>
        </w:rPr>
        <w:lastRenderedPageBreak/>
        <w:t>writing. However, these obvious critiques also require rejecting many generations of sincere work by my fellow acade</w:t>
      </w:r>
      <w:r>
        <w:rPr>
          <w:rFonts w:ascii="TimesNewRomanPSMT" w:hAnsi="TimesNewRomanPSMT" w:cs="Helvetica"/>
          <w:sz w:val="24"/>
          <w:szCs w:val="24"/>
        </w:rPr>
        <w:t>mics, without necessarily offering new discoveries of value to replace them. One experiment of this project, not yet complete, is to articulate an assessment of the limitations of contemporary digital resources which nonetheless allows those resources to b</w:t>
      </w:r>
      <w:r>
        <w:rPr>
          <w:rFonts w:ascii="TimesNewRomanPSMT" w:hAnsi="TimesNewRomanPSMT" w:cs="Helvetica"/>
          <w:sz w:val="24"/>
          <w:szCs w:val="24"/>
        </w:rPr>
        <w:t xml:space="preserve">e recuperated. My touchstones are two descriptions from Sedgwick’s original chapter:  </w:t>
      </w:r>
    </w:p>
    <w:p w14:paraId="76589E0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40B2DC4A" w14:textId="77777777" w:rsidR="002F0BEE" w:rsidRDefault="00B67DD8">
      <w:pPr>
        <w:pStyle w:val="BlockQuote"/>
        <w:rPr>
          <w:rFonts w:ascii="TimesNewRomanPSMT" w:hAnsi="TimesNewRomanPSMT" w:cs="Helvetica"/>
          <w:szCs w:val="24"/>
        </w:rPr>
      </w:pPr>
      <w:r>
        <w:rPr>
          <w:rFonts w:ascii="TimesNewRomanPSMT" w:hAnsi="TimesNewRomanPSMT" w:cs="Helvetica"/>
          <w:szCs w:val="24"/>
        </w:rPr>
        <w:t>The desire of a reparative impulse... is additive and accretive. Its fear, a realistic one, is that the culture surrounding it is inadequate or inimical to its nurture;</w:t>
      </w:r>
      <w:r>
        <w:rPr>
          <w:rFonts w:ascii="TimesNewRomanPSMT" w:hAnsi="TimesNewRomanPSMT" w:cs="Helvetica"/>
          <w:szCs w:val="24"/>
        </w:rPr>
        <w:t xml:space="preserve"> it wants to assemble and confer plenitude to an object that will then have resources to offer to an inchoate self. (149)</w:t>
      </w:r>
    </w:p>
    <w:p w14:paraId="28B9DED2" w14:textId="77777777" w:rsidR="002F0BEE" w:rsidRDefault="002F0BEE">
      <w:pPr>
        <w:pStyle w:val="BlockQuote"/>
        <w:rPr>
          <w:rFonts w:ascii="TimesNewRomanPSMT" w:hAnsi="TimesNewRomanPSMT" w:cs="Helvetica"/>
          <w:szCs w:val="24"/>
        </w:rPr>
      </w:pPr>
    </w:p>
    <w:p w14:paraId="7DA5F341" w14:textId="77777777" w:rsidR="002F0BEE" w:rsidRDefault="00B67DD8">
      <w:pPr>
        <w:pStyle w:val="BlockQuote"/>
        <w:rPr>
          <w:rFonts w:ascii="TimesNewRomanPSMT" w:hAnsi="TimesNewRomanPSMT" w:cs="Helvetica"/>
          <w:szCs w:val="24"/>
        </w:rPr>
      </w:pPr>
      <w:r>
        <w:rPr>
          <w:rFonts w:ascii="TimesNewRomanPSMT" w:hAnsi="TimesNewRomanPSMT" w:cs="Helvetica"/>
          <w:szCs w:val="24"/>
        </w:rPr>
        <w:t>What we can best learn from such practices are, perhaps, the many ways selves and communities succeed in extracting sustenance from t</w:t>
      </w:r>
      <w:r>
        <w:rPr>
          <w:rFonts w:ascii="TimesNewRomanPSMT" w:hAnsi="TimesNewRomanPSMT" w:cs="Helvetica"/>
          <w:szCs w:val="24"/>
        </w:rPr>
        <w:t>he objects of a culture - even of a culture whose avowed desire has often been not to sustain them. (150-151)</w:t>
      </w:r>
    </w:p>
    <w:p w14:paraId="62720411" w14:textId="77777777" w:rsidR="002F0BEE" w:rsidRDefault="002F0BEE">
      <w:pPr>
        <w:pStyle w:val="BlockQuote"/>
        <w:rPr>
          <w:rFonts w:ascii="TimesNewRomanPSMT" w:hAnsi="TimesNewRomanPSMT" w:cs="Helvetica"/>
          <w:szCs w:val="24"/>
        </w:rPr>
      </w:pPr>
    </w:p>
    <w:p w14:paraId="4B12D8F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r>
        <w:rPr>
          <w:rFonts w:ascii="TimesNewRomanPSMT" w:hAnsi="TimesNewRomanPSMT" w:cs="Helvetica"/>
          <w:sz w:val="24"/>
          <w:szCs w:val="24"/>
        </w:rPr>
        <w:t>What Sedgwick describes, here, is a “desire,” not a methodology. I therefore understand “reparative reading” to refer, not to a precise set of pr</w:t>
      </w:r>
      <w:r>
        <w:rPr>
          <w:rFonts w:ascii="TimesNewRomanPSMT" w:hAnsi="TimesNewRomanPSMT" w:cs="Helvetica"/>
          <w:sz w:val="24"/>
          <w:szCs w:val="24"/>
        </w:rPr>
        <w:t xml:space="preserve">actices, but to a position one might occupy in relation to a text. What I posit is also a desire: that my methods here can provide useful practices for others. The reparative position is a generous one, both in terms of giving of oneself to a text, and in </w:t>
      </w:r>
      <w:r>
        <w:rPr>
          <w:rFonts w:ascii="TimesNewRomanPSMT" w:hAnsi="TimesNewRomanPSMT" w:cs="Helvetica"/>
          <w:sz w:val="24"/>
          <w:szCs w:val="24"/>
        </w:rPr>
        <w:t xml:space="preserve">terms of seeking a text’s strengths over its weaknesses. What I learn from Sedgwick, therefore, that </w:t>
      </w:r>
      <w:r>
        <w:rPr>
          <w:rFonts w:ascii="TimesNewRomanPSMT" w:hAnsi="TimesNewRomanPSMT" w:cs="Helvetica"/>
          <w:i/>
          <w:sz w:val="24"/>
          <w:szCs w:val="24"/>
        </w:rPr>
        <w:t>attention</w:t>
      </w:r>
      <w:r>
        <w:rPr>
          <w:rFonts w:ascii="TimesNewRomanPSMT" w:hAnsi="TimesNewRomanPSMT" w:cs="Helvetica"/>
          <w:sz w:val="24"/>
          <w:szCs w:val="24"/>
        </w:rPr>
        <w:t xml:space="preserve"> is the first step toward </w:t>
      </w:r>
      <w:r>
        <w:rPr>
          <w:rFonts w:ascii="TimesNewRomanPSMT" w:hAnsi="TimesNewRomanPSMT" w:cs="Helvetica"/>
          <w:i/>
          <w:sz w:val="24"/>
          <w:szCs w:val="24"/>
        </w:rPr>
        <w:t>caring</w:t>
      </w:r>
      <w:r>
        <w:rPr>
          <w:rFonts w:ascii="TimesNewRomanPSMT" w:hAnsi="TimesNewRomanPSMT" w:cs="Helvetica"/>
          <w:sz w:val="24"/>
          <w:szCs w:val="24"/>
        </w:rPr>
        <w:t>, and that non-judgment can be more informative than rejection.</w:t>
      </w:r>
    </w:p>
    <w:p w14:paraId="2D1A5EF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67B8E38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6" w:name="felski_surface_readers"/>
      <w:r>
        <w:rPr>
          <w:rFonts w:ascii="TimesNewRomanPSMT" w:hAnsi="TimesNewRomanPSMT" w:cs="Helvetica"/>
          <w:sz w:val="24"/>
          <w:szCs w:val="24"/>
        </w:rPr>
        <w:t>I</w:t>
      </w:r>
      <w:bookmarkEnd w:id="16"/>
      <w:r>
        <w:rPr>
          <w:rFonts w:ascii="TimesNewRomanPSMT" w:hAnsi="TimesNewRomanPSMT" w:cs="Helvetica"/>
          <w:sz w:val="24"/>
          <w:szCs w:val="24"/>
        </w:rPr>
        <w:t xml:space="preserve"> have mentioned moving away from critique as wel</w:t>
      </w:r>
      <w:r>
        <w:rPr>
          <w:rFonts w:ascii="TimesNewRomanPSMT" w:hAnsi="TimesNewRomanPSMT" w:cs="Helvetica"/>
          <w:sz w:val="24"/>
          <w:szCs w:val="24"/>
        </w:rPr>
        <w:t xml:space="preserve">l as from paranoia: in rethinking the role </w:t>
      </w:r>
      <w:r>
        <w:rPr>
          <w:rFonts w:ascii="TimesNewRomanPSMT" w:hAnsi="TimesNewRomanPSMT" w:cs="Helvetica"/>
          <w:sz w:val="24"/>
          <w:szCs w:val="24"/>
        </w:rPr>
        <w:lastRenderedPageBreak/>
        <w:t xml:space="preserve">of critique, I draw upon the work of Rita Felski, and the theories of “surface reading” described by Sharon Marcus, Stephen Best, and Heather Love. Felski, in her article “After Suspicion” and then further in her </w:t>
      </w:r>
      <w:r>
        <w:rPr>
          <w:rFonts w:ascii="TimesNewRomanPSMT" w:hAnsi="TimesNewRomanPSMT" w:cs="Helvetica"/>
          <w:sz w:val="24"/>
          <w:szCs w:val="24"/>
        </w:rPr>
        <w:t xml:space="preserve">monograph </w:t>
      </w:r>
      <w:r>
        <w:rPr>
          <w:rFonts w:ascii="TimesNewRomanPSMT" w:hAnsi="TimesNewRomanPSMT" w:cs="Helvetica"/>
          <w:i/>
          <w:sz w:val="24"/>
          <w:szCs w:val="24"/>
        </w:rPr>
        <w:t>The Limits of Critique</w:t>
      </w:r>
      <w:r>
        <w:rPr>
          <w:rFonts w:ascii="TimesNewRomanPSMT" w:hAnsi="TimesNewRomanPSMT" w:cs="Helvetica"/>
          <w:sz w:val="24"/>
          <w:szCs w:val="24"/>
        </w:rPr>
        <w:t>, seeks to attend seriously to literary attachments, including our own attachments as critics. Felski’s approach to these attachments is essentially sociological, drawing heavily on Bruno Latour’s actor-network-theory, and t</w:t>
      </w:r>
      <w:r>
        <w:rPr>
          <w:rFonts w:ascii="TimesNewRomanPSMT" w:hAnsi="TimesNewRomanPSMT" w:cs="Helvetica"/>
          <w:sz w:val="24"/>
          <w:szCs w:val="24"/>
        </w:rPr>
        <w:t xml:space="preserve">hus involves almost no close reading. “Surface reading” positions itself as an alternative to “symptomatic reading”; rather than seeking to expose hidden truths concealed within texts, it attempts accurate descriptions that “make visible what is invisible </w:t>
      </w:r>
      <w:r>
        <w:rPr>
          <w:rFonts w:ascii="TimesNewRomanPSMT" w:hAnsi="TimesNewRomanPSMT" w:cs="Helvetica"/>
          <w:sz w:val="24"/>
          <w:szCs w:val="24"/>
        </w:rPr>
        <w:t xml:space="preserve">only because it's too much on the surface of things” (Best 13). The analogues to reparative and paranoid reading are obvious, but not perfect: </w:t>
      </w:r>
      <w:commentRangeStart w:id="17"/>
      <w:r>
        <w:rPr>
          <w:rFonts w:ascii="TimesNewRomanPSMT" w:hAnsi="TimesNewRomanPSMT" w:cs="Helvetica"/>
          <w:sz w:val="24"/>
          <w:szCs w:val="24"/>
        </w:rPr>
        <w:fldChar w:fldCharType="begin"/>
      </w:r>
      <w:r>
        <w:rPr>
          <w:rFonts w:ascii="TimesNewRomanPSMT" w:hAnsi="TimesNewRomanPSMT" w:cs="Helvetica"/>
          <w:sz w:val="24"/>
          <w:szCs w:val="24"/>
        </w:rPr>
        <w:instrText>HYPERLINK "scrivcmt://0977C0DE-D6DA-43BF-975D-159F2F065096"</w:instrText>
      </w:r>
      <w:r>
        <w:rPr>
          <w:rFonts w:ascii="TimesNewRomanPSMT" w:hAnsi="TimesNewRomanPSMT" w:cs="Helvetica"/>
          <w:sz w:val="24"/>
          <w:szCs w:val="24"/>
        </w:rPr>
        <w:fldChar w:fldCharType="separate"/>
      </w:r>
      <w:r>
        <w:rPr>
          <w:rFonts w:ascii="TimesNewRomanPSMT" w:hAnsi="TimesNewRomanPSMT" w:cs="Helvetica"/>
          <w:sz w:val="24"/>
          <w:szCs w:val="24"/>
        </w:rPr>
        <w:t>all paranoid reading is symptomatic, but not all sympt</w:t>
      </w:r>
      <w:r>
        <w:rPr>
          <w:rFonts w:ascii="TimesNewRomanPSMT" w:hAnsi="TimesNewRomanPSMT" w:cs="Helvetica"/>
          <w:sz w:val="24"/>
          <w:szCs w:val="24"/>
        </w:rPr>
        <w:t>omatic reading is paranoid</w:t>
      </w:r>
      <w:r>
        <w:rPr>
          <w:rFonts w:ascii="TimesNewRomanPSMT" w:hAnsi="TimesNewRomanPSMT" w:cs="Helvetica"/>
          <w:sz w:val="24"/>
          <w:szCs w:val="24"/>
        </w:rPr>
        <w:fldChar w:fldCharType="end"/>
      </w:r>
      <w:commentRangeEnd w:id="17"/>
      <w:r>
        <w:rPr>
          <w:rFonts w:ascii="TimesNewRomanPSMT" w:hAnsi="TimesNewRomanPSMT" w:cs="Helvetica"/>
          <w:sz w:val="24"/>
          <w:szCs w:val="24"/>
        </w:rPr>
        <w:commentReference w:id="17"/>
      </w:r>
      <w:r>
        <w:rPr>
          <w:rFonts w:ascii="TimesNewRomanPSMT" w:hAnsi="TimesNewRomanPSMT" w:cs="Helvetica"/>
          <w:kern w:val="1"/>
          <w:sz w:val="24"/>
          <w:szCs w:val="24"/>
        </w:rPr>
        <w:t>. Reparative reading, as described by Sedgwick, is often still interested in ‘deep’ meanings of texts, in which striking textual features can be interpreted to locate additional meanings. Felski’s readings are often symptoma</w:t>
      </w:r>
      <w:r>
        <w:rPr>
          <w:rFonts w:ascii="TimesNewRomanPSMT" w:hAnsi="TimesNewRomanPSMT" w:cs="Helvetica"/>
          <w:kern w:val="1"/>
          <w:sz w:val="24"/>
          <w:szCs w:val="24"/>
        </w:rPr>
        <w:t>tic in this way. In contrast, “surface reading,” as Heather Love describes, pursues “a turn away from the singularity and richness of individual texts” (374), seeking descriptions that are “complex and variegated, but not rich, warm, or deep” (378). Love’s</w:t>
      </w:r>
      <w:r>
        <w:rPr>
          <w:rFonts w:ascii="TimesNewRomanPSMT" w:hAnsi="TimesNewRomanPSMT" w:cs="Helvetica"/>
          <w:kern w:val="1"/>
          <w:sz w:val="24"/>
          <w:szCs w:val="24"/>
        </w:rPr>
        <w:t xml:space="preserve"> disavowal of “richness” here is part of her attempt to move away from “the ethical charisma of the literary translator or messenger” (374) who characterizes the paranoid, critical figure that both Sedgwick and Felski also seek to escape.</w:t>
      </w:r>
    </w:p>
    <w:p w14:paraId="3AFE3AD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62420CC" w14:textId="77777777" w:rsidR="002F0BEE" w:rsidRDefault="00B67DD8">
      <w:pPr>
        <w:pStyle w:val="Paragraph"/>
        <w:rPr>
          <w:rFonts w:cs="Helvetica"/>
          <w:szCs w:val="24"/>
        </w:rPr>
      </w:pPr>
      <w:r>
        <w:rPr>
          <w:rFonts w:cs="Helvetica"/>
          <w:szCs w:val="24"/>
          <w:highlight w:val="white"/>
        </w:rPr>
        <w:t>Love’s later article, “Close Reading and Thin Description,” provides a more precise articulation of the kind of close reading that she calls for, in which an “exhaustive, fine-grained attention to phenomena” (404) enables “taking up the position of the dev</w:t>
      </w:r>
      <w:r>
        <w:rPr>
          <w:rFonts w:cs="Helvetica"/>
          <w:szCs w:val="24"/>
          <w:highlight w:val="white"/>
        </w:rPr>
        <w:t xml:space="preserve">ice; by turning oneself into a camera, one could—at least ideally—pay equal attention to every aspect of a scene that is available to the senses and record it faithfully” (407). Although Love is uninterested in “distant reading” as synonymous with Moretti </w:t>
      </w:r>
      <w:r>
        <w:rPr>
          <w:rFonts w:cs="Helvetica"/>
          <w:szCs w:val="24"/>
          <w:highlight w:val="white"/>
        </w:rPr>
        <w:t xml:space="preserve">(Love 411), this invocation of the mechanical implies, I argue, an obvious potential for computation. The actual </w:t>
      </w:r>
      <w:r>
        <w:rPr>
          <w:rFonts w:cs="Helvetica"/>
          <w:i/>
          <w:szCs w:val="24"/>
          <w:highlight w:val="white"/>
        </w:rPr>
        <w:t>practice</w:t>
      </w:r>
      <w:r>
        <w:rPr>
          <w:rFonts w:cs="Helvetica"/>
          <w:szCs w:val="24"/>
          <w:highlight w:val="white"/>
        </w:rPr>
        <w:t xml:space="preserve"> of computational research </w:t>
      </w:r>
      <w:r>
        <w:rPr>
          <w:rFonts w:cs="Helvetica"/>
          <w:szCs w:val="24"/>
          <w:highlight w:val="white"/>
        </w:rPr>
        <w:lastRenderedPageBreak/>
        <w:t>requires a great deal of laborious, intimate encoding. The researcher must occupy a “mechanical” position of</w:t>
      </w:r>
      <w:r>
        <w:rPr>
          <w:rFonts w:cs="Helvetica"/>
          <w:szCs w:val="24"/>
          <w:highlight w:val="white"/>
        </w:rPr>
        <w:t xml:space="preserve"> receiving inputs and responding to them consistently over time, whether entering details in a spreadsheet with a consistent taxonomy or running the same program over multiple datasets.</w:t>
      </w:r>
      <w:r>
        <w:rPr>
          <w:rFonts w:cs="Helvetica"/>
          <w:szCs w:val="24"/>
          <w:highlight w:val="white"/>
          <w:vertAlign w:val="superscript"/>
        </w:rPr>
        <w:footnoteReference w:id="9"/>
      </w:r>
      <w:r>
        <w:rPr>
          <w:rFonts w:cs="Helvetica"/>
          <w:szCs w:val="24"/>
          <w:highlight w:val="white"/>
        </w:rPr>
        <w:t xml:space="preserve"> </w:t>
      </w:r>
      <w:bookmarkStart w:id="18" w:name="computation_reveals_assumption"/>
      <w:r>
        <w:rPr>
          <w:rFonts w:cs="Helvetica"/>
          <w:szCs w:val="24"/>
          <w:highlight w:val="white"/>
        </w:rPr>
        <w:t>Love</w:t>
      </w:r>
      <w:bookmarkEnd w:id="18"/>
      <w:r>
        <w:rPr>
          <w:rFonts w:cs="Helvetica"/>
          <w:szCs w:val="24"/>
          <w:highlight w:val="white"/>
        </w:rPr>
        <w:t xml:space="preserve"> says:</w:t>
      </w:r>
    </w:p>
    <w:p w14:paraId="730B1204" w14:textId="77777777" w:rsidR="002F0BEE" w:rsidRDefault="002F0BEE">
      <w:pPr>
        <w:pStyle w:val="Paragraph"/>
        <w:rPr>
          <w:rFonts w:cs="Helvetica"/>
          <w:szCs w:val="24"/>
        </w:rPr>
      </w:pPr>
    </w:p>
    <w:p w14:paraId="0ABF107A" w14:textId="77777777" w:rsidR="002F0BEE" w:rsidRDefault="00B67DD8">
      <w:pPr>
        <w:pStyle w:val="BlockQuote"/>
        <w:rPr>
          <w:rFonts w:ascii="TimesNewRomanPSMT" w:hAnsi="TimesNewRomanPSMT" w:cs="Helvetica"/>
          <w:szCs w:val="24"/>
        </w:rPr>
      </w:pPr>
      <w:r>
        <w:rPr>
          <w:rFonts w:ascii="TimesNewRomanPSMT" w:hAnsi="TimesNewRomanPSMT" w:cs="Helvetica"/>
          <w:szCs w:val="24"/>
          <w:highlight w:val="white"/>
        </w:rPr>
        <w:t>Good descriptions are in a sense rich, but not because th</w:t>
      </w:r>
      <w:r>
        <w:rPr>
          <w:rFonts w:ascii="TimesNewRomanPSMT" w:hAnsi="TimesNewRomanPSMT" w:cs="Helvetica"/>
          <w:szCs w:val="24"/>
          <w:highlight w:val="white"/>
        </w:rPr>
        <w:t>ey truck with imponderables like human experience or human nature. They are close, but they are not deep; rather than adding anything ‘extra’ to the description, they account for the real variety that is already there. (377)</w:t>
      </w:r>
    </w:p>
    <w:p w14:paraId="5EE7D6E2" w14:textId="77777777" w:rsidR="002F0BEE" w:rsidRDefault="002F0BEE">
      <w:pPr>
        <w:pStyle w:val="BlockQuote"/>
        <w:rPr>
          <w:rFonts w:ascii="TimesNewRomanPSMT" w:hAnsi="TimesNewRomanPSMT" w:cs="Helvetica"/>
          <w:szCs w:val="24"/>
        </w:rPr>
      </w:pPr>
    </w:p>
    <w:p w14:paraId="7F2B8FA3" w14:textId="77777777" w:rsidR="002F0BEE" w:rsidRDefault="00B67DD8">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sz w:val="22"/>
          <w:szCs w:val="24"/>
        </w:rPr>
      </w:pPr>
      <w:r>
        <w:rPr>
          <w:rFonts w:ascii="Georgia" w:hAnsi="Georgia" w:cs="Helvetica"/>
          <w:sz w:val="22"/>
          <w:szCs w:val="24"/>
          <w:highlight w:val="white"/>
        </w:rPr>
        <w:t>A computational model is unlik</w:t>
      </w:r>
      <w:r>
        <w:rPr>
          <w:rFonts w:ascii="Georgia" w:hAnsi="Georgia" w:cs="Helvetica"/>
          <w:sz w:val="22"/>
          <w:szCs w:val="24"/>
          <w:highlight w:val="white"/>
        </w:rPr>
        <w:t xml:space="preserve">ely to “truck with imponderables,” but it </w:t>
      </w:r>
      <w:r>
        <w:rPr>
          <w:rFonts w:ascii="Georgia" w:hAnsi="Georgia" w:cs="Helvetica"/>
          <w:i/>
          <w:sz w:val="22"/>
          <w:szCs w:val="24"/>
          <w:highlight w:val="white"/>
        </w:rPr>
        <w:t>absolutely</w:t>
      </w:r>
      <w:r>
        <w:rPr>
          <w:rFonts w:ascii="Georgia" w:hAnsi="Georgia" w:cs="Helvetica"/>
          <w:sz w:val="22"/>
          <w:szCs w:val="24"/>
          <w:highlight w:val="white"/>
        </w:rPr>
        <w:t xml:space="preserve"> </w:t>
      </w:r>
      <w:r>
        <w:rPr>
          <w:rFonts w:ascii="Georgia" w:hAnsi="Georgia" w:cs="Helvetica"/>
          <w:i/>
          <w:sz w:val="22"/>
          <w:szCs w:val="24"/>
          <w:highlight w:val="white"/>
        </w:rPr>
        <w:t>must</w:t>
      </w:r>
      <w:r>
        <w:rPr>
          <w:rFonts w:ascii="Georgia" w:hAnsi="Georgia" w:cs="Helvetica"/>
          <w:sz w:val="22"/>
          <w:szCs w:val="24"/>
          <w:highlight w:val="white"/>
        </w:rPr>
        <w:t xml:space="preserve"> “account for the real variety that is already there” or else the code will simply fail to run. If you are forced to manually encode your assumptions into a system, you are forced to confront what th</w:t>
      </w:r>
      <w:r>
        <w:rPr>
          <w:rFonts w:ascii="Georgia" w:hAnsi="Georgia" w:cs="Helvetica"/>
          <w:sz w:val="22"/>
          <w:szCs w:val="24"/>
          <w:highlight w:val="white"/>
        </w:rPr>
        <w:t>ey are. Even deleting or ignoring information is still a way of “accounting for” it in the coding process: some part of the program will have to say, in effect, ‘if I get an input that doesn’t match what I expect, discard it.’ Choosing to ignore contradict</w:t>
      </w:r>
      <w:r>
        <w:rPr>
          <w:rFonts w:ascii="Georgia" w:hAnsi="Georgia" w:cs="Helvetica"/>
          <w:sz w:val="22"/>
          <w:szCs w:val="24"/>
          <w:highlight w:val="white"/>
        </w:rPr>
        <w:t>ory or difficult information carries the assumption that this information does not ‘count,’ or does not matter to the question at hand. The choice faced by scholars is how to address our encoded assumptions. The encounter with variety does not in itself pr</w:t>
      </w:r>
      <w:r>
        <w:rPr>
          <w:rFonts w:ascii="Georgia" w:hAnsi="Georgia" w:cs="Helvetica"/>
          <w:sz w:val="22"/>
          <w:szCs w:val="24"/>
          <w:highlight w:val="white"/>
        </w:rPr>
        <w:t>oduce nuanced results: it is possible to selectively ignore any uncomfortable details. But it is also possible to do computation reflectively, asking not “how can I make this work the way I want?” but “where do my assumptions encounter resistance?” and tur</w:t>
      </w:r>
      <w:r>
        <w:rPr>
          <w:rFonts w:ascii="Georgia" w:hAnsi="Georgia" w:cs="Helvetica"/>
          <w:sz w:val="22"/>
          <w:szCs w:val="24"/>
          <w:highlight w:val="white"/>
        </w:rPr>
        <w:t xml:space="preserve">ning one’s attention to the nature of the resistance. Integrating this reflection into the research process can allow a scholar to avoid both the pitfalls of “conquering” their material and of claiming an algorithmic grasp of “objective” truth. </w:t>
      </w:r>
    </w:p>
    <w:p w14:paraId="453263DD" w14:textId="77777777" w:rsidR="002F0BEE" w:rsidRDefault="002F0BEE">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sz w:val="22"/>
          <w:szCs w:val="24"/>
        </w:rPr>
      </w:pPr>
    </w:p>
    <w:p w14:paraId="392DF4AB"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2.1.  </w:t>
      </w:r>
      <w:bookmarkStart w:id="19" w:name="distant_reading_without_Morett"/>
      <w:r>
        <w:rPr>
          <w:rFonts w:ascii="Georgia" w:hAnsi="Georgia" w:cs="Helvetica"/>
          <w:b/>
          <w:kern w:val="1"/>
          <w:sz w:val="26"/>
          <w:szCs w:val="24"/>
        </w:rPr>
        <w:t>distant reading without Moretti</w:t>
      </w:r>
      <w:bookmarkEnd w:id="19"/>
    </w:p>
    <w:p w14:paraId="331026BA"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0DAA88E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To bring these principles into the field of Digital Humanities by way of an example, I want to offer an alternative geneaology for the practice of distant reading itself. Rachel Buurma and </w:t>
      </w:r>
      <w:r>
        <w:rPr>
          <w:rFonts w:ascii="TimesNewRomanPSMT" w:hAnsi="TimesNewRomanPSMT" w:cs="Helvetica"/>
          <w:kern w:val="1"/>
          <w:sz w:val="24"/>
          <w:szCs w:val="24"/>
        </w:rPr>
        <w:lastRenderedPageBreak/>
        <w:t xml:space="preserve">Laura Heffernen provide a valuable </w:t>
      </w:r>
      <w:commentRangeStart w:id="20"/>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"scrivcmt://C5CF7869-3</w:instrText>
      </w:r>
      <w:r>
        <w:rPr>
          <w:rFonts w:ascii="TimesNewRomanPSMT" w:hAnsi="TimesNewRomanPSMT" w:cs="Helvetica"/>
          <w:kern w:val="1"/>
          <w:sz w:val="24"/>
          <w:szCs w:val="24"/>
        </w:rPr>
        <w:instrText>205-4406-AB54-3597FE61601D"</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history</w:t>
      </w:r>
      <w:r>
        <w:rPr>
          <w:rFonts w:ascii="TimesNewRomanPSMT" w:hAnsi="TimesNewRomanPSMT" w:cs="Helvetica"/>
          <w:kern w:val="1"/>
          <w:sz w:val="24"/>
          <w:szCs w:val="24"/>
        </w:rPr>
        <w:fldChar w:fldCharType="end"/>
      </w:r>
      <w:commentRangeEnd w:id="20"/>
      <w:r>
        <w:rPr>
          <w:rFonts w:ascii="TimesNewRomanPSMT" w:hAnsi="TimesNewRomanPSMT" w:cs="Helvetica"/>
          <w:kern w:val="1"/>
          <w:sz w:val="24"/>
          <w:szCs w:val="24"/>
        </w:rPr>
        <w:commentReference w:id="20"/>
      </w:r>
      <w:r>
        <w:rPr>
          <w:rFonts w:ascii="TimesNewRomanPSMT" w:hAnsi="TimesNewRomanPSMT" w:cs="Helvetica"/>
          <w:kern w:val="1"/>
          <w:sz w:val="24"/>
          <w:szCs w:val="24"/>
        </w:rPr>
        <w:t xml:space="preserve"> of Josephine Miles as the first ‘distant reader’. Miles’ history, briefly, is as follows:</w:t>
      </w:r>
    </w:p>
    <w:p w14:paraId="6253163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888A921" w14:textId="77777777" w:rsidR="002F0BEE" w:rsidRDefault="00B67DD8">
      <w:pPr>
        <w:pStyle w:val="BlockQuote"/>
        <w:rPr>
          <w:rFonts w:ascii="TimesNewRomanPSMT" w:hAnsi="TimesNewRomanPSMT" w:cs="Helvetica"/>
          <w:kern w:val="1"/>
          <w:szCs w:val="24"/>
        </w:rPr>
      </w:pPr>
      <w:r>
        <w:rPr>
          <w:rFonts w:ascii="TimesNewRomanPSMT" w:hAnsi="TimesNewRomanPSMT" w:cs="Helvetica"/>
          <w:kern w:val="1"/>
          <w:szCs w:val="24"/>
        </w:rPr>
        <w:t>In the 1930s, as a graduate student at Berkeley, she completed her first distant reading project: an analysis of the adjecti</w:t>
      </w:r>
      <w:r>
        <w:rPr>
          <w:rFonts w:ascii="TimesNewRomanPSMT" w:hAnsi="TimesNewRomanPSMT" w:cs="Helvetica"/>
          <w:kern w:val="1"/>
          <w:szCs w:val="24"/>
        </w:rPr>
        <w:t>ves favored by Romantic poets. In the 1940s, with the aid of a Guggenheim, she expanded this work into a large-scale study of the phrasal forms of the poetry of the 1640s, 1740s, and 1840s. In all of this distant reading work, Miles created her tabulations</w:t>
      </w:r>
      <w:r>
        <w:rPr>
          <w:rFonts w:ascii="TimesNewRomanPSMT" w:hAnsi="TimesNewRomanPSMT" w:cs="Helvetica"/>
          <w:kern w:val="1"/>
          <w:szCs w:val="24"/>
        </w:rPr>
        <w:t xml:space="preserve"> by hand, with pen and graph paper. She also directed possibly the first literary concordance to use machine methods. In the early 1950s, Miles became project director of an abandoned index-card-based Concordance to the Poetical Works of John Dryden. Partn</w:t>
      </w:r>
      <w:r>
        <w:rPr>
          <w:rFonts w:ascii="TimesNewRomanPSMT" w:hAnsi="TimesNewRomanPSMT" w:cs="Helvetica"/>
          <w:kern w:val="1"/>
          <w:szCs w:val="24"/>
        </w:rPr>
        <w:t>ering with the Electrical Engineering department at Berkeley, and contracting with their computer lab and its IBM tabulation machine, Miles used machine methods to complete the concordance. It was published in 1957, six years after she and several woman gr</w:t>
      </w:r>
      <w:r>
        <w:rPr>
          <w:rFonts w:ascii="TimesNewRomanPSMT" w:hAnsi="TimesNewRomanPSMT" w:cs="Helvetica"/>
          <w:kern w:val="1"/>
          <w:szCs w:val="24"/>
        </w:rPr>
        <w:t>aduate students and woman punch-card operators began the work. It was thus begun around the time that Busa circulated early proof-of-concept drafts of his concordance to the complete works of St. Thomas Aquinas, and published 17 years before the first volu</w:t>
      </w:r>
      <w:r>
        <w:rPr>
          <w:rFonts w:ascii="TimesNewRomanPSMT" w:hAnsi="TimesNewRomanPSMT" w:cs="Helvetica"/>
          <w:kern w:val="1"/>
          <w:szCs w:val="24"/>
        </w:rPr>
        <w:t>mes of the 56-volume Index Thomasticus began to appear. (Buurma and Heffernan)</w:t>
      </w:r>
    </w:p>
    <w:p w14:paraId="1DCD2CB5" w14:textId="77777777" w:rsidR="002F0BEE" w:rsidRDefault="002F0BEE">
      <w:pPr>
        <w:pStyle w:val="BlockQuote"/>
        <w:rPr>
          <w:rFonts w:ascii="TimesNewRomanPSMT" w:hAnsi="TimesNewRomanPSMT" w:cs="Helvetica"/>
          <w:kern w:val="1"/>
          <w:szCs w:val="24"/>
        </w:rPr>
      </w:pPr>
    </w:p>
    <w:p w14:paraId="6338EDCC" w14:textId="77777777" w:rsidR="002F0BEE" w:rsidRDefault="00B67DD8">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kern w:val="1"/>
          <w:sz w:val="22"/>
          <w:szCs w:val="24"/>
        </w:rPr>
      </w:pPr>
      <w:r>
        <w:rPr>
          <w:rFonts w:ascii="Georgia" w:hAnsi="Georgia" w:cs="Helvetica"/>
          <w:kern w:val="1"/>
          <w:sz w:val="22"/>
          <w:szCs w:val="24"/>
        </w:rPr>
        <w:t xml:space="preserve">Buurma and Heffernan bring Miles’ history to our attention not simply because Miles predates  Roberto Busa, whose </w:t>
      </w:r>
      <w:r>
        <w:rPr>
          <w:rFonts w:ascii="Georgia" w:hAnsi="Georgia" w:cs="Helvetica"/>
          <w:i/>
          <w:kern w:val="1"/>
          <w:sz w:val="22"/>
          <w:szCs w:val="24"/>
        </w:rPr>
        <w:t>Index Thomisticus</w:t>
      </w:r>
      <w:r>
        <w:rPr>
          <w:rFonts w:ascii="Georgia" w:hAnsi="Georgia" w:cs="Helvetica"/>
          <w:kern w:val="1"/>
          <w:sz w:val="22"/>
          <w:szCs w:val="24"/>
        </w:rPr>
        <w:t xml:space="preserve"> is often credited as the first large-scale computational literary study.</w:t>
      </w:r>
      <w:r>
        <w:rPr>
          <w:rFonts w:ascii="Georgia" w:hAnsi="Georgia" w:cs="Helvetica"/>
          <w:kern w:val="1"/>
          <w:sz w:val="22"/>
          <w:szCs w:val="24"/>
          <w:vertAlign w:val="superscript"/>
        </w:rPr>
        <w:footnoteReference w:id="10"/>
      </w:r>
      <w:r>
        <w:rPr>
          <w:rFonts w:ascii="Georgia" w:hAnsi="Georgia" w:cs="Helvetica"/>
          <w:kern w:val="1"/>
          <w:sz w:val="22"/>
          <w:szCs w:val="24"/>
        </w:rPr>
        <w:t xml:space="preserve"> Rather, they emphasize, Miles’ origin story for computational literary study “can stand as an example of how we might write a history of literary scholarship that does not center or</w:t>
      </w:r>
      <w:r>
        <w:rPr>
          <w:rFonts w:ascii="Georgia" w:hAnsi="Georgia" w:cs="Helvetica"/>
          <w:kern w:val="1"/>
          <w:sz w:val="22"/>
          <w:szCs w:val="24"/>
        </w:rPr>
        <w:t>iginality and individual accomplishment” (n. pag.). Unlike Busa, Miles not only gave authorship to the (female) graduate students who carried out much of the labour of creating the concordances, she also thanked and credited the (female) punch card operato</w:t>
      </w:r>
      <w:r>
        <w:rPr>
          <w:rFonts w:ascii="Georgia" w:hAnsi="Georgia" w:cs="Helvetica"/>
          <w:kern w:val="1"/>
          <w:sz w:val="22"/>
          <w:szCs w:val="24"/>
        </w:rPr>
        <w:t>rs who encoded the resulting data.</w:t>
      </w:r>
      <w:r>
        <w:rPr>
          <w:rFonts w:ascii="Georgia" w:hAnsi="Georgia" w:cs="Helvetica"/>
          <w:kern w:val="1"/>
          <w:sz w:val="22"/>
          <w:szCs w:val="24"/>
          <w:vertAlign w:val="superscript"/>
        </w:rPr>
        <w:footnoteReference w:id="11"/>
      </w:r>
      <w:r>
        <w:rPr>
          <w:rFonts w:ascii="Georgia" w:hAnsi="Georgia" w:cs="Helvetica"/>
          <w:kern w:val="1"/>
          <w:sz w:val="22"/>
          <w:szCs w:val="24"/>
        </w:rPr>
        <w:t xml:space="preserve"> Moreover, when talking of Penny Gee, one of the female staff members of the computer lab, Miles praises her as “‘very smart and good’ and—most </w:t>
      </w:r>
      <w:r>
        <w:rPr>
          <w:rFonts w:ascii="Georgia" w:hAnsi="Georgia" w:cs="Helvetica"/>
          <w:kern w:val="1"/>
          <w:sz w:val="22"/>
          <w:szCs w:val="24"/>
        </w:rPr>
        <w:lastRenderedPageBreak/>
        <w:t>importantly—a true collaborator, as opposed to those ‘IBM people from San Jos</w:t>
      </w:r>
      <w:r>
        <w:rPr>
          <w:rFonts w:ascii="Georgia" w:hAnsi="Georgia" w:cs="Helvetica"/>
          <w:kern w:val="1"/>
          <w:sz w:val="22"/>
          <w:szCs w:val="24"/>
        </w:rPr>
        <w:t>e’ … ‘I’ve never been able to connect with them,’ Miles explains, ‘though I did with Penny Gee. She really taught me’” (n. pag.). Of the positive qualities highlighted here, only one, “smart,” is traditionally valorized among literary critics: to be “good,</w:t>
      </w:r>
      <w:r>
        <w:rPr>
          <w:rFonts w:ascii="Georgia" w:hAnsi="Georgia" w:cs="Helvetica"/>
          <w:kern w:val="1"/>
          <w:sz w:val="22"/>
          <w:szCs w:val="24"/>
        </w:rPr>
        <w:t>” a “collaborator,” who can “connect” and “teach” — these qualities are often seen as irrelevant to the singular authority of the figure of the critic, but they are core to a reparative practice. Miles’ work, too, struggled to find appreciation “among lite</w:t>
      </w:r>
      <w:r>
        <w:rPr>
          <w:rFonts w:ascii="Georgia" w:hAnsi="Georgia" w:cs="Helvetica"/>
          <w:kern w:val="1"/>
          <w:sz w:val="22"/>
          <w:szCs w:val="24"/>
        </w:rPr>
        <w:t>rary critics who viewed her datasets as merely preparatory to the true work of evaluation” (n. pag.).</w:t>
      </w:r>
    </w:p>
    <w:p w14:paraId="1A07A758" w14:textId="77777777" w:rsidR="002F0BEE" w:rsidRDefault="002F0BEE">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kern w:val="1"/>
          <w:sz w:val="22"/>
          <w:szCs w:val="24"/>
        </w:rPr>
      </w:pPr>
    </w:p>
    <w:p w14:paraId="32AB9497"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2.2.  </w:t>
      </w:r>
      <w:bookmarkStart w:id="21" w:name="critical_algorithm_studies"/>
      <w:r>
        <w:rPr>
          <w:rFonts w:ascii="Georgia" w:hAnsi="Georgia" w:cs="Helvetica"/>
          <w:b/>
          <w:kern w:val="1"/>
          <w:sz w:val="26"/>
          <w:szCs w:val="24"/>
        </w:rPr>
        <w:t>critical algorithm studies</w:t>
      </w:r>
      <w:bookmarkEnd w:id="21"/>
    </w:p>
    <w:p w14:paraId="7B70327A"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1A4D796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What’s crucial, to use computational reading reparatively, is to use it </w:t>
      </w:r>
      <w:r>
        <w:rPr>
          <w:rFonts w:ascii="TimesNewRomanPSMT" w:hAnsi="TimesNewRomanPSMT" w:cs="Helvetica"/>
          <w:i/>
          <w:kern w:val="1"/>
          <w:sz w:val="24"/>
          <w:szCs w:val="24"/>
        </w:rPr>
        <w:t>reflectively</w:t>
      </w:r>
      <w:r>
        <w:rPr>
          <w:rFonts w:ascii="TimesNewRomanPSMT" w:hAnsi="TimesNewRomanPSMT" w:cs="Helvetica"/>
          <w:kern w:val="1"/>
          <w:sz w:val="24"/>
          <w:szCs w:val="24"/>
        </w:rPr>
        <w:t>.</w:t>
      </w:r>
      <w:r>
        <w:rPr>
          <w:rFonts w:ascii="TimesNewRomanPSMT" w:hAnsi="TimesNewRomanPSMT" w:cs="Helvetica"/>
          <w:b/>
          <w:kern w:val="1"/>
          <w:sz w:val="24"/>
          <w:szCs w:val="24"/>
        </w:rPr>
        <w:t xml:space="preserve"> </w:t>
      </w:r>
      <w:r>
        <w:rPr>
          <w:rFonts w:ascii="TimesNewRomanPSMT" w:hAnsi="TimesNewRomanPSMT" w:cs="Helvetica"/>
          <w:kern w:val="1"/>
          <w:sz w:val="24"/>
          <w:szCs w:val="24"/>
        </w:rPr>
        <w:t>The desirable kinds of computation which I describe above will not happen inevitably. Here I draw upon the rich body of work emerging in critical algorithm studies, which examines (and attempts to reform) the human elements of computational algorithms. Any</w:t>
      </w:r>
      <w:r>
        <w:rPr>
          <w:rFonts w:ascii="TimesNewRomanPSMT" w:hAnsi="TimesNewRomanPSMT" w:cs="Helvetica"/>
          <w:kern w:val="1"/>
          <w:sz w:val="24"/>
          <w:szCs w:val="24"/>
        </w:rPr>
        <w:t xml:space="preserve"> methodology is, to a certain extent, an “algorithm,” in the loose definition of ‘a series of pre-defined steps to be carried out’. But computational algorithms differ from “algorithms” implemented by humans. Computational algorithms have two key vulnerabi</w:t>
      </w:r>
      <w:r>
        <w:rPr>
          <w:rFonts w:ascii="TimesNewRomanPSMT" w:hAnsi="TimesNewRomanPSMT" w:cs="Helvetica"/>
          <w:kern w:val="1"/>
          <w:sz w:val="24"/>
          <w:szCs w:val="24"/>
        </w:rPr>
        <w:t>lities: first, their operations are less easily scrutinized; second, their results are more easily trusted. The second vulnerability — the cultural aura of empirical trustworthiness which accrues to anything ‘computational’ — is another flavour of the same</w:t>
      </w:r>
      <w:r>
        <w:rPr>
          <w:rFonts w:ascii="TimesNewRomanPSMT" w:hAnsi="TimesNewRomanPSMT" w:cs="Helvetica"/>
          <w:kern w:val="1"/>
          <w:sz w:val="24"/>
          <w:szCs w:val="24"/>
        </w:rPr>
        <w:t xml:space="preserve"> vulnerability that Drucker describes with ‘data’ generally. Because the human agents who designed and trained any given algorithm appear to be absent from its operation, the algorithm appears able to discover truth directly. This is how Daily Wire reporte</w:t>
      </w:r>
      <w:r>
        <w:rPr>
          <w:rFonts w:ascii="TimesNewRomanPSMT" w:hAnsi="TimesNewRomanPSMT" w:cs="Helvetica"/>
          <w:kern w:val="1"/>
          <w:sz w:val="24"/>
          <w:szCs w:val="24"/>
        </w:rPr>
        <w:t>r Ryan Saavedra was able to tweet with disdain that “Rep. Alexandria Ocasio-Cortez (D-NY) claims that algorithms, which are driven by math, are racist” (@RealSaavedra): anything “driven by math,” he assumes, must be incapable of human fallibilities like ra</w:t>
      </w:r>
      <w:r>
        <w:rPr>
          <w:rFonts w:ascii="TimesNewRomanPSMT" w:hAnsi="TimesNewRomanPSMT" w:cs="Helvetica"/>
          <w:kern w:val="1"/>
          <w:sz w:val="24"/>
          <w:szCs w:val="24"/>
        </w:rPr>
        <w:t xml:space="preserve">cism. But as Safiya Noble shows extensively in </w:t>
      </w:r>
      <w:r>
        <w:rPr>
          <w:rFonts w:ascii="TimesNewRomanPSMT" w:hAnsi="TimesNewRomanPSMT" w:cs="Helvetica"/>
          <w:i/>
          <w:kern w:val="1"/>
          <w:sz w:val="24"/>
          <w:szCs w:val="24"/>
        </w:rPr>
        <w:lastRenderedPageBreak/>
        <w:t>Algorithms of Oppression</w:t>
      </w:r>
      <w:r>
        <w:rPr>
          <w:rFonts w:ascii="TimesNewRomanPSMT" w:hAnsi="TimesNewRomanPSMT" w:cs="Helvetica"/>
          <w:kern w:val="1"/>
          <w:sz w:val="24"/>
          <w:szCs w:val="24"/>
        </w:rPr>
        <w:t>, algorithms by default reproduce, and can easily exaggerate, the assumptions and biases of the culture in which they are made (</w:t>
      </w:r>
      <w:r>
        <w:rPr>
          <w:rFonts w:ascii="TimesNewRomanPSMT" w:hAnsi="TimesNewRomanPSMT" w:cs="Helvetica"/>
          <w:kern w:val="1"/>
          <w:sz w:val="24"/>
          <w:szCs w:val="24"/>
          <w:highlight w:val="magenta"/>
        </w:rPr>
        <w:t>CITE</w:t>
      </w:r>
      <w:r>
        <w:rPr>
          <w:rFonts w:ascii="TimesNewRomanPSMT" w:hAnsi="TimesNewRomanPSMT" w:cs="Helvetica"/>
          <w:kern w:val="1"/>
          <w:sz w:val="24"/>
          <w:szCs w:val="24"/>
        </w:rPr>
        <w:t xml:space="preserve">). In other words, in a racist world, algorithms </w:t>
      </w:r>
      <w:r>
        <w:rPr>
          <w:rFonts w:ascii="TimesNewRomanPSMT" w:hAnsi="TimesNewRomanPSMT" w:cs="Helvetica"/>
          <w:i/>
          <w:kern w:val="1"/>
          <w:sz w:val="24"/>
          <w:szCs w:val="24"/>
        </w:rPr>
        <w:t>are</w:t>
      </w:r>
      <w:r>
        <w:rPr>
          <w:rFonts w:ascii="TimesNewRomanPSMT" w:hAnsi="TimesNewRomanPSMT" w:cs="Helvetica"/>
          <w:kern w:val="1"/>
          <w:sz w:val="24"/>
          <w:szCs w:val="24"/>
        </w:rPr>
        <w:t xml:space="preserve"> </w:t>
      </w:r>
      <w:r>
        <w:rPr>
          <w:rFonts w:ascii="TimesNewRomanPSMT" w:hAnsi="TimesNewRomanPSMT" w:cs="Helvetica"/>
          <w:kern w:val="1"/>
          <w:sz w:val="24"/>
          <w:szCs w:val="24"/>
        </w:rPr>
        <w:t>racist — and sexist, and duplicative of all other systemic inequities.</w:t>
      </w:r>
    </w:p>
    <w:p w14:paraId="2937C48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B7B53E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54E64C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B7C6E3F"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2.3.  </w:t>
      </w:r>
      <w:bookmarkStart w:id="22" w:name="reparative_DH"/>
      <w:r>
        <w:rPr>
          <w:rFonts w:ascii="Georgia" w:hAnsi="Georgia" w:cs="Helvetica"/>
          <w:b/>
          <w:kern w:val="1"/>
          <w:sz w:val="26"/>
          <w:szCs w:val="24"/>
        </w:rPr>
        <w:t>reparative DH</w:t>
      </w:r>
      <w:bookmarkEnd w:id="22"/>
    </w:p>
    <w:p w14:paraId="7F9E45D1"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75E9687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Critical algorithm studies is therefore a crucial background for my work — but “critical” is literally in the name of of the field, and I still seek to be post-c</w:t>
      </w:r>
      <w:r>
        <w:rPr>
          <w:rFonts w:ascii="TimesNewRomanPSMT" w:hAnsi="TimesNewRomanPSMT" w:cs="Helvetica"/>
          <w:kern w:val="1"/>
          <w:sz w:val="24"/>
          <w:szCs w:val="24"/>
        </w:rPr>
        <w:t xml:space="preserve">ritical and reparative. As I encounter the limitations of the various information and tools through which I attempt to understand the 1790s, my goal is to do something other than facilely observe that they are limited. Instead, I want to identify the best </w:t>
      </w:r>
      <w:r>
        <w:rPr>
          <w:rFonts w:ascii="TimesNewRomanPSMT" w:hAnsi="TimesNewRomanPSMT" w:cs="Helvetica"/>
          <w:kern w:val="1"/>
          <w:sz w:val="24"/>
          <w:szCs w:val="24"/>
        </w:rPr>
        <w:t>ways to continue building on their foundations. In a digital humanities context, a focus on building connections can be mundanely practical: typing indexes from print works into spreadsheets, correcting errors within datasets, writing programs to process m</w:t>
      </w:r>
      <w:r>
        <w:rPr>
          <w:rFonts w:ascii="TimesNewRomanPSMT" w:hAnsi="TimesNewRomanPSMT" w:cs="Helvetica"/>
          <w:kern w:val="1"/>
          <w:sz w:val="24"/>
          <w:szCs w:val="24"/>
        </w:rPr>
        <w:t xml:space="preserve">etadata: all of these maintain the functional usability of existing resources in new contexts. When this kind of extended, detail-oriented labour is combined with serious reflection on the histories and possible futures of these resources, I contend, they </w:t>
      </w:r>
      <w:r>
        <w:rPr>
          <w:rFonts w:ascii="TimesNewRomanPSMT" w:hAnsi="TimesNewRomanPSMT" w:cs="Helvetica"/>
          <w:kern w:val="1"/>
          <w:sz w:val="24"/>
          <w:szCs w:val="24"/>
        </w:rPr>
        <w:t>bring us to new knowledge. In this, maintaining and using digital resources is also a way to repair them — and to produce reparative readings of their contents.</w:t>
      </w:r>
    </w:p>
    <w:p w14:paraId="1658D1A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86EDCD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23" w:name="my_methods"/>
      <w:r>
        <w:rPr>
          <w:rFonts w:ascii="TimesNewRomanPSMT" w:hAnsi="TimesNewRomanPSMT" w:cs="Helvetica"/>
          <w:kern w:val="1"/>
          <w:sz w:val="24"/>
          <w:szCs w:val="24"/>
        </w:rPr>
        <w:t>This</w:t>
      </w:r>
      <w:bookmarkEnd w:id="23"/>
      <w:r>
        <w:rPr>
          <w:rFonts w:ascii="TimesNewRomanPSMT" w:hAnsi="TimesNewRomanPSMT" w:cs="Helvetica"/>
          <w:kern w:val="1"/>
          <w:sz w:val="24"/>
          <w:szCs w:val="24"/>
        </w:rPr>
        <w:t xml:space="preserve"> dissertation undertakes computational distant reading. At every possible point, however, </w:t>
      </w:r>
      <w:r>
        <w:rPr>
          <w:rFonts w:ascii="TimesNewRomanPSMT" w:hAnsi="TimesNewRomanPSMT" w:cs="Helvetica"/>
          <w:kern w:val="1"/>
          <w:sz w:val="24"/>
          <w:szCs w:val="24"/>
        </w:rPr>
        <w:lastRenderedPageBreak/>
        <w:t>the underlying methodology will be made visible, and its assumptions scrutinized. The bibliographic histories of my multiple corpora are explicit objects of inquiry. Much of the code underlying this project I have written myself. Some has been written at m</w:t>
      </w:r>
      <w:r>
        <w:rPr>
          <w:rFonts w:ascii="TimesNewRomanPSMT" w:hAnsi="TimesNewRomanPSMT" w:cs="Helvetica"/>
          <w:kern w:val="1"/>
          <w:sz w:val="24"/>
          <w:szCs w:val="24"/>
        </w:rPr>
        <w:t xml:space="preserve">y request. In every case where the code is available to me, the program itself appears in Appendix A (“Codebase”), accompanied by a plain-language explanation of how it operates. Where I have used closed-source software, Appendix A contains an explanation </w:t>
      </w:r>
      <w:r>
        <w:rPr>
          <w:rFonts w:ascii="TimesNewRomanPSMT" w:hAnsi="TimesNewRomanPSMT" w:cs="Helvetica"/>
          <w:kern w:val="1"/>
          <w:sz w:val="24"/>
          <w:szCs w:val="24"/>
        </w:rPr>
        <w:t>of my best guess at its underlying process. My exact use of these tools — sufficient for another to replicate my work — is provided in Appendix B (“Methodology”). These details are explicated in full in the appendices in order not to over-burden the body o</w:t>
      </w:r>
      <w:r>
        <w:rPr>
          <w:rFonts w:ascii="TimesNewRomanPSMT" w:hAnsi="TimesNewRomanPSMT" w:cs="Helvetica"/>
          <w:kern w:val="1"/>
          <w:sz w:val="24"/>
          <w:szCs w:val="24"/>
        </w:rPr>
        <w:t xml:space="preserve">f the dissertation, but they are by no means </w:t>
      </w:r>
      <w:r>
        <w:rPr>
          <w:rFonts w:ascii="TimesNewRomanPSMT" w:hAnsi="TimesNewRomanPSMT" w:cs="Helvetica"/>
          <w:i/>
          <w:kern w:val="1"/>
          <w:sz w:val="24"/>
          <w:szCs w:val="24"/>
        </w:rPr>
        <w:t>confined</w:t>
      </w:r>
      <w:r>
        <w:rPr>
          <w:rFonts w:ascii="TimesNewRomanPSMT" w:hAnsi="TimesNewRomanPSMT" w:cs="Helvetica"/>
          <w:kern w:val="1"/>
          <w:sz w:val="24"/>
          <w:szCs w:val="24"/>
        </w:rPr>
        <w:t xml:space="preserve"> to the appendices. Computation is not a “black box” to be consulted for simple answers, but is inextricable from my reasoning and argument.</w:t>
      </w:r>
    </w:p>
    <w:p w14:paraId="001AE54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2DB492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My attention to the </w:t>
      </w:r>
      <w:r>
        <w:rPr>
          <w:rFonts w:ascii="TimesNewRomanPSMT" w:hAnsi="TimesNewRomanPSMT" w:cs="Helvetica"/>
          <w:i/>
          <w:kern w:val="1"/>
          <w:sz w:val="24"/>
          <w:szCs w:val="24"/>
        </w:rPr>
        <w:t>sources</w:t>
      </w:r>
      <w:r>
        <w:rPr>
          <w:rFonts w:ascii="TimesNewRomanPSMT" w:hAnsi="TimesNewRomanPSMT" w:cs="Helvetica"/>
          <w:kern w:val="1"/>
          <w:sz w:val="24"/>
          <w:szCs w:val="24"/>
        </w:rPr>
        <w:t xml:space="preserve"> of digital knowledge creation comes, in part, from Johanna Drucker, and her distinction between “data” and “capta.” Drucker, in “Humanities Approaches to Graphical Display,” specifically addresses the digital humanities practice of creating, and then clos</w:t>
      </w:r>
      <w:r>
        <w:rPr>
          <w:rFonts w:ascii="TimesNewRomanPSMT" w:hAnsi="TimesNewRomanPSMT" w:cs="Helvetica"/>
          <w:kern w:val="1"/>
          <w:sz w:val="24"/>
          <w:szCs w:val="24"/>
        </w:rPr>
        <w:t>e-reading, data visualizations. She argues that the tools for visual representation which may be effective in the sciences cannot be simply and uncritically transposed to humanistic subject matter. When an experiment is presented as a ‘data visualization,’</w:t>
      </w:r>
      <w:r>
        <w:rPr>
          <w:rFonts w:ascii="TimesNewRomanPSMT" w:hAnsi="TimesNewRomanPSMT" w:cs="Helvetica"/>
          <w:kern w:val="1"/>
          <w:sz w:val="24"/>
          <w:szCs w:val="24"/>
        </w:rPr>
        <w:t xml:space="preserve"> she says, “the rendering of statistical information into graphical form gives it a simplicity and legibility that hides every aspect of the original interpretative framework” (8). In fields where the readers of such charts are also frequent creators of ch</w:t>
      </w:r>
      <w:r>
        <w:rPr>
          <w:rFonts w:ascii="TimesNewRomanPSMT" w:hAnsi="TimesNewRomanPSMT" w:cs="Helvetica"/>
          <w:kern w:val="1"/>
          <w:sz w:val="24"/>
          <w:szCs w:val="24"/>
        </w:rPr>
        <w:t xml:space="preserve">arts, and where norms exist to explicitly describe one’s interpretive frameworks in a methodology section, the simplicity and legibility of an individual chart may be </w:t>
      </w:r>
      <w:r>
        <w:rPr>
          <w:rFonts w:ascii="TimesNewRomanPSMT" w:hAnsi="TimesNewRomanPSMT" w:cs="Helvetica"/>
          <w:kern w:val="1"/>
          <w:sz w:val="24"/>
          <w:szCs w:val="24"/>
        </w:rPr>
        <w:lastRenderedPageBreak/>
        <w:t>a benefit which does not impede complex scrutiny of the information it presents.</w:t>
      </w:r>
      <w:r>
        <w:rPr>
          <w:rFonts w:ascii="TimesNewRomanPSMT" w:hAnsi="TimesNewRomanPSMT" w:cs="Helvetica"/>
          <w:kern w:val="1"/>
          <w:sz w:val="24"/>
          <w:szCs w:val="24"/>
          <w:vertAlign w:val="superscript"/>
        </w:rPr>
        <w:footnoteReference w:id="12"/>
      </w:r>
      <w:r>
        <w:rPr>
          <w:rFonts w:ascii="TimesNewRomanPSMT" w:hAnsi="TimesNewRomanPSMT" w:cs="Helvetica"/>
          <w:kern w:val="1"/>
          <w:sz w:val="24"/>
          <w:szCs w:val="24"/>
        </w:rPr>
        <w:t xml:space="preserve"> </w:t>
      </w:r>
      <w:bookmarkStart w:id="24" w:name="capta"/>
      <w:r>
        <w:rPr>
          <w:rFonts w:ascii="TimesNewRomanPSMT" w:hAnsi="TimesNewRomanPSMT" w:cs="Helvetica"/>
          <w:kern w:val="1"/>
          <w:sz w:val="24"/>
          <w:szCs w:val="24"/>
        </w:rPr>
        <w:t>In</w:t>
      </w:r>
      <w:bookmarkEnd w:id="24"/>
      <w:r>
        <w:rPr>
          <w:rFonts w:ascii="TimesNewRomanPSMT" w:hAnsi="TimesNewRomanPSMT" w:cs="Helvetica"/>
          <w:kern w:val="1"/>
          <w:sz w:val="24"/>
          <w:szCs w:val="24"/>
        </w:rPr>
        <w:t xml:space="preserve"> a fi</w:t>
      </w:r>
      <w:r>
        <w:rPr>
          <w:rFonts w:ascii="TimesNewRomanPSMT" w:hAnsi="TimesNewRomanPSMT" w:cs="Helvetica"/>
          <w:kern w:val="1"/>
          <w:sz w:val="24"/>
          <w:szCs w:val="24"/>
        </w:rPr>
        <w:t>eld like literature, however, the “graphical force” of something like a network graph or even a simple pie chart “conceals what the statistician knows very well — that no ‘data’ preexist their parameterization” (8). Drucker problematizes the term “data,” t</w:t>
      </w:r>
      <w:r>
        <w:rPr>
          <w:rFonts w:ascii="TimesNewRomanPSMT" w:hAnsi="TimesNewRomanPSMT" w:cs="Helvetica"/>
          <w:kern w:val="1"/>
          <w:sz w:val="24"/>
          <w:szCs w:val="24"/>
        </w:rPr>
        <w:t>he etymology of which presents it as a “given” which is stable and independent of observation. She proposes that humanities visualizations embrace, instead, the framework of “capta,” that which is “‘taken’ actively” (3), “fundamentally codependent, constit</w:t>
      </w:r>
      <w:r>
        <w:rPr>
          <w:rFonts w:ascii="TimesNewRomanPSMT" w:hAnsi="TimesNewRomanPSMT" w:cs="Helvetica"/>
          <w:kern w:val="1"/>
          <w:sz w:val="24"/>
          <w:szCs w:val="24"/>
        </w:rPr>
        <w:t>uted relationally, between observer and observed phenomena” (50). Drucker’s assessment shapes my own prioritization of qualitative and reflective computational research. The term “capta” itself has not seen uptake in subsequent digital humanities scholarsh</w:t>
      </w:r>
      <w:r>
        <w:rPr>
          <w:rFonts w:ascii="TimesNewRomanPSMT" w:hAnsi="TimesNewRomanPSMT" w:cs="Helvetica"/>
          <w:kern w:val="1"/>
          <w:sz w:val="24"/>
          <w:szCs w:val="24"/>
        </w:rPr>
        <w:t>ip, even in cases where scholars explicitly take Drucker’s warnings to heart. Accordingly, for clarity, this dissertation will continue to use the more usual term “data” to refer to the information gathered for analysis here. However, as I integrate and co</w:t>
      </w:r>
      <w:r>
        <w:rPr>
          <w:rFonts w:ascii="TimesNewRomanPSMT" w:hAnsi="TimesNewRomanPSMT" w:cs="Helvetica"/>
          <w:kern w:val="1"/>
          <w:sz w:val="24"/>
          <w:szCs w:val="24"/>
        </w:rPr>
        <w:t xml:space="preserve">mpare a wide variety of data from many disparate sources, a preliminary task of my analysis is always to determine, as precisely as possible, how the information was captured and quantified. </w:t>
      </w:r>
    </w:p>
    <w:p w14:paraId="519183D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67C3D0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Additionally, all of the figures presented in this dissertation</w:t>
      </w:r>
      <w:r>
        <w:rPr>
          <w:rFonts w:ascii="TimesNewRomanPSMT" w:hAnsi="TimesNewRomanPSMT" w:cs="Helvetica"/>
          <w:kern w:val="1"/>
          <w:sz w:val="24"/>
          <w:szCs w:val="24"/>
        </w:rPr>
        <w:t xml:space="preserve"> are of my own design. My design praxis is informed by the work of Edward Tufte and Alberto Cairo, both of whom provide practical design advice in service of demystifying the visual rhetoric by which graphs present their arguments.</w:t>
      </w:r>
      <w:r>
        <w:rPr>
          <w:rFonts w:ascii="TimesNewRomanPSMT" w:hAnsi="TimesNewRomanPSMT" w:cs="Helvetica"/>
          <w:kern w:val="1"/>
          <w:sz w:val="24"/>
          <w:szCs w:val="24"/>
          <w:vertAlign w:val="superscript"/>
        </w:rPr>
        <w:footnoteReference w:id="13"/>
      </w:r>
      <w:r>
        <w:rPr>
          <w:rFonts w:ascii="TimesNewRomanPSMT" w:hAnsi="TimesNewRomanPSMT" w:cs="Helvetica"/>
          <w:kern w:val="1"/>
          <w:sz w:val="24"/>
          <w:szCs w:val="24"/>
        </w:rPr>
        <w:t xml:space="preserve"> Neither Tufte nor Cairo is a scholar of media studies; rather, they are professional practitioners of ‘data visualization’ who reflect critically on the assumptions of their </w:t>
      </w:r>
      <w:r>
        <w:rPr>
          <w:rFonts w:ascii="TimesNewRomanPSMT" w:hAnsi="TimesNewRomanPSMT" w:cs="Helvetica"/>
          <w:kern w:val="1"/>
          <w:sz w:val="24"/>
          <w:szCs w:val="24"/>
        </w:rPr>
        <w:lastRenderedPageBreak/>
        <w:t>work. Tufte’s work primarily strives to correct badly-designed data visualization</w:t>
      </w:r>
      <w:r>
        <w:rPr>
          <w:rFonts w:ascii="TimesNewRomanPSMT" w:hAnsi="TimesNewRomanPSMT" w:cs="Helvetica"/>
          <w:kern w:val="1"/>
          <w:sz w:val="24"/>
          <w:szCs w:val="24"/>
        </w:rPr>
        <w:t>s, and the dangerous decisions that bad design can lead people to. His most famous example is an analysis of the engineers’ report at NASA which led to the ill-fated launch of the Challenger space shuttle in 1986: as his extensive visual analysis argues, t</w:t>
      </w:r>
      <w:r>
        <w:rPr>
          <w:rFonts w:ascii="TimesNewRomanPSMT" w:hAnsi="TimesNewRomanPSMT" w:cs="Helvetica"/>
          <w:kern w:val="1"/>
          <w:sz w:val="24"/>
          <w:szCs w:val="24"/>
        </w:rPr>
        <w:t>he engineers (untrained in graphic design) unintentionally obfuscated crucial information about the day’s launch conditions. The poorly-designed graphics these engineers produced made the launch appear low risk to their superiors; despite the engineers’ st</w:t>
      </w:r>
      <w:r>
        <w:rPr>
          <w:rFonts w:ascii="TimesNewRomanPSMT" w:hAnsi="TimesNewRomanPSMT" w:cs="Helvetica"/>
          <w:kern w:val="1"/>
          <w:sz w:val="24"/>
          <w:szCs w:val="24"/>
        </w:rPr>
        <w:t>rong warnings, their verbal argument was disregarded in favor of their accidental graphical argument. As Tufte demonstrates, a few simple alterations of their graphic design would have made it obvious that the day’s unprecedentedly low weather was extremel</w:t>
      </w:r>
      <w:r>
        <w:rPr>
          <w:rFonts w:ascii="TimesNewRomanPSMT" w:hAnsi="TimesNewRomanPSMT" w:cs="Helvetica"/>
          <w:kern w:val="1"/>
          <w:sz w:val="24"/>
          <w:szCs w:val="24"/>
        </w:rPr>
        <w:t>y dangerous, and potentially averted disaster \cite{Tufte:2001vw}.</w:t>
      </w:r>
      <w:r>
        <w:rPr>
          <w:rFonts w:ascii="TimesNewRomanPSMT" w:hAnsi="TimesNewRomanPSMT" w:cs="Helvetica"/>
          <w:kern w:val="1"/>
          <w:sz w:val="24"/>
          <w:szCs w:val="24"/>
          <w:vertAlign w:val="superscript"/>
        </w:rPr>
        <w:footnoteReference w:id="14"/>
      </w:r>
      <w:r>
        <w:rPr>
          <w:rFonts w:ascii="TimesNewRomanPSMT" w:hAnsi="TimesNewRomanPSMT" w:cs="Helvetica"/>
          <w:kern w:val="1"/>
          <w:sz w:val="24"/>
          <w:szCs w:val="24"/>
        </w:rPr>
        <w:t xml:space="preserve"> Tufte’s six principles of design</w:t>
      </w:r>
      <w:r>
        <w:rPr>
          <w:rFonts w:ascii="TimesNewRomanPSMT" w:hAnsi="TimesNewRomanPSMT" w:cs="Helvetica"/>
          <w:kern w:val="1"/>
          <w:sz w:val="24"/>
          <w:szCs w:val="24"/>
          <w:vertAlign w:val="superscript"/>
        </w:rPr>
        <w:footnoteReference w:id="15"/>
      </w:r>
      <w:r>
        <w:rPr>
          <w:rFonts w:ascii="TimesNewRomanPSMT" w:hAnsi="TimesNewRomanPSMT" w:cs="Helvetica"/>
          <w:kern w:val="1"/>
          <w:sz w:val="24"/>
          <w:szCs w:val="24"/>
        </w:rPr>
        <w:t xml:space="preserve"> </w:t>
      </w:r>
      <w:bookmarkStart w:id="25" w:name="data_viz"/>
      <w:r>
        <w:rPr>
          <w:rFonts w:ascii="TimesNewRomanPSMT" w:hAnsi="TimesNewRomanPSMT" w:cs="Helvetica"/>
          <w:kern w:val="1"/>
          <w:sz w:val="24"/>
          <w:szCs w:val="24"/>
        </w:rPr>
        <w:t>primarily</w:t>
      </w:r>
      <w:bookmarkEnd w:id="25"/>
      <w:r>
        <w:rPr>
          <w:rFonts w:ascii="TimesNewRomanPSMT" w:hAnsi="TimesNewRomanPSMT" w:cs="Helvetica"/>
          <w:kern w:val="1"/>
          <w:sz w:val="24"/>
          <w:szCs w:val="24"/>
        </w:rPr>
        <w:t xml:space="preserve"> seek to guide undertrained designers away from misleading themselves. Cairo, following on Tufte’s work from the perspective of an active journal</w:t>
      </w:r>
      <w:r>
        <w:rPr>
          <w:rFonts w:ascii="TimesNewRomanPSMT" w:hAnsi="TimesNewRomanPSMT" w:cs="Helvetica"/>
          <w:kern w:val="1"/>
          <w:sz w:val="24"/>
          <w:szCs w:val="24"/>
        </w:rPr>
        <w:t xml:space="preserve">ist, more often turns his attention to successful designs which mislead their audiences intentionally. His forthcoming book, </w:t>
      </w:r>
      <w:r>
        <w:rPr>
          <w:rFonts w:ascii="TimesNewRomanPSMT" w:hAnsi="TimesNewRomanPSMT" w:cs="Helvetica"/>
          <w:i/>
          <w:kern w:val="1"/>
          <w:sz w:val="24"/>
          <w:szCs w:val="24"/>
        </w:rPr>
        <w:t>How Charts Lie</w:t>
      </w:r>
      <w:r>
        <w:rPr>
          <w:rFonts w:ascii="TimesNewRomanPSMT" w:hAnsi="TimesNewRomanPSMT" w:cs="Helvetica"/>
          <w:kern w:val="1"/>
          <w:sz w:val="24"/>
          <w:szCs w:val="24"/>
        </w:rPr>
        <w:t>, addresses the readers of infographics with insights into visual literacy \cite{Cairo:ikIksuMr}. His preceding book,</w:t>
      </w:r>
      <w:r>
        <w:rPr>
          <w:rFonts w:ascii="TimesNewRomanPSMT" w:hAnsi="TimesNewRomanPSMT" w:cs="Helvetica"/>
          <w:kern w:val="1"/>
          <w:sz w:val="24"/>
          <w:szCs w:val="24"/>
        </w:rPr>
        <w:t xml:space="preserve"> </w:t>
      </w:r>
      <w:r>
        <w:rPr>
          <w:rFonts w:ascii="TimesNewRomanPSMT" w:hAnsi="TimesNewRomanPSMT" w:cs="Helvetica"/>
          <w:i/>
          <w:kern w:val="1"/>
          <w:sz w:val="24"/>
          <w:szCs w:val="24"/>
        </w:rPr>
        <w:t>The Truthful Art</w:t>
      </w:r>
      <w:r>
        <w:rPr>
          <w:rFonts w:ascii="TimesNewRomanPSMT" w:hAnsi="TimesNewRomanPSMT" w:cs="Helvetica"/>
          <w:kern w:val="1"/>
          <w:sz w:val="24"/>
          <w:szCs w:val="24"/>
        </w:rPr>
        <w:t xml:space="preserve">, addresses the creators of good-faith infographics with insights into visual manipulation \cite{Cairo:2016uv}. Cairo draws a distinction between “data visualization” and “infographics”: “an infographic tells the stories that its designer </w:t>
      </w:r>
      <w:r>
        <w:rPr>
          <w:rFonts w:ascii="TimesNewRomanPSMT" w:hAnsi="TimesNewRomanPSMT" w:cs="Helvetica"/>
          <w:kern w:val="1"/>
          <w:sz w:val="24"/>
          <w:szCs w:val="24"/>
        </w:rPr>
        <w:t xml:space="preserve">wants to explain, but a data visualization lets people build their own insights based </w:t>
      </w:r>
      <w:r>
        <w:rPr>
          <w:rFonts w:ascii="TimesNewRomanPSMT" w:hAnsi="TimesNewRomanPSMT" w:cs="Helvetica"/>
          <w:kern w:val="1"/>
          <w:sz w:val="24"/>
          <w:szCs w:val="24"/>
        </w:rPr>
        <w:lastRenderedPageBreak/>
        <w:t>on the evidence provided,” summarized more succinctly as “infographics to explain, data visualizations to explore” \cite{Cairo:2014tl}. Using this terminology, my argumen</w:t>
      </w:r>
      <w:r>
        <w:rPr>
          <w:rFonts w:ascii="TimesNewRomanPSMT" w:hAnsi="TimesNewRomanPSMT" w:cs="Helvetica"/>
          <w:kern w:val="1"/>
          <w:sz w:val="24"/>
          <w:szCs w:val="24"/>
        </w:rPr>
        <w:t>t will proceed with infographics in the body of the dissertation as curated figures to support my argument, with fuller data visualizations available in Appendix C (“Data”) to allow further exploration. Following in both Tufte and Cairo’s footsteps, I conc</w:t>
      </w:r>
      <w:r>
        <w:rPr>
          <w:rFonts w:ascii="TimesNewRomanPSMT" w:hAnsi="TimesNewRomanPSMT" w:cs="Helvetica"/>
          <w:kern w:val="1"/>
          <w:sz w:val="24"/>
          <w:szCs w:val="24"/>
        </w:rPr>
        <w:t xml:space="preserve">eive of the figures throughout this dissertation as rhetorical devices. In service of arguing honestly, therefore, my designs — in the body of the dissertation and in Appendix C — are accompanied by footnoted explanations of my design rationale. </w:t>
      </w:r>
    </w:p>
    <w:p w14:paraId="773D1E0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EB634D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26" w:name="fruitful_models"/>
      <w:r>
        <w:rPr>
          <w:rFonts w:ascii="TimesNewRomanPSMT" w:hAnsi="TimesNewRomanPSMT" w:cs="Helvetica"/>
          <w:kern w:val="1"/>
          <w:sz w:val="24"/>
          <w:szCs w:val="24"/>
        </w:rPr>
        <w:t>This</w:t>
      </w:r>
      <w:bookmarkEnd w:id="26"/>
      <w:r>
        <w:rPr>
          <w:rFonts w:ascii="TimesNewRomanPSMT" w:hAnsi="TimesNewRomanPSMT" w:cs="Helvetica"/>
          <w:kern w:val="1"/>
          <w:sz w:val="24"/>
          <w:szCs w:val="24"/>
        </w:rPr>
        <w:t xml:space="preserve"> dis</w:t>
      </w:r>
      <w:r>
        <w:rPr>
          <w:rFonts w:ascii="TimesNewRomanPSMT" w:hAnsi="TimesNewRomanPSMT" w:cs="Helvetica"/>
          <w:kern w:val="1"/>
          <w:sz w:val="24"/>
          <w:szCs w:val="24"/>
        </w:rPr>
        <w:t xml:space="preserve">sertation understands archives, bibliographies, anthologies, and corpora to all be, variously, </w:t>
      </w:r>
      <w:r>
        <w:rPr>
          <w:rFonts w:ascii="TimesNewRomanPSMT" w:hAnsi="TimesNewRomanPSMT" w:cs="Helvetica"/>
          <w:i/>
          <w:kern w:val="1"/>
          <w:sz w:val="24"/>
          <w:szCs w:val="24"/>
        </w:rPr>
        <w:t>models</w:t>
      </w:r>
      <w:r>
        <w:rPr>
          <w:rFonts w:ascii="TimesNewRomanPSMT" w:hAnsi="TimesNewRomanPSMT" w:cs="Helvetica"/>
          <w:kern w:val="1"/>
          <w:sz w:val="24"/>
          <w:szCs w:val="24"/>
        </w:rPr>
        <w:t xml:space="preserve"> of an imagined object of study. In the language of social science, these models might be described as ‘samples,’ which are intended to permit discoveries </w:t>
      </w:r>
      <w:r>
        <w:rPr>
          <w:rFonts w:ascii="TimesNewRomanPSMT" w:hAnsi="TimesNewRomanPSMT" w:cs="Helvetica"/>
          <w:kern w:val="1"/>
          <w:sz w:val="24"/>
          <w:szCs w:val="24"/>
        </w:rPr>
        <w:t>about an underlying ‘population’ by being ‘representative’ of that population’s features. Only the language and not the methods of social science need to be imported here, since it has long been ordinary practice in literary studies to select and examine r</w:t>
      </w:r>
      <w:r>
        <w:rPr>
          <w:rFonts w:ascii="TimesNewRomanPSMT" w:hAnsi="TimesNewRomanPSMT" w:cs="Helvetica"/>
          <w:kern w:val="1"/>
          <w:sz w:val="24"/>
          <w:szCs w:val="24"/>
        </w:rPr>
        <w:t xml:space="preserve">epresentative texts for insights about larger </w:t>
      </w:r>
      <w:commentRangeStart w:id="27"/>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"scrivcmt://15F5F4D7-F7E8-4B16-8B51-AF4E02B99403"</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movements</w:t>
      </w:r>
      <w:r>
        <w:rPr>
          <w:rFonts w:ascii="TimesNewRomanPSMT" w:hAnsi="TimesNewRomanPSMT" w:cs="Helvetica"/>
          <w:kern w:val="1"/>
          <w:sz w:val="24"/>
          <w:szCs w:val="24"/>
        </w:rPr>
        <w:fldChar w:fldCharType="end"/>
      </w:r>
      <w:commentRangeEnd w:id="27"/>
      <w:r>
        <w:rPr>
          <w:rFonts w:ascii="TimesNewRomanPSMT" w:hAnsi="TimesNewRomanPSMT" w:cs="Helvetica"/>
          <w:kern w:val="1"/>
          <w:sz w:val="24"/>
          <w:szCs w:val="24"/>
        </w:rPr>
        <w:commentReference w:id="27"/>
      </w:r>
      <w:r>
        <w:rPr>
          <w:rFonts w:ascii="TimesNewRomanPSMT" w:hAnsi="TimesNewRomanPSMT" w:cs="Helvetica"/>
          <w:kern w:val="1"/>
          <w:sz w:val="24"/>
          <w:szCs w:val="24"/>
        </w:rPr>
        <w:t xml:space="preserve">. A work like Ann Tracy’s bibliography </w:t>
      </w:r>
      <w:r>
        <w:rPr>
          <w:rFonts w:ascii="TimesNewRomanPSMT" w:hAnsi="TimesNewRomanPSMT" w:cs="Helvetica"/>
          <w:i/>
          <w:kern w:val="1"/>
          <w:sz w:val="24"/>
          <w:szCs w:val="24"/>
        </w:rPr>
        <w:t>The Gothic Novel 1790-1830</w:t>
      </w:r>
      <w:r>
        <w:rPr>
          <w:rFonts w:ascii="TimesNewRomanPSMT" w:hAnsi="TimesNewRomanPSMT" w:cs="Helvetica"/>
          <w:kern w:val="1"/>
          <w:sz w:val="24"/>
          <w:szCs w:val="24"/>
        </w:rPr>
        <w:t>, for example, clearly names the population of works which are of inter</w:t>
      </w:r>
      <w:r>
        <w:rPr>
          <w:rFonts w:ascii="TimesNewRomanPSMT" w:hAnsi="TimesNewRomanPSMT" w:cs="Helvetica"/>
          <w:kern w:val="1"/>
          <w:sz w:val="24"/>
          <w:szCs w:val="24"/>
        </w:rPr>
        <w:t>est to her: all Gothic novels published between 1790 and 1830. But in providing detailed information on 208 texts — mostly Gothic, mostly novels, mostly between 1790 and 1830 — Tracy obviously does not claim to have presented all that might belong within t</w:t>
      </w:r>
      <w:r>
        <w:rPr>
          <w:rFonts w:ascii="TimesNewRomanPSMT" w:hAnsi="TimesNewRomanPSMT" w:cs="Helvetica"/>
          <w:kern w:val="1"/>
          <w:sz w:val="24"/>
          <w:szCs w:val="24"/>
        </w:rPr>
        <w:t xml:space="preserve">his population. Instead, her book operates as a model of the underlying population, which can be queried for further insight into ‘the Gothic novel, 1790-1830’ only so long as one keeps the limits of the model in mind. Indeed, by presenting plot summaries </w:t>
      </w:r>
      <w:r>
        <w:rPr>
          <w:rFonts w:ascii="TimesNewRomanPSMT" w:hAnsi="TimesNewRomanPSMT" w:cs="Helvetica"/>
          <w:kern w:val="1"/>
          <w:sz w:val="24"/>
          <w:szCs w:val="24"/>
        </w:rPr>
        <w:t xml:space="preserve">and bibliographic data, rather than reproducing the novels in full, Tracy provides a model of a model. </w:t>
      </w:r>
      <w:r>
        <w:rPr>
          <w:rFonts w:ascii="TimesNewRomanPSMT" w:hAnsi="TimesNewRomanPSMT" w:cs="Helvetica"/>
          <w:kern w:val="1"/>
          <w:sz w:val="24"/>
          <w:szCs w:val="24"/>
        </w:rPr>
        <w:lastRenderedPageBreak/>
        <w:t>Importantly, a model is a tool for thinking, and not necessarily a truth-claim in itself: creating a model is a way of saying, ‘it might be helpful to th</w:t>
      </w:r>
      <w:r>
        <w:rPr>
          <w:rFonts w:ascii="TimesNewRomanPSMT" w:hAnsi="TimesNewRomanPSMT" w:cs="Helvetica"/>
          <w:kern w:val="1"/>
          <w:sz w:val="24"/>
          <w:szCs w:val="24"/>
        </w:rPr>
        <w:t xml:space="preserve">ink of X as Y,’ not an assertion that X is equivalent to Y. Willard </w:t>
      </w:r>
      <w:commentRangeStart w:id="28"/>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"scrivcmt://CCF03F1E-2441-4838-8310-8A197DA94FE0"</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McCarty</w:t>
      </w:r>
      <w:r>
        <w:rPr>
          <w:rFonts w:ascii="TimesNewRomanPSMT" w:hAnsi="TimesNewRomanPSMT" w:cs="Helvetica"/>
          <w:kern w:val="1"/>
          <w:sz w:val="24"/>
          <w:szCs w:val="24"/>
        </w:rPr>
        <w:fldChar w:fldCharType="end"/>
      </w:r>
      <w:commentRangeEnd w:id="28"/>
      <w:r>
        <w:rPr>
          <w:rFonts w:ascii="TimesNewRomanPSMT" w:hAnsi="TimesNewRomanPSMT" w:cs="Helvetica"/>
          <w:kern w:val="1"/>
          <w:sz w:val="24"/>
          <w:szCs w:val="24"/>
        </w:rPr>
        <w:commentReference w:id="28"/>
      </w:r>
      <w:r>
        <w:rPr>
          <w:rFonts w:ascii="TimesNewRomanPSMT" w:hAnsi="TimesNewRomanPSMT" w:cs="Helvetica"/>
          <w:kern w:val="1"/>
          <w:sz w:val="24"/>
          <w:szCs w:val="24"/>
        </w:rPr>
        <w:t xml:space="preserve"> articulates this important feature of models by stressing that a model’s value is determined not by its exact corre</w:t>
      </w:r>
      <w:r>
        <w:rPr>
          <w:rFonts w:ascii="TimesNewRomanPSMT" w:hAnsi="TimesNewRomanPSMT" w:cs="Helvetica"/>
          <w:kern w:val="1"/>
          <w:sz w:val="24"/>
          <w:szCs w:val="24"/>
        </w:rPr>
        <w:t xml:space="preserve">spondence with the object it models — if it were possible to fully examine the underlying object, then no model would be necessary — but by the </w:t>
      </w:r>
      <w:r>
        <w:rPr>
          <w:rFonts w:ascii="TimesNewRomanPSMT" w:hAnsi="TimesNewRomanPSMT" w:cs="Helvetica"/>
          <w:i/>
          <w:kern w:val="1"/>
          <w:sz w:val="24"/>
          <w:szCs w:val="24"/>
        </w:rPr>
        <w:t>fruitfulness</w:t>
      </w:r>
      <w:r>
        <w:rPr>
          <w:rFonts w:ascii="TimesNewRomanPSMT" w:hAnsi="TimesNewRomanPSMT" w:cs="Helvetica"/>
          <w:kern w:val="1"/>
          <w:sz w:val="24"/>
          <w:szCs w:val="24"/>
        </w:rPr>
        <w:t xml:space="preserve"> of its simplifications. Even a deeply incorrect model can be fruitful if its divergence from observ</w:t>
      </w:r>
      <w:r>
        <w:rPr>
          <w:rFonts w:ascii="TimesNewRomanPSMT" w:hAnsi="TimesNewRomanPSMT" w:cs="Helvetica"/>
          <w:kern w:val="1"/>
          <w:sz w:val="24"/>
          <w:szCs w:val="24"/>
        </w:rPr>
        <w:t>ed phenomena rules out an incorrect theory. As I examine the many existing models of ‘English literature, 1789-1799,’ and create several more of my own, I articulate the underlying assumptions of each model, and assess the fruitfulness of the results.</w:t>
      </w:r>
    </w:p>
    <w:p w14:paraId="2F15A91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D03DB59"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3.1</w:t>
      </w:r>
      <w:r>
        <w:rPr>
          <w:rFonts w:ascii="Georgia" w:hAnsi="Georgia" w:cs="Helvetica"/>
          <w:b/>
          <w:kern w:val="1"/>
          <w:sz w:val="26"/>
          <w:szCs w:val="24"/>
        </w:rPr>
        <w:t xml:space="preserve">.  </w:t>
      </w:r>
      <w:bookmarkStart w:id="29" w:name="databases"/>
      <w:r>
        <w:rPr>
          <w:rFonts w:ascii="Georgia" w:hAnsi="Georgia" w:cs="Helvetica"/>
          <w:b/>
          <w:kern w:val="1"/>
          <w:sz w:val="26"/>
          <w:szCs w:val="24"/>
        </w:rPr>
        <w:t>databases</w:t>
      </w:r>
      <w:bookmarkEnd w:id="29"/>
    </w:p>
    <w:p w14:paraId="4802CDEF"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2EA3132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30" w:name="corpora_as_canons"/>
      <w:r>
        <w:rPr>
          <w:rFonts w:ascii="TimesNewRomanPSMT" w:hAnsi="TimesNewRomanPSMT" w:cs="Helvetica"/>
          <w:kern w:val="1"/>
          <w:sz w:val="24"/>
          <w:szCs w:val="24"/>
        </w:rPr>
        <w:t>A</w:t>
      </w:r>
      <w:bookmarkEnd w:id="30"/>
      <w:r>
        <w:rPr>
          <w:rFonts w:ascii="TimesNewRomanPSMT" w:hAnsi="TimesNewRomanPSMT" w:cs="Helvetica"/>
          <w:kern w:val="1"/>
          <w:sz w:val="24"/>
          <w:szCs w:val="24"/>
        </w:rPr>
        <w:t xml:space="preserve"> core object of study for this dissertation, then, is the makeup and history of contemporary digital databases. Eighteenth century materials of various kinds have been collected in many digital archives, of very different scopes. I will draw materials from</w:t>
      </w:r>
      <w:r>
        <w:rPr>
          <w:rFonts w:ascii="TimesNewRomanPSMT" w:hAnsi="TimesNewRomanPSMT" w:cs="Helvetica"/>
          <w:kern w:val="1"/>
          <w:sz w:val="24"/>
          <w:szCs w:val="24"/>
        </w:rPr>
        <w:t xml:space="preserve"> the English Short-Title Catalogue (ESTC), Eighteenth Century Collections Online (ECCO), the ECCO Text Creation Partnership corpus (ECCO-TCP), Google Books, Project Gutenberg and HathiTrust. My examination of these six databases will, of necessity, examine</w:t>
      </w:r>
      <w:r>
        <w:rPr>
          <w:rFonts w:ascii="TimesNewRomanPSMT" w:hAnsi="TimesNewRomanPSMT" w:cs="Helvetica"/>
          <w:kern w:val="1"/>
          <w:sz w:val="24"/>
          <w:szCs w:val="24"/>
        </w:rPr>
        <w:t xml:space="preserve"> a ‘time capsule’ of their holdings at a particular moment; the sources of my data, and my procedures for working with them, are described in more detail in Appendix B (“Methodology”). The databases vary from each other in terms of two main qualities: thei</w:t>
      </w:r>
      <w:r>
        <w:rPr>
          <w:rFonts w:ascii="TimesNewRomanPSMT" w:hAnsi="TimesNewRomanPSMT" w:cs="Helvetica"/>
          <w:kern w:val="1"/>
          <w:sz w:val="24"/>
          <w:szCs w:val="24"/>
        </w:rPr>
        <w:t xml:space="preserve">r size, and their reputation. The reputation of any given digital resource is shaped largely, I argue, by its ability to signal ‘rigour’ in its collection practices. </w:t>
      </w:r>
      <w:r>
        <w:rPr>
          <w:rFonts w:ascii="TimesNewRomanPSMT" w:hAnsi="TimesNewRomanPSMT" w:cs="Helvetica"/>
          <w:kern w:val="1"/>
          <w:sz w:val="24"/>
          <w:szCs w:val="24"/>
        </w:rPr>
        <w:lastRenderedPageBreak/>
        <w:t>Several databases of different sizes have established reputations of seriousness, and, cor</w:t>
      </w:r>
      <w:r>
        <w:rPr>
          <w:rFonts w:ascii="TimesNewRomanPSMT" w:hAnsi="TimesNewRomanPSMT" w:cs="Helvetica"/>
          <w:kern w:val="1"/>
          <w:sz w:val="24"/>
          <w:szCs w:val="24"/>
        </w:rPr>
        <w:t xml:space="preserve">respondingly, cultural capital within scholarly communities. The databases that I will examine at length form two groupings of three each, to explore two sets of related concepts. The first set consists of ESTC, ECCO, and ECCO-TCP, all of which follow the </w:t>
      </w:r>
      <w:r>
        <w:rPr>
          <w:rFonts w:ascii="TimesNewRomanPSMT" w:hAnsi="TimesNewRomanPSMT" w:cs="Helvetica"/>
          <w:kern w:val="1"/>
          <w:sz w:val="24"/>
          <w:szCs w:val="24"/>
        </w:rPr>
        <w:t>same rigorous collection practices at different scales. The second set consists of Google Books, HathiTrust, and Project Gutenberg, which follow very different collection practices while sharing a dubious scholarly reputation.</w:t>
      </w:r>
    </w:p>
    <w:p w14:paraId="41239EE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E930F6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31" w:name="scholarly_archives"/>
      <w:r>
        <w:rPr>
          <w:rFonts w:ascii="TimesNewRomanPSMT" w:hAnsi="TimesNewRomanPSMT" w:cs="Helvetica"/>
          <w:kern w:val="1"/>
          <w:sz w:val="24"/>
          <w:szCs w:val="24"/>
        </w:rPr>
        <w:t>The</w:t>
      </w:r>
      <w:bookmarkEnd w:id="31"/>
      <w:r>
        <w:rPr>
          <w:rFonts w:ascii="TimesNewRomanPSMT" w:hAnsi="TimesNewRomanPSMT" w:cs="Helvetica"/>
          <w:kern w:val="1"/>
          <w:sz w:val="24"/>
          <w:szCs w:val="24"/>
        </w:rPr>
        <w:t xml:space="preserve"> first three databases I </w:t>
      </w:r>
      <w:r>
        <w:rPr>
          <w:rFonts w:ascii="TimesNewRomanPSMT" w:hAnsi="TimesNewRomanPSMT" w:cs="Helvetica"/>
          <w:kern w:val="1"/>
          <w:sz w:val="24"/>
          <w:szCs w:val="24"/>
        </w:rPr>
        <w:t xml:space="preserve">examine will be no surprise to eighteenth century scholars: ESTC, ECCO, and ECCO-TCP. Gale’s Eighteenth Century Collections Online (ECCO), contains over 180,000 titles 1701-1800, of which </w:t>
      </w:r>
      <w:r>
        <w:rPr>
          <w:rFonts w:ascii="TimesNewRomanPSMT" w:hAnsi="TimesNewRomanPSMT" w:cs="Helvetica"/>
          <w:kern w:val="1"/>
          <w:sz w:val="24"/>
          <w:szCs w:val="24"/>
          <w:highlight w:val="magenta"/>
        </w:rPr>
        <w:t>42,000</w:t>
      </w:r>
      <w:r>
        <w:rPr>
          <w:rFonts w:ascii="TimesNewRomanPSMT" w:hAnsi="TimesNewRomanPSMT" w:cs="Helvetica"/>
          <w:kern w:val="1"/>
          <w:sz w:val="24"/>
          <w:szCs w:val="24"/>
        </w:rPr>
        <w:t xml:space="preserve"> were printed in England between 1789 and 1799. ECCO is itself</w:t>
      </w:r>
      <w:r>
        <w:rPr>
          <w:rFonts w:ascii="TimesNewRomanPSMT" w:hAnsi="TimesNewRomanPSMT" w:cs="Helvetica"/>
          <w:kern w:val="1"/>
          <w:sz w:val="24"/>
          <w:szCs w:val="24"/>
        </w:rPr>
        <w:t xml:space="preserve"> (mostly) a subset of the broader English Short Title Catalogue (ESTC), which contains more 460,000 texts 1473-1800, of which </w:t>
      </w:r>
      <w:r>
        <w:rPr>
          <w:rFonts w:ascii="TimesNewRomanPSMT" w:hAnsi="TimesNewRomanPSMT" w:cs="Helvetica"/>
          <w:kern w:val="1"/>
          <w:sz w:val="24"/>
          <w:szCs w:val="24"/>
          <w:highlight w:val="magenta"/>
        </w:rPr>
        <w:t>51,965</w:t>
      </w:r>
      <w:r>
        <w:rPr>
          <w:rFonts w:ascii="TimesNewRomanPSMT" w:hAnsi="TimesNewRomanPSMT" w:cs="Helvetica"/>
          <w:kern w:val="1"/>
          <w:sz w:val="24"/>
          <w:szCs w:val="24"/>
        </w:rPr>
        <w:t xml:space="preserve"> were printed in England between 1789 and 1799 (indicating that nearly 10,000 titles in the decade appear in the ESTC but no</w:t>
      </w:r>
      <w:r>
        <w:rPr>
          <w:rFonts w:ascii="TimesNewRomanPSMT" w:hAnsi="TimesNewRomanPSMT" w:cs="Helvetica"/>
          <w:kern w:val="1"/>
          <w:sz w:val="24"/>
          <w:szCs w:val="24"/>
        </w:rPr>
        <w:t>t ECCO). The ESTC does not provide access to texts themselves: instead, it is an authoritative bibliographic catalogue, available as a searchable database. It is ECCO which provides texts: ECCO’s 180,000 titles works are available as photographed facsimile</w:t>
      </w:r>
      <w:r>
        <w:rPr>
          <w:rFonts w:ascii="TimesNewRomanPSMT" w:hAnsi="TimesNewRomanPSMT" w:cs="Helvetica"/>
          <w:kern w:val="1"/>
          <w:sz w:val="24"/>
          <w:szCs w:val="24"/>
        </w:rPr>
        <w:t>s of the full text of each title. The facsimiles can be searched within ECCO’s online interface; these searches examine a plaintext version of the facsimile pages that was generated by Optical Character Recognition (OCR), but this OCR text is not made dire</w:t>
      </w:r>
      <w:r>
        <w:rPr>
          <w:rFonts w:ascii="TimesNewRomanPSMT" w:hAnsi="TimesNewRomanPSMT" w:cs="Helvetica"/>
          <w:kern w:val="1"/>
          <w:sz w:val="24"/>
          <w:szCs w:val="24"/>
        </w:rPr>
        <w:t>ctly available. As a result, the facsimiles may be read individually by scholars, but cannot form the basis for computational corpus analysis. A subset of ECCO’s texts have been hand-prepared, as part of the Text Creation Partnership (TCP), to be easier to</w:t>
      </w:r>
      <w:r>
        <w:rPr>
          <w:rFonts w:ascii="TimesNewRomanPSMT" w:hAnsi="TimesNewRomanPSMT" w:cs="Helvetica"/>
          <w:kern w:val="1"/>
          <w:sz w:val="24"/>
          <w:szCs w:val="24"/>
        </w:rPr>
        <w:t xml:space="preserve"> use in computational research. The resulting corpus of ECCO-TCP texts contains 2,231 </w:t>
      </w:r>
      <w:r>
        <w:rPr>
          <w:rFonts w:ascii="TimesNewRomanPSMT" w:hAnsi="TimesNewRomanPSMT" w:cs="Helvetica"/>
          <w:kern w:val="1"/>
          <w:sz w:val="24"/>
          <w:szCs w:val="24"/>
        </w:rPr>
        <w:lastRenderedPageBreak/>
        <w:t>titles, of which 466 were printed in England between 1789 and 1799. These titles are available as carefully-edited texts encoded according to the Text Encoding Initiative</w:t>
      </w:r>
      <w:r>
        <w:rPr>
          <w:rFonts w:ascii="TimesNewRomanPSMT" w:hAnsi="TimesNewRomanPSMT" w:cs="Helvetica"/>
          <w:kern w:val="1"/>
          <w:sz w:val="24"/>
          <w:szCs w:val="24"/>
        </w:rPr>
        <w:t xml:space="preserve"> (TEI) standard, which not only provides an accurate version of the text’s words, but encodes substantial details regarding its context on the page. </w:t>
      </w:r>
      <w:commentRangeStart w:id="32"/>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"scrivcmt://0F16EFF9-6395-4223-BBF5-9BCBFCC77470"</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Most large-scale distant reading of eighteenth c</w:t>
      </w:r>
      <w:r>
        <w:rPr>
          <w:rFonts w:ascii="TimesNewRomanPSMT" w:hAnsi="TimesNewRomanPSMT" w:cs="Helvetica"/>
          <w:kern w:val="1"/>
          <w:sz w:val="24"/>
          <w:szCs w:val="24"/>
        </w:rPr>
        <w:t>entury literature relies on the ECCO-TCP corpus as its ‘model’ or ‘sample’ to represent the period</w:t>
      </w:r>
      <w:r>
        <w:rPr>
          <w:rFonts w:ascii="TimesNewRomanPSMT" w:hAnsi="TimesNewRomanPSMT" w:cs="Helvetica"/>
          <w:kern w:val="1"/>
          <w:sz w:val="24"/>
          <w:szCs w:val="24"/>
        </w:rPr>
        <w:fldChar w:fldCharType="end"/>
      </w:r>
      <w:commentRangeEnd w:id="32"/>
      <w:r>
        <w:rPr>
          <w:rFonts w:ascii="TimesNewRomanPSMT" w:hAnsi="TimesNewRomanPSMT" w:cs="Helvetica"/>
          <w:kern w:val="1"/>
          <w:sz w:val="24"/>
          <w:szCs w:val="24"/>
        </w:rPr>
        <w:commentReference w:id="32"/>
      </w:r>
      <w:r>
        <w:rPr>
          <w:rFonts w:ascii="TimesNewRomanPSMT" w:hAnsi="TimesNewRomanPSMT" w:cs="Helvetica"/>
          <w:kern w:val="1"/>
          <w:sz w:val="24"/>
          <w:szCs w:val="24"/>
        </w:rPr>
        <w:t xml:space="preserve">. Accordingly, one of the tasks of this dissertation is to examine the makeup of this corpus, and how it differs both from other corpora and from print </w:t>
      </w:r>
      <w:r>
        <w:rPr>
          <w:rFonts w:ascii="TimesNewRomanPSMT" w:hAnsi="TimesNewRomanPSMT" w:cs="Helvetica"/>
          <w:kern w:val="1"/>
          <w:sz w:val="24"/>
          <w:szCs w:val="24"/>
        </w:rPr>
        <w:t xml:space="preserve">culture in the period itself. These three digital collections — ECCO, ESTC, and ECCO-TCP — are the primary digital resources for the period, which form the basis of most digital research. However, they represent only one approach toward the collection and </w:t>
      </w:r>
      <w:r>
        <w:rPr>
          <w:rFonts w:ascii="TimesNewRomanPSMT" w:hAnsi="TimesNewRomanPSMT" w:cs="Helvetica"/>
          <w:kern w:val="1"/>
          <w:sz w:val="24"/>
          <w:szCs w:val="24"/>
        </w:rPr>
        <w:t>presentation of digital texts, to which there are two broad kinds of alternatives. These large but meticulous collections occupy a middle space between, on the one hand, highly selective thematic collections, such as The Shelley-Godwin Archive, of which th</w:t>
      </w:r>
      <w:r>
        <w:rPr>
          <w:rFonts w:ascii="TimesNewRomanPSMT" w:hAnsi="TimesNewRomanPSMT" w:cs="Helvetica"/>
          <w:kern w:val="1"/>
          <w:sz w:val="24"/>
          <w:szCs w:val="24"/>
        </w:rPr>
        <w:t>ere are many, and the giants of indiscriminate textual accumulation, such as Google Books, of which there are few.</w:t>
      </w:r>
    </w:p>
    <w:p w14:paraId="3AC2D15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EE4BD4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33" w:name="micro_archives"/>
      <w:r>
        <w:rPr>
          <w:rFonts w:ascii="TimesNewRomanPSMT" w:hAnsi="TimesNewRomanPSMT" w:cs="Helvetica"/>
          <w:kern w:val="1"/>
          <w:sz w:val="24"/>
          <w:szCs w:val="24"/>
        </w:rPr>
        <w:t>Smaller</w:t>
      </w:r>
      <w:bookmarkEnd w:id="33"/>
      <w:r>
        <w:rPr>
          <w:rFonts w:ascii="TimesNewRomanPSMT" w:hAnsi="TimesNewRomanPSMT" w:cs="Helvetica"/>
          <w:kern w:val="1"/>
          <w:sz w:val="24"/>
          <w:szCs w:val="24"/>
        </w:rPr>
        <w:t xml:space="preserve"> collections allow for more scholarly curation, but have corresponding limitations. Whereas the ‘main players’ of the the mega-archiv</w:t>
      </w:r>
      <w:r>
        <w:rPr>
          <w:rFonts w:ascii="TimesNewRomanPSMT" w:hAnsi="TimesNewRomanPSMT" w:cs="Helvetica"/>
          <w:kern w:val="1"/>
          <w:sz w:val="24"/>
          <w:szCs w:val="24"/>
        </w:rPr>
        <w:t>es can be easily enumerated, these specialized collections are numerous. Some will focus on particular kinds of texts, such as the Early Novels Database (2,041 novels 1700-1799) or Broadside Ballads Online (more than 30,000 broadside ballads). Others exhau</w:t>
      </w:r>
      <w:r>
        <w:rPr>
          <w:rFonts w:ascii="TimesNewRomanPSMT" w:hAnsi="TimesNewRomanPSMT" w:cs="Helvetica"/>
          <w:kern w:val="1"/>
          <w:sz w:val="24"/>
          <w:szCs w:val="24"/>
        </w:rPr>
        <w:t xml:space="preserve">stively index particular publications, such as </w:t>
      </w:r>
      <w:r>
        <w:rPr>
          <w:rFonts w:ascii="TimesNewRomanPSMT" w:hAnsi="TimesNewRomanPSMT" w:cs="Helvetica"/>
          <w:i/>
          <w:kern w:val="1"/>
          <w:sz w:val="24"/>
          <w:szCs w:val="24"/>
        </w:rPr>
        <w:t>The Hampshire Chronicle</w:t>
      </w:r>
      <w:r>
        <w:rPr>
          <w:rFonts w:ascii="TimesNewRomanPSMT" w:hAnsi="TimesNewRomanPSMT" w:cs="Helvetica"/>
          <w:kern w:val="1"/>
          <w:sz w:val="24"/>
          <w:szCs w:val="24"/>
        </w:rPr>
        <w:t xml:space="preserve"> (1,950 references to fiction in issues from 1772-1829), the Index to the </w:t>
      </w:r>
      <w:r>
        <w:rPr>
          <w:rFonts w:ascii="TimesNewRomanPSMT" w:hAnsi="TimesNewRomanPSMT" w:cs="Helvetica"/>
          <w:i/>
          <w:kern w:val="1"/>
          <w:sz w:val="24"/>
          <w:szCs w:val="24"/>
        </w:rPr>
        <w:t>Lady’s Magazine</w:t>
      </w:r>
      <w:r>
        <w:rPr>
          <w:rFonts w:ascii="TimesNewRomanPSMT" w:hAnsi="TimesNewRomanPSMT" w:cs="Helvetica"/>
          <w:kern w:val="1"/>
          <w:sz w:val="24"/>
          <w:szCs w:val="24"/>
        </w:rPr>
        <w:t xml:space="preserve"> (14,729 articles from 1770 to 1818), or the Novels Reviewed Database (1,836 reviews from </w:t>
      </w:r>
      <w:r>
        <w:rPr>
          <w:rFonts w:ascii="TimesNewRomanPSMT" w:hAnsi="TimesNewRomanPSMT" w:cs="Helvetica"/>
          <w:i/>
          <w:kern w:val="1"/>
          <w:sz w:val="24"/>
          <w:szCs w:val="24"/>
        </w:rPr>
        <w:t>The Cri</w:t>
      </w:r>
      <w:r>
        <w:rPr>
          <w:rFonts w:ascii="TimesNewRomanPSMT" w:hAnsi="TimesNewRomanPSMT" w:cs="Helvetica"/>
          <w:i/>
          <w:kern w:val="1"/>
          <w:sz w:val="24"/>
          <w:szCs w:val="24"/>
        </w:rPr>
        <w:t>tical Review</w:t>
      </w:r>
      <w:r>
        <w:rPr>
          <w:rFonts w:ascii="TimesNewRomanPSMT" w:hAnsi="TimesNewRomanPSMT" w:cs="Helvetica"/>
          <w:kern w:val="1"/>
          <w:sz w:val="24"/>
          <w:szCs w:val="24"/>
        </w:rPr>
        <w:t xml:space="preserve"> and </w:t>
      </w:r>
      <w:r>
        <w:rPr>
          <w:rFonts w:ascii="TimesNewRomanPSMT" w:hAnsi="TimesNewRomanPSMT" w:cs="Helvetica"/>
          <w:i/>
          <w:kern w:val="1"/>
          <w:sz w:val="24"/>
          <w:szCs w:val="24"/>
        </w:rPr>
        <w:t>The Monthly Review</w:t>
      </w:r>
      <w:r>
        <w:rPr>
          <w:rFonts w:ascii="TimesNewRomanPSMT" w:hAnsi="TimesNewRomanPSMT" w:cs="Helvetica"/>
          <w:kern w:val="1"/>
          <w:sz w:val="24"/>
          <w:szCs w:val="24"/>
        </w:rPr>
        <w:t xml:space="preserve">, 1790-1820). Feminist scholarship in particular has seen the </w:t>
      </w:r>
      <w:r>
        <w:rPr>
          <w:rFonts w:ascii="TimesNewRomanPSMT" w:hAnsi="TimesNewRomanPSMT" w:cs="Helvetica"/>
          <w:kern w:val="1"/>
          <w:sz w:val="24"/>
          <w:szCs w:val="24"/>
        </w:rPr>
        <w:lastRenderedPageBreak/>
        <w:t xml:space="preserve">creation of resources like the Orlando Project, the Chawton House library Novels Online, Northeastern University’s Women Writers Online and UC Davis’s British </w:t>
      </w:r>
      <w:r>
        <w:rPr>
          <w:rFonts w:ascii="TimesNewRomanPSMT" w:hAnsi="TimesNewRomanPSMT" w:cs="Helvetica"/>
          <w:kern w:val="1"/>
          <w:sz w:val="24"/>
          <w:szCs w:val="24"/>
        </w:rPr>
        <w:t xml:space="preserve">Women Romantic Poets. The virtue of these collections is that they achieve even greater accuracy and comprehensiveness within their defined scope. The Shelley-Godwin Archive, for example, can reasonably aspire to digitize </w:t>
      </w:r>
      <w:r>
        <w:rPr>
          <w:rFonts w:ascii="TimesNewRomanPSMT" w:hAnsi="TimesNewRomanPSMT" w:cs="Helvetica"/>
          <w:i/>
          <w:kern w:val="1"/>
          <w:sz w:val="24"/>
          <w:szCs w:val="24"/>
        </w:rPr>
        <w:t>every</w:t>
      </w:r>
      <w:r>
        <w:rPr>
          <w:rFonts w:ascii="TimesNewRomanPSMT" w:hAnsi="TimesNewRomanPSMT" w:cs="Helvetica"/>
          <w:kern w:val="1"/>
          <w:sz w:val="24"/>
          <w:szCs w:val="24"/>
        </w:rPr>
        <w:t xml:space="preserve"> known manuscript of Percy By</w:t>
      </w:r>
      <w:r>
        <w:rPr>
          <w:rFonts w:ascii="TimesNewRomanPSMT" w:hAnsi="TimesNewRomanPSMT" w:cs="Helvetica"/>
          <w:kern w:val="1"/>
          <w:sz w:val="24"/>
          <w:szCs w:val="24"/>
        </w:rPr>
        <w:t>sshe Shelley, Mary Wollstonecraft Shelley, William Godwin, and Mary Wollstonecraft, and to provide these manuscripts in hand-encoded plaintext transcripts. However, as is inevitable, these specialized archives have the vices of their virtues: their special</w:t>
      </w:r>
      <w:r>
        <w:rPr>
          <w:rFonts w:ascii="TimesNewRomanPSMT" w:hAnsi="TimesNewRomanPSMT" w:cs="Helvetica"/>
          <w:kern w:val="1"/>
          <w:sz w:val="24"/>
          <w:szCs w:val="24"/>
        </w:rPr>
        <w:t>ized focus allows them to adapt precisely to their materials, and their idiosyncratic data structures can rarely be combined with other resources. The William Blake Archive, for example, benefits enormously from designing its archive around the unique imag</w:t>
      </w:r>
      <w:r>
        <w:rPr>
          <w:rFonts w:ascii="TimesNewRomanPSMT" w:hAnsi="TimesNewRomanPSMT" w:cs="Helvetica"/>
          <w:kern w:val="1"/>
          <w:sz w:val="24"/>
          <w:szCs w:val="24"/>
        </w:rPr>
        <w:t>es of each page of each copy of each of Blake’s works. But because this approach is so well-suited to Blake, it cannot be applied beyond Blake. Even if the archive’s resources were available for download, they could not be directly compared to materials fr</w:t>
      </w:r>
      <w:r>
        <w:rPr>
          <w:rFonts w:ascii="TimesNewRomanPSMT" w:hAnsi="TimesNewRomanPSMT" w:cs="Helvetica"/>
          <w:kern w:val="1"/>
          <w:sz w:val="24"/>
          <w:szCs w:val="24"/>
        </w:rPr>
        <w:t>om another source which does not record its information at such a minute level of detail. As a result, although a great deal of excellent digital scholarship is contained in specialized micro archives, I do not examine them further in this dissertation.</w:t>
      </w:r>
    </w:p>
    <w:p w14:paraId="083F51F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03881D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Instead, I look at a set of larger archives of more contested “scholarly” status: Google Books, Project Gutenberg, and HathiTrust. Google Books may be the most infamous database of books. In a scholarly context, one hesitates even to designate this as an “</w:t>
      </w:r>
      <w:r>
        <w:rPr>
          <w:rFonts w:ascii="TimesNewRomanPSMT" w:hAnsi="TimesNewRomanPSMT" w:cs="Helvetica"/>
          <w:kern w:val="1"/>
          <w:sz w:val="24"/>
          <w:szCs w:val="24"/>
        </w:rPr>
        <w:t>archive,” particularly in the same breath as resources like ECCO: books of all kinds are scanned indiscriminately with only the bare minimum of roughly-accurate metadata collected about them. These rapidly-scanned books are prone to unpredictable errors, i</w:t>
      </w:r>
      <w:r>
        <w:rPr>
          <w:rFonts w:ascii="TimesNewRomanPSMT" w:hAnsi="TimesNewRomanPSMT" w:cs="Helvetica"/>
          <w:kern w:val="1"/>
          <w:sz w:val="24"/>
          <w:szCs w:val="24"/>
        </w:rPr>
        <w:t xml:space="preserve">ncluding inaccurate dates, misspellings, duplicate </w:t>
      </w:r>
      <w:r>
        <w:rPr>
          <w:rFonts w:ascii="TimesNewRomanPSMT" w:hAnsi="TimesNewRomanPSMT" w:cs="Helvetica"/>
          <w:kern w:val="1"/>
          <w:sz w:val="24"/>
          <w:szCs w:val="24"/>
        </w:rPr>
        <w:lastRenderedPageBreak/>
        <w:t>copies, and inaccurate subject classifications</w:t>
      </w:r>
      <w:r>
        <w:rPr>
          <w:rFonts w:ascii="TimesNewRomanPSMT" w:hAnsi="TimesNewRomanPSMT" w:cs="Helvetica"/>
          <w:kern w:val="1"/>
          <w:sz w:val="24"/>
          <w:szCs w:val="24"/>
          <w:vertAlign w:val="superscript"/>
        </w:rPr>
        <w:footnoteReference w:id="16"/>
      </w:r>
      <w:r>
        <w:rPr>
          <w:rFonts w:ascii="TimesNewRomanPSMT" w:hAnsi="TimesNewRomanPSMT" w:cs="Helvetica"/>
          <w:kern w:val="1"/>
          <w:sz w:val="24"/>
          <w:szCs w:val="24"/>
        </w:rPr>
        <w:t xml:space="preserve"> — infamously, many books have “1899” assigned as their publication date because this date was used as a placeholder for “no date”.</w:t>
      </w:r>
      <w:r>
        <w:rPr>
          <w:rFonts w:ascii="TimesNewRomanPSMT" w:hAnsi="TimesNewRomanPSMT" w:cs="Helvetica"/>
          <w:kern w:val="1"/>
          <w:sz w:val="24"/>
          <w:szCs w:val="24"/>
          <w:vertAlign w:val="superscript"/>
        </w:rPr>
        <w:footnoteReference w:id="17"/>
      </w:r>
      <w:r>
        <w:rPr>
          <w:rFonts w:ascii="TimesNewRomanPSMT" w:hAnsi="TimesNewRomanPSMT" w:cs="Helvetica"/>
          <w:kern w:val="1"/>
          <w:sz w:val="24"/>
          <w:szCs w:val="24"/>
        </w:rPr>
        <w:t xml:space="preserve"> </w:t>
      </w:r>
      <w:bookmarkStart w:id="34" w:name="Google_Books"/>
      <w:r>
        <w:rPr>
          <w:rFonts w:ascii="TimesNewRomanPSMT" w:hAnsi="TimesNewRomanPSMT" w:cs="Helvetica"/>
          <w:kern w:val="1"/>
          <w:sz w:val="24"/>
          <w:szCs w:val="24"/>
        </w:rPr>
        <w:t>Nonetheless</w:t>
      </w:r>
      <w:bookmarkEnd w:id="34"/>
      <w:r>
        <w:rPr>
          <w:rFonts w:ascii="TimesNewRomanPSMT" w:hAnsi="TimesNewRomanPSMT" w:cs="Helvetica"/>
          <w:kern w:val="1"/>
          <w:sz w:val="24"/>
          <w:szCs w:val="24"/>
        </w:rPr>
        <w:t>, Google Books</w:t>
      </w:r>
      <w:r>
        <w:rPr>
          <w:rFonts w:ascii="TimesNewRomanPSMT" w:hAnsi="TimesNewRomanPSMT" w:cs="Helvetica"/>
          <w:kern w:val="1"/>
          <w:sz w:val="24"/>
          <w:szCs w:val="24"/>
        </w:rPr>
        <w:t xml:space="preserve"> is frequently used to study the prevalence of various “n-grams” (words or short phrases) over time, thanks to Google’s built-in tool. The tool is able to search books which are, for copyright restrictions, not available directly to readers, making it high</w:t>
      </w:r>
      <w:r>
        <w:rPr>
          <w:rFonts w:ascii="TimesNewRomanPSMT" w:hAnsi="TimesNewRomanPSMT" w:cs="Helvetica"/>
          <w:kern w:val="1"/>
          <w:sz w:val="24"/>
          <w:szCs w:val="24"/>
        </w:rPr>
        <w:t>ly tempting for questions about contemporary language use.</w:t>
      </w:r>
    </w:p>
    <w:p w14:paraId="12DAF54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50026D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What makes Google Books of interest in the context of this dissertation is its relationship to HathiTrust, an increasingly popular resource for scholars. HathiTrust’s collection contains digitized</w:t>
      </w:r>
      <w:r>
        <w:rPr>
          <w:rFonts w:ascii="TimesNewRomanPSMT" w:hAnsi="TimesNewRomanPSMT" w:cs="Helvetica"/>
          <w:kern w:val="1"/>
          <w:sz w:val="24"/>
          <w:szCs w:val="24"/>
        </w:rPr>
        <w:t xml:space="preserve"> content from “a variety of sources, including Google, the Internet Archive, Microsoft, and in-house member institution initiatives.” The “in-house member institutions” include one hundred and fifty-five universities, colleges, and consortia of universitie</w:t>
      </w:r>
      <w:r>
        <w:rPr>
          <w:rFonts w:ascii="TimesNewRomanPSMT" w:hAnsi="TimesNewRomanPSMT" w:cs="Helvetica"/>
          <w:kern w:val="1"/>
          <w:sz w:val="24"/>
          <w:szCs w:val="24"/>
        </w:rPr>
        <w:t xml:space="preserve">s. The aggregate scholarly authority of these institutions carries the weight of elevating HathiTrust above the Google Books scans which form the backbone of much of its contents: “The members ensure the reliability and efficiency of the digital library,” </w:t>
      </w:r>
      <w:r>
        <w:rPr>
          <w:rFonts w:ascii="TimesNewRomanPSMT" w:hAnsi="TimesNewRomanPSMT" w:cs="Helvetica"/>
          <w:kern w:val="1"/>
          <w:sz w:val="24"/>
          <w:szCs w:val="24"/>
        </w:rPr>
        <w:t>the website assures us, “by relying on community standards and best practices.” The texts themselves are stored in the database as facsimile page images and full-text OCR transcripts. In order to comply with copyright law, however, HathiTrust only provides</w:t>
      </w:r>
      <w:r>
        <w:rPr>
          <w:rFonts w:ascii="TimesNewRomanPSMT" w:hAnsi="TimesNewRomanPSMT" w:cs="Helvetica"/>
          <w:kern w:val="1"/>
          <w:sz w:val="24"/>
          <w:szCs w:val="24"/>
        </w:rPr>
        <w:t xml:space="preserve"> large-scale downloads and OCR transcripts for texts which are in the public domain. Most scholars use HathiTrust to run experiments on OCR transcripts of copyrighted texts, which they can only access through computational workarounds that intentionally ma</w:t>
      </w:r>
      <w:r>
        <w:rPr>
          <w:rFonts w:ascii="TimesNewRomanPSMT" w:hAnsi="TimesNewRomanPSMT" w:cs="Helvetica"/>
          <w:kern w:val="1"/>
          <w:sz w:val="24"/>
          <w:szCs w:val="24"/>
        </w:rPr>
        <w:t>ke it impossible for the scholar to see the full transcript itself.</w:t>
      </w:r>
      <w:r>
        <w:rPr>
          <w:rFonts w:ascii="TimesNewRomanPSMT" w:hAnsi="TimesNewRomanPSMT" w:cs="Helvetica"/>
          <w:kern w:val="1"/>
          <w:sz w:val="24"/>
          <w:szCs w:val="24"/>
          <w:vertAlign w:val="superscript"/>
        </w:rPr>
        <w:footnoteReference w:id="18"/>
      </w:r>
      <w:r>
        <w:rPr>
          <w:rFonts w:ascii="TimesNewRomanPSMT" w:hAnsi="TimesNewRomanPSMT" w:cs="Helvetica"/>
          <w:kern w:val="1"/>
          <w:sz w:val="24"/>
          <w:szCs w:val="24"/>
        </w:rPr>
        <w:t xml:space="preserve"> </w:t>
      </w:r>
      <w:bookmarkStart w:id="35" w:name="HathiTrust"/>
      <w:r>
        <w:rPr>
          <w:rFonts w:ascii="TimesNewRomanPSMT" w:hAnsi="TimesNewRomanPSMT" w:cs="Helvetica"/>
          <w:kern w:val="1"/>
          <w:sz w:val="24"/>
          <w:szCs w:val="24"/>
        </w:rPr>
        <w:t>Through</w:t>
      </w:r>
      <w:bookmarkEnd w:id="35"/>
      <w:r>
        <w:rPr>
          <w:rFonts w:ascii="TimesNewRomanPSMT" w:hAnsi="TimesNewRomanPSMT" w:cs="Helvetica"/>
          <w:kern w:val="1"/>
          <w:sz w:val="24"/>
          <w:szCs w:val="24"/>
        </w:rPr>
        <w:t xml:space="preserve"> its </w:t>
      </w:r>
      <w:r>
        <w:rPr>
          <w:rFonts w:ascii="TimesNewRomanPSMT" w:hAnsi="TimesNewRomanPSMT" w:cs="Helvetica"/>
          <w:kern w:val="1"/>
          <w:sz w:val="24"/>
          <w:szCs w:val="24"/>
        </w:rPr>
        <w:lastRenderedPageBreak/>
        <w:t>collection, HathiTrust provides a hodgepodge of texts, of often unverifiable provenance and accuracy, selected largely by happenstance and convenience in a quest to contain al</w:t>
      </w:r>
      <w:r>
        <w:rPr>
          <w:rFonts w:ascii="TimesNewRomanPSMT" w:hAnsi="TimesNewRomanPSMT" w:cs="Helvetica"/>
          <w:kern w:val="1"/>
          <w:sz w:val="24"/>
          <w:szCs w:val="24"/>
        </w:rPr>
        <w:t>l printed books. Through its tools, however, which provide a unique solution to real barriers for scholars of contemporary literature, and through its institutional affiliations, HathiTrust has acquired a cultural captal among scholars which Google Books s</w:t>
      </w:r>
      <w:r>
        <w:rPr>
          <w:rFonts w:ascii="TimesNewRomanPSMT" w:hAnsi="TimesNewRomanPSMT" w:cs="Helvetica"/>
          <w:kern w:val="1"/>
          <w:sz w:val="24"/>
          <w:szCs w:val="24"/>
        </w:rPr>
        <w:t>till lacks.</w:t>
      </w:r>
    </w:p>
    <w:p w14:paraId="21DE047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D5DFB8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HathiTrust’s success in acquiring scholarly capital stands in interesting contrast with Project Gutenberg’s continued lack of cachet. Project Gutenberg is used in research with similar frequency to Google Books’ n-gram tool,</w:t>
      </w:r>
      <w:r>
        <w:rPr>
          <w:rFonts w:ascii="TimesNewRomanPSMT" w:hAnsi="TimesNewRomanPSMT" w:cs="Helvetica"/>
          <w:kern w:val="1"/>
          <w:sz w:val="24"/>
          <w:szCs w:val="24"/>
          <w:vertAlign w:val="superscript"/>
        </w:rPr>
        <w:footnoteReference w:id="19"/>
      </w:r>
      <w:r>
        <w:rPr>
          <w:rFonts w:ascii="TimesNewRomanPSMT" w:hAnsi="TimesNewRomanPSMT" w:cs="Helvetica"/>
          <w:kern w:val="1"/>
          <w:sz w:val="24"/>
          <w:szCs w:val="24"/>
        </w:rPr>
        <w:t xml:space="preserve"> </w:t>
      </w:r>
      <w:bookmarkStart w:id="36" w:name="Gutenberg"/>
      <w:r>
        <w:rPr>
          <w:rFonts w:ascii="TimesNewRomanPSMT" w:hAnsi="TimesNewRomanPSMT" w:cs="Helvetica"/>
          <w:kern w:val="1"/>
          <w:sz w:val="24"/>
          <w:szCs w:val="24"/>
        </w:rPr>
        <w:t>but</w:t>
      </w:r>
      <w:bookmarkEnd w:id="36"/>
      <w:r>
        <w:rPr>
          <w:rFonts w:ascii="TimesNewRomanPSMT" w:hAnsi="TimesNewRomanPSMT" w:cs="Helvetica"/>
          <w:kern w:val="1"/>
          <w:sz w:val="24"/>
          <w:szCs w:val="24"/>
        </w:rPr>
        <w:t xml:space="preserve"> scholars often mention Project Gutenberg with a note of apology for not having found a better source. Its cultural capital as a resource lags far behind its actual use and utility, likely, I argue, because its organizing principles are the ‘unserious’ one</w:t>
      </w:r>
      <w:r>
        <w:rPr>
          <w:rFonts w:ascii="TimesNewRomanPSMT" w:hAnsi="TimesNewRomanPSMT" w:cs="Helvetica"/>
          <w:kern w:val="1"/>
          <w:sz w:val="24"/>
          <w:szCs w:val="24"/>
        </w:rPr>
        <w:t>s of popularity and pleasure. Project Gutenberg is easily conceived of as a haphazard source for materials, but unlike Google Books, Project Gutenberg actually does have selection criteria. Project Gutenberg will only collect public domain works which cont</w:t>
      </w:r>
      <w:r>
        <w:rPr>
          <w:rFonts w:ascii="TimesNewRomanPSMT" w:hAnsi="TimesNewRomanPSMT" w:cs="Helvetica"/>
          <w:kern w:val="1"/>
          <w:sz w:val="24"/>
          <w:szCs w:val="24"/>
        </w:rPr>
        <w:t xml:space="preserve">emporary audiences might be interested in reading for pleasure. This criteria might not render Project Gutenberg more useful for scholarly work but, it nonetheless narrows its selection substantially. Project Gutenberg includes 57,796 texts: far more than </w:t>
      </w:r>
      <w:r>
        <w:rPr>
          <w:rFonts w:ascii="TimesNewRomanPSMT" w:hAnsi="TimesNewRomanPSMT" w:cs="Helvetica"/>
          <w:kern w:val="1"/>
          <w:sz w:val="24"/>
          <w:szCs w:val="24"/>
        </w:rPr>
        <w:t xml:space="preserve">specialized scholarly archives like the Early Novels Database or the Shelley-Godwin Archive, but an order of magnitude fewer than its more-voracious potential competitors. In taking Project Gutenberg seriously as a collection of </w:t>
      </w:r>
      <w:r>
        <w:rPr>
          <w:rFonts w:ascii="TimesNewRomanPSMT" w:hAnsi="TimesNewRomanPSMT" w:cs="Helvetica"/>
          <w:kern w:val="1"/>
          <w:sz w:val="24"/>
          <w:szCs w:val="24"/>
        </w:rPr>
        <w:lastRenderedPageBreak/>
        <w:t>texts, I seek to explore th</w:t>
      </w:r>
      <w:r>
        <w:rPr>
          <w:rFonts w:ascii="TimesNewRomanPSMT" w:hAnsi="TimesNewRomanPSMT" w:cs="Helvetica"/>
          <w:kern w:val="1"/>
          <w:sz w:val="24"/>
          <w:szCs w:val="24"/>
        </w:rPr>
        <w:t>e extent to which its reputation as “unreliable” may or may not be deserved.</w:t>
      </w:r>
    </w:p>
    <w:p w14:paraId="79867F7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7D5F9B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37" w:name="conclusion"/>
      <w:r>
        <w:rPr>
          <w:rFonts w:ascii="TimesNewRomanPSMT" w:hAnsi="TimesNewRomanPSMT" w:cs="Helvetica"/>
          <w:kern w:val="1"/>
          <w:sz w:val="24"/>
          <w:szCs w:val="24"/>
        </w:rPr>
        <w:t>As</w:t>
      </w:r>
      <w:bookmarkEnd w:id="37"/>
      <w:r>
        <w:rPr>
          <w:rFonts w:ascii="TimesNewRomanPSMT" w:hAnsi="TimesNewRomanPSMT" w:cs="Helvetica"/>
          <w:kern w:val="1"/>
          <w:sz w:val="24"/>
          <w:szCs w:val="24"/>
        </w:rPr>
        <w:t xml:space="preserve"> this brief survey of eighteenth-century digital archives shows, there is no ‘perfect’ corpus for large-scale study of eighteenth-century texts.  Moreover, I argue, the imperfe</w:t>
      </w:r>
      <w:r>
        <w:rPr>
          <w:rFonts w:ascii="TimesNewRomanPSMT" w:hAnsi="TimesNewRomanPSMT" w:cs="Helvetica"/>
          <w:kern w:val="1"/>
          <w:sz w:val="24"/>
          <w:szCs w:val="24"/>
        </w:rPr>
        <w:t xml:space="preserve">ct samples which each archive provides are shaped not only by historical factors of eighteenth-century print culture, but also by contemporary digital culture. Each archive represents a unique set of choices in response to the same sets of questions: what </w:t>
      </w:r>
      <w:r>
        <w:rPr>
          <w:rFonts w:ascii="TimesNewRomanPSMT" w:hAnsi="TimesNewRomanPSMT" w:cs="Helvetica"/>
          <w:kern w:val="1"/>
          <w:sz w:val="24"/>
          <w:szCs w:val="24"/>
        </w:rPr>
        <w:t xml:space="preserve">to include, why, how; what to make accessible, why, how, to whom; what, in the end, makes a text matter, and what we are meant to </w:t>
      </w:r>
      <w:r>
        <w:rPr>
          <w:rFonts w:ascii="TimesNewRomanPSMT" w:hAnsi="TimesNewRomanPSMT" w:cs="Helvetica"/>
          <w:i/>
          <w:kern w:val="1"/>
          <w:sz w:val="24"/>
          <w:szCs w:val="24"/>
        </w:rPr>
        <w:t>do</w:t>
      </w:r>
      <w:r>
        <w:rPr>
          <w:rFonts w:ascii="TimesNewRomanPSMT" w:hAnsi="TimesNewRomanPSMT" w:cs="Helvetica"/>
          <w:kern w:val="1"/>
          <w:sz w:val="24"/>
          <w:szCs w:val="24"/>
        </w:rPr>
        <w:t xml:space="preserve"> with texts. As this dissertation will argue, these questions of digital history have important resonance with literary ques</w:t>
      </w:r>
      <w:r>
        <w:rPr>
          <w:rFonts w:ascii="TimesNewRomanPSMT" w:hAnsi="TimesNewRomanPSMT" w:cs="Helvetica"/>
          <w:kern w:val="1"/>
          <w:sz w:val="24"/>
          <w:szCs w:val="24"/>
        </w:rPr>
        <w:t>tions about literary canon formation.</w:t>
      </w:r>
    </w:p>
    <w:p w14:paraId="26DA8FF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9D1DB70"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4.  </w:t>
      </w:r>
      <w:bookmarkStart w:id="38" w:name="my_authors"/>
      <w:r>
        <w:rPr>
          <w:rFonts w:ascii="Georgia" w:hAnsi="Georgia" w:cs="Helvetica"/>
          <w:b/>
          <w:kern w:val="1"/>
          <w:sz w:val="26"/>
          <w:szCs w:val="24"/>
        </w:rPr>
        <w:t>my authors</w:t>
      </w:r>
      <w:bookmarkEnd w:id="38"/>
    </w:p>
    <w:p w14:paraId="72DC0FF5"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7F5D13A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All of the computational work in this dissertation aims to identify, in as minute detail as possible, all works printed in England between January 1 1789 and December 31 1799. This eleven-year “decade”</w:t>
      </w:r>
      <w:r>
        <w:rPr>
          <w:rFonts w:ascii="TimesNewRomanPSMT" w:hAnsi="TimesNewRomanPSMT" w:cs="Helvetica"/>
          <w:kern w:val="1"/>
          <w:sz w:val="24"/>
          <w:szCs w:val="24"/>
        </w:rPr>
        <w:t xml:space="preserve"> was a turbulent one across the Channel, encompassing the whole of the French Revolution, from the Estates General in 1789 to Napoleon’s coup in 1799.</w:t>
      </w:r>
      <w:r>
        <w:rPr>
          <w:rFonts w:ascii="TimesNewRomanPSMT" w:hAnsi="TimesNewRomanPSMT" w:cs="Helvetica"/>
          <w:kern w:val="1"/>
          <w:sz w:val="24"/>
          <w:szCs w:val="24"/>
          <w:vertAlign w:val="superscript"/>
        </w:rPr>
        <w:footnoteReference w:id="20"/>
      </w:r>
      <w:r>
        <w:rPr>
          <w:rFonts w:ascii="TimesNewRomanPSMT" w:hAnsi="TimesNewRomanPSMT" w:cs="Helvetica"/>
          <w:kern w:val="1"/>
          <w:sz w:val="24"/>
          <w:szCs w:val="24"/>
        </w:rPr>
        <w:t xml:space="preserve"> </w:t>
      </w:r>
      <w:bookmarkStart w:id="39" w:name="1790s"/>
      <w:r>
        <w:rPr>
          <w:rFonts w:ascii="TimesNewRomanPSMT" w:hAnsi="TimesNewRomanPSMT" w:cs="Helvetica"/>
          <w:kern w:val="1"/>
          <w:sz w:val="24"/>
          <w:szCs w:val="24"/>
        </w:rPr>
        <w:t>In</w:t>
      </w:r>
      <w:bookmarkEnd w:id="39"/>
      <w:r>
        <w:rPr>
          <w:rFonts w:ascii="TimesNewRomanPSMT" w:hAnsi="TimesNewRomanPSMT" w:cs="Helvetica"/>
          <w:kern w:val="1"/>
          <w:sz w:val="24"/>
          <w:szCs w:val="24"/>
        </w:rPr>
        <w:t xml:space="preserve"> England, these events caused strong and variously nationalist reactions in a country which had so rec</w:t>
      </w:r>
      <w:r>
        <w:rPr>
          <w:rFonts w:ascii="TimesNewRomanPSMT" w:hAnsi="TimesNewRomanPSMT" w:cs="Helvetica"/>
          <w:kern w:val="1"/>
          <w:sz w:val="24"/>
          <w:szCs w:val="24"/>
        </w:rPr>
        <w:t xml:space="preserve">ently </w:t>
      </w:r>
      <w:r>
        <w:rPr>
          <w:rFonts w:ascii="TimesNewRomanPSMT" w:hAnsi="TimesNewRomanPSMT" w:cs="Helvetica"/>
          <w:kern w:val="1"/>
          <w:sz w:val="24"/>
          <w:szCs w:val="24"/>
        </w:rPr>
        <w:lastRenderedPageBreak/>
        <w:t xml:space="preserve">lost its colonies in America and feared that a French invasion could come at any moment. This is the decade of </w:t>
      </w:r>
      <w:r>
        <w:rPr>
          <w:rFonts w:ascii="TimesNewRomanPSMT" w:hAnsi="TimesNewRomanPSMT" w:cs="Helvetica"/>
          <w:i/>
          <w:kern w:val="1"/>
          <w:sz w:val="24"/>
          <w:szCs w:val="24"/>
        </w:rPr>
        <w:t>Common Sense</w:t>
      </w:r>
      <w:r>
        <w:rPr>
          <w:rFonts w:ascii="TimesNewRomanPSMT" w:hAnsi="TimesNewRomanPSMT" w:cs="Helvetica"/>
          <w:kern w:val="1"/>
          <w:sz w:val="24"/>
          <w:szCs w:val="24"/>
        </w:rPr>
        <w:t xml:space="preserve">, it is the decade of </w:t>
      </w:r>
      <w:r>
        <w:rPr>
          <w:rFonts w:ascii="TimesNewRomanPSMT" w:hAnsi="TimesNewRomanPSMT" w:cs="Helvetica"/>
          <w:i/>
          <w:kern w:val="1"/>
          <w:sz w:val="24"/>
          <w:szCs w:val="24"/>
        </w:rPr>
        <w:t>Lyrical Ballads</w:t>
      </w:r>
      <w:r>
        <w:rPr>
          <w:rFonts w:ascii="TimesNewRomanPSMT" w:hAnsi="TimesNewRomanPSMT" w:cs="Helvetica"/>
          <w:kern w:val="1"/>
          <w:sz w:val="24"/>
          <w:szCs w:val="24"/>
        </w:rPr>
        <w:t>; it is the decade of Hannah More, it is the decade of Ann Radcliffe; it was the age of wi</w:t>
      </w:r>
      <w:r>
        <w:rPr>
          <w:rFonts w:ascii="TimesNewRomanPSMT" w:hAnsi="TimesNewRomanPSMT" w:cs="Helvetica"/>
          <w:kern w:val="1"/>
          <w:sz w:val="24"/>
          <w:szCs w:val="24"/>
        </w:rPr>
        <w:t>sdom, it was the age of foolishness; it was the epoch of belief, it was the epoch of incredulity. Charles Dickens’ now-famous superlatives capture the tension often seen by scholars between ‘Enlightenment’ modes of writing and ‘Romantic’ or ‘Gothic’ modes.</w:t>
      </w:r>
    </w:p>
    <w:p w14:paraId="30C7CC0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BEA103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Scholarship on 18thC works often takes the form of evaluating or assigning the cultural capital of individual works, or, perhaps, analyzing the strategies by which they accrue or fail to accrue that capital. The winners of the cultural capital game are t</w:t>
      </w:r>
      <w:r>
        <w:rPr>
          <w:rFonts w:ascii="TimesNewRomanPSMT" w:hAnsi="TimesNewRomanPSMT" w:cs="Helvetica"/>
          <w:kern w:val="1"/>
          <w:sz w:val="24"/>
          <w:szCs w:val="24"/>
        </w:rPr>
        <w:t xml:space="preserve">he Romantics in poetry and Walter Scott in prose. For example, Simon Bainbridge examines the decade and its poetry through the lens of war to identify “the attempts made by several writers to fill the role of national bard prior to Scott” (3). Both poetry </w:t>
      </w:r>
      <w:r>
        <w:rPr>
          <w:rFonts w:ascii="TimesNewRomanPSMT" w:hAnsi="TimesNewRomanPSMT" w:cs="Helvetica"/>
          <w:kern w:val="1"/>
          <w:sz w:val="24"/>
          <w:szCs w:val="24"/>
        </w:rPr>
        <w:t xml:space="preserve">and the poet, in his conception, are pursuing a particular kind of cultural capital that allows them to rise above their own popularity. Richard Cronin’s </w:t>
      </w:r>
      <w:r>
        <w:rPr>
          <w:rFonts w:ascii="TimesNewRomanPSMT" w:hAnsi="TimesNewRomanPSMT" w:cs="Helvetica"/>
          <w:i/>
          <w:kern w:val="1"/>
          <w:sz w:val="24"/>
          <w:szCs w:val="24"/>
        </w:rPr>
        <w:t>The Politics of Romantic Poetry</w:t>
      </w:r>
      <w:r>
        <w:rPr>
          <w:rFonts w:ascii="TimesNewRomanPSMT" w:hAnsi="TimesNewRomanPSMT" w:cs="Helvetica"/>
          <w:kern w:val="1"/>
          <w:sz w:val="24"/>
          <w:szCs w:val="24"/>
        </w:rPr>
        <w:t xml:space="preserve"> and Robert Miles’ </w:t>
      </w:r>
      <w:r>
        <w:rPr>
          <w:rFonts w:ascii="TimesNewRomanPSMT" w:hAnsi="TimesNewRomanPSMT" w:cs="Helvetica"/>
          <w:kern w:val="1"/>
          <w:sz w:val="24"/>
          <w:szCs w:val="24"/>
          <w:highlight w:val="magenta"/>
        </w:rPr>
        <w:t>[WHICHEVER ONE IT IS]</w:t>
      </w:r>
      <w:r>
        <w:rPr>
          <w:rFonts w:ascii="TimesNewRomanPSMT" w:hAnsi="TimesNewRomanPSMT" w:cs="Helvetica"/>
          <w:kern w:val="1"/>
          <w:sz w:val="24"/>
          <w:szCs w:val="24"/>
        </w:rPr>
        <w:t xml:space="preserve">, too, seem to treat Scott’s </w:t>
      </w:r>
      <w:r>
        <w:rPr>
          <w:rFonts w:ascii="TimesNewRomanPSMT" w:hAnsi="TimesNewRomanPSMT" w:cs="Helvetica"/>
          <w:kern w:val="1"/>
          <w:sz w:val="24"/>
          <w:szCs w:val="24"/>
          <w:highlight w:val="magenta"/>
        </w:rPr>
        <w:t>[i</w:t>
      </w:r>
      <w:r>
        <w:rPr>
          <w:rFonts w:ascii="TimesNewRomanPSMT" w:hAnsi="TimesNewRomanPSMT" w:cs="Helvetica"/>
          <w:kern w:val="1"/>
          <w:sz w:val="24"/>
          <w:szCs w:val="24"/>
          <w:highlight w:val="magenta"/>
        </w:rPr>
        <w:t>ntensely serious popular romances]</w:t>
      </w:r>
      <w:r>
        <w:rPr>
          <w:rFonts w:ascii="TimesNewRomanPSMT" w:hAnsi="TimesNewRomanPSMT" w:cs="Helvetica"/>
          <w:kern w:val="1"/>
          <w:sz w:val="24"/>
          <w:szCs w:val="24"/>
        </w:rPr>
        <w:t xml:space="preserve"> as the teleological end of the late eighteenth century birth development within the novel. These works follow a pattern established from the beginning with </w:t>
      </w:r>
      <w:r>
        <w:rPr>
          <w:rFonts w:ascii="TimesNewRomanPSMT" w:hAnsi="TimesNewRomanPSMT" w:cs="Helvetica"/>
          <w:kern w:val="1"/>
          <w:sz w:val="24"/>
          <w:szCs w:val="24"/>
          <w:highlight w:val="magenta"/>
        </w:rPr>
        <w:t>[Kiely and Tompkins]</w:t>
      </w:r>
      <w:r>
        <w:rPr>
          <w:rFonts w:ascii="TimesNewRomanPSMT" w:hAnsi="TimesNewRomanPSMT" w:cs="Helvetica"/>
          <w:kern w:val="1"/>
          <w:sz w:val="24"/>
          <w:szCs w:val="24"/>
        </w:rPr>
        <w:t xml:space="preserve">, of treating the novel as synonymous with the realist novel, and treating Romantic and especially Gothic novels as aberrations in the history of the novel, a problem which needs to be explained away. E.J. Clery’s </w:t>
      </w:r>
      <w:r>
        <w:rPr>
          <w:rFonts w:ascii="TimesNewRomanPSMT" w:hAnsi="TimesNewRomanPSMT" w:cs="Helvetica"/>
          <w:i/>
          <w:kern w:val="1"/>
          <w:sz w:val="24"/>
          <w:szCs w:val="24"/>
        </w:rPr>
        <w:t>The Rise of Supernatural Fiction</w:t>
      </w:r>
      <w:r>
        <w:rPr>
          <w:rFonts w:ascii="TimesNewRomanPSMT" w:hAnsi="TimesNewRomanPSMT" w:cs="Helvetica"/>
          <w:kern w:val="1"/>
          <w:sz w:val="24"/>
          <w:szCs w:val="24"/>
        </w:rPr>
        <w:t xml:space="preserve"> has exami</w:t>
      </w:r>
      <w:r>
        <w:rPr>
          <w:rFonts w:ascii="TimesNewRomanPSMT" w:hAnsi="TimesNewRomanPSMT" w:cs="Helvetica"/>
          <w:kern w:val="1"/>
          <w:sz w:val="24"/>
          <w:szCs w:val="24"/>
        </w:rPr>
        <w:t>ned at length the historical conditions by which supernatural plot elements began to make limited claims to literary seriousness throughout the eighteenth century. The “rise” she describes is not an increase in volume and prominence of supernatural stories</w:t>
      </w:r>
      <w:r>
        <w:rPr>
          <w:rFonts w:ascii="TimesNewRomanPSMT" w:hAnsi="TimesNewRomanPSMT" w:cs="Helvetica"/>
          <w:kern w:val="1"/>
          <w:sz w:val="24"/>
          <w:szCs w:val="24"/>
        </w:rPr>
        <w:t xml:space="preserve">, since </w:t>
      </w:r>
      <w:r>
        <w:rPr>
          <w:rFonts w:ascii="TimesNewRomanPSMT" w:hAnsi="TimesNewRomanPSMT" w:cs="Helvetica"/>
          <w:kern w:val="1"/>
          <w:sz w:val="24"/>
          <w:szCs w:val="24"/>
        </w:rPr>
        <w:lastRenderedPageBreak/>
        <w:t>her starting point in 1762 (the Cock Lane ghost) is a major national phenomenon with many imitators. Rather, supernatural fiction ‘rises’ when it acquires cultural legitimacy. Michael Gamer has more recently expanded on how this ‘rise’ fuelled Roma</w:t>
      </w:r>
      <w:r>
        <w:rPr>
          <w:rFonts w:ascii="TimesNewRomanPSMT" w:hAnsi="TimesNewRomanPSMT" w:cs="Helvetica"/>
          <w:kern w:val="1"/>
          <w:sz w:val="24"/>
          <w:szCs w:val="24"/>
        </w:rPr>
        <w:t xml:space="preserve">nticism’s own rise. Gamer, like Bainbridge and Cronin, primarily examines Wordsworth and the ‘winners’ of the struggle for cultural capital: I, like Clery, am more interested in the ‘losers.’ Accordingly, I attend to much that is </w:t>
      </w:r>
      <w:r>
        <w:rPr>
          <w:rFonts w:ascii="TimesNewRomanPSMT" w:hAnsi="TimesNewRomanPSMT" w:cs="Helvetica"/>
          <w:i/>
          <w:kern w:val="1"/>
          <w:sz w:val="24"/>
          <w:szCs w:val="24"/>
        </w:rPr>
        <w:t>not</w:t>
      </w:r>
      <w:r>
        <w:rPr>
          <w:rFonts w:ascii="TimesNewRomanPSMT" w:hAnsi="TimesNewRomanPSMT" w:cs="Helvetica"/>
          <w:kern w:val="1"/>
          <w:sz w:val="24"/>
          <w:szCs w:val="24"/>
        </w:rPr>
        <w:t xml:space="preserve"> literature, in order t</w:t>
      </w:r>
      <w:r>
        <w:rPr>
          <w:rFonts w:ascii="TimesNewRomanPSMT" w:hAnsi="TimesNewRomanPSMT" w:cs="Helvetica"/>
          <w:kern w:val="1"/>
          <w:sz w:val="24"/>
          <w:szCs w:val="24"/>
        </w:rPr>
        <w:t>o better understand why it is not.</w:t>
      </w:r>
    </w:p>
    <w:p w14:paraId="5D7CDD4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A40E75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40" w:name="my_authors-1"/>
      <w:r>
        <w:rPr>
          <w:rFonts w:ascii="TimesNewRomanPSMT" w:hAnsi="TimesNewRomanPSMT" w:cs="Helvetica"/>
          <w:kern w:val="1"/>
          <w:sz w:val="24"/>
          <w:szCs w:val="24"/>
        </w:rPr>
        <w:t>To</w:t>
      </w:r>
      <w:bookmarkEnd w:id="40"/>
      <w:r>
        <w:rPr>
          <w:rFonts w:ascii="TimesNewRomanPSMT" w:hAnsi="TimesNewRomanPSMT" w:cs="Helvetica"/>
          <w:kern w:val="1"/>
          <w:sz w:val="24"/>
          <w:szCs w:val="24"/>
        </w:rPr>
        <w:t xml:space="preserve"> navigate the 1790s, I turn to four authors whose careers and works usefully focalize my core questions of genre, publics, and the status of literature. These authors are Hannah More, Charlotte Smith, Mary Robinson, an</w:t>
      </w:r>
      <w:r>
        <w:rPr>
          <w:rFonts w:ascii="TimesNewRomanPSMT" w:hAnsi="TimesNewRomanPSMT" w:cs="Helvetica"/>
          <w:kern w:val="1"/>
          <w:sz w:val="24"/>
          <w:szCs w:val="24"/>
        </w:rPr>
        <w:t>d Ann Radcliffe. All four authors were highly productive in the 1790s, and all four had complex and contested literary legacies after the 1790s. As literary scholars re-assess ideas about literary seriousness, popularity, and women’s writing, our assessmen</w:t>
      </w:r>
      <w:r>
        <w:rPr>
          <w:rFonts w:ascii="TimesNewRomanPSMT" w:hAnsi="TimesNewRomanPSMT" w:cs="Helvetica"/>
          <w:kern w:val="1"/>
          <w:sz w:val="24"/>
          <w:szCs w:val="24"/>
        </w:rPr>
        <w:t>t of these authors has shifted as well. By examining their bibliographies with computational methods, I again ask how they might look different if we look at them a different way. In the following chapters of this dissertation, I will ask whether and how c</w:t>
      </w:r>
      <w:r>
        <w:rPr>
          <w:rFonts w:ascii="TimesNewRomanPSMT" w:hAnsi="TimesNewRomanPSMT" w:cs="Helvetica"/>
          <w:kern w:val="1"/>
          <w:sz w:val="24"/>
          <w:szCs w:val="24"/>
        </w:rPr>
        <w:t>ontemporary digital archives make these authors visible. To introduce each of those chapters, I provide here a brief overview of each author’s major works, general biography, and critical reception.</w:t>
      </w:r>
    </w:p>
    <w:p w14:paraId="46F807E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45479E5"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4.1.  </w:t>
      </w:r>
      <w:bookmarkStart w:id="41" w:name="Charlotte_Smith"/>
      <w:r>
        <w:rPr>
          <w:rFonts w:ascii="Georgia" w:hAnsi="Georgia" w:cs="Helvetica"/>
          <w:b/>
          <w:kern w:val="1"/>
          <w:sz w:val="26"/>
          <w:szCs w:val="24"/>
        </w:rPr>
        <w:t>Charlotte Smith</w:t>
      </w:r>
      <w:bookmarkEnd w:id="41"/>
    </w:p>
    <w:p w14:paraId="27D51086"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33E79F5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i/>
          <w:kern w:val="1"/>
          <w:sz w:val="24"/>
          <w:szCs w:val="24"/>
        </w:rPr>
      </w:pPr>
      <w:bookmarkStart w:id="42" w:name="writing"/>
      <w:r>
        <w:rPr>
          <w:rFonts w:ascii="TimesNewRomanPSMT" w:hAnsi="TimesNewRomanPSMT" w:cs="Helvetica"/>
          <w:kern w:val="1"/>
          <w:sz w:val="24"/>
          <w:szCs w:val="24"/>
        </w:rPr>
        <w:t>Chapter</w:t>
      </w:r>
      <w:bookmarkEnd w:id="42"/>
      <w:r>
        <w:rPr>
          <w:rFonts w:ascii="TimesNewRomanPSMT" w:hAnsi="TimesNewRomanPSMT" w:cs="Helvetica"/>
          <w:kern w:val="1"/>
          <w:sz w:val="24"/>
          <w:szCs w:val="24"/>
        </w:rPr>
        <w:t xml:space="preserve"> 2 of this dissertation ex</w:t>
      </w:r>
      <w:r>
        <w:rPr>
          <w:rFonts w:ascii="TimesNewRomanPSMT" w:hAnsi="TimesNewRomanPSMT" w:cs="Helvetica"/>
          <w:kern w:val="1"/>
          <w:sz w:val="24"/>
          <w:szCs w:val="24"/>
        </w:rPr>
        <w:t xml:space="preserve">amines the works of Charlotte Smith across several digital corpora. Charlotte Smith is selected as a writer who was productive in multiple genres, only </w:t>
      </w:r>
      <w:r>
        <w:rPr>
          <w:rFonts w:ascii="TimesNewRomanPSMT" w:hAnsi="TimesNewRomanPSMT" w:cs="Helvetica"/>
          <w:kern w:val="1"/>
          <w:sz w:val="24"/>
          <w:szCs w:val="24"/>
        </w:rPr>
        <w:lastRenderedPageBreak/>
        <w:t>some of which may end up represented in corpora. Charlotte Smith’s literary career began with the public</w:t>
      </w:r>
      <w:r>
        <w:rPr>
          <w:rFonts w:ascii="TimesNewRomanPSMT" w:hAnsi="TimesNewRomanPSMT" w:cs="Helvetica"/>
          <w:kern w:val="1"/>
          <w:sz w:val="24"/>
          <w:szCs w:val="24"/>
        </w:rPr>
        <w:t xml:space="preserve">ation of her volume of poetry </w:t>
      </w:r>
      <w:r>
        <w:rPr>
          <w:rFonts w:ascii="TimesNewRomanPSMT" w:hAnsi="TimesNewRomanPSMT" w:cs="Helvetica"/>
          <w:i/>
          <w:kern w:val="1"/>
          <w:sz w:val="24"/>
          <w:szCs w:val="24"/>
        </w:rPr>
        <w:t>Elegiac Sonnets</w:t>
      </w:r>
      <w:r>
        <w:rPr>
          <w:rFonts w:ascii="TimesNewRomanPSMT" w:hAnsi="TimesNewRomanPSMT" w:cs="Helvetica"/>
          <w:kern w:val="1"/>
          <w:sz w:val="24"/>
          <w:szCs w:val="24"/>
        </w:rPr>
        <w:t>, in 1784</w:t>
      </w:r>
      <w:commentRangeStart w:id="43"/>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"scrivcmt://824E9F10-6002-42BA-B525-687FED84D6C2"</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w:t>
      </w:r>
      <w:r>
        <w:rPr>
          <w:rFonts w:ascii="TimesNewRomanPSMT" w:hAnsi="TimesNewRomanPSMT" w:cs="Helvetica"/>
          <w:kern w:val="1"/>
          <w:sz w:val="24"/>
          <w:szCs w:val="24"/>
        </w:rPr>
        <w:fldChar w:fldCharType="end"/>
      </w:r>
      <w:commentRangeEnd w:id="43"/>
      <w:r>
        <w:rPr>
          <w:rFonts w:ascii="TimesNewRomanPSMT" w:hAnsi="TimesNewRomanPSMT" w:cs="Helvetica"/>
          <w:kern w:val="1"/>
          <w:sz w:val="24"/>
          <w:szCs w:val="24"/>
        </w:rPr>
        <w:commentReference w:id="43"/>
      </w:r>
      <w:r>
        <w:rPr>
          <w:rFonts w:ascii="TimesNewRomanPSMT" w:hAnsi="TimesNewRomanPSMT" w:cs="Helvetica"/>
          <w:kern w:val="1"/>
          <w:sz w:val="24"/>
          <w:szCs w:val="24"/>
        </w:rPr>
        <w:t xml:space="preserve"> This work is the one upon which much of Smith’s fame and prestige rested in the eighteenth century. A second edition of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rapidly followed the first in the same year, with only slight amendments. The third and fourth editions of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appeared in 1786, adding new poems. 1786 also saw the publication of Smith’s </w:t>
      </w:r>
      <w:r>
        <w:rPr>
          <w:rFonts w:ascii="TimesNewRomanPSMT" w:hAnsi="TimesNewRomanPSMT" w:cs="Helvetica"/>
          <w:i/>
          <w:kern w:val="1"/>
          <w:sz w:val="24"/>
          <w:szCs w:val="24"/>
        </w:rPr>
        <w:t>The Romance of Real Life</w:t>
      </w:r>
      <w:r>
        <w:rPr>
          <w:rFonts w:ascii="TimesNewRomanPSMT" w:hAnsi="TimesNewRomanPSMT" w:cs="Helvetica"/>
          <w:kern w:val="1"/>
          <w:sz w:val="24"/>
          <w:szCs w:val="24"/>
        </w:rPr>
        <w:t xml:space="preserve">, a translation of </w:t>
      </w:r>
      <w:r>
        <w:rPr>
          <w:rFonts w:ascii="TimesNewRomanPSMT" w:hAnsi="TimesNewRomanPSMT" w:cs="Helvetica"/>
          <w:i/>
          <w:kern w:val="1"/>
          <w:sz w:val="24"/>
          <w:szCs w:val="24"/>
        </w:rPr>
        <w:t>Les Causes C</w:t>
      </w:r>
      <w:r>
        <w:rPr>
          <w:rFonts w:ascii="TimesNewRomanPSMT" w:hAnsi="TimesNewRomanPSMT" w:cs="Helvetica"/>
          <w:i/>
          <w:kern w:val="1"/>
          <w:sz w:val="24"/>
          <w:szCs w:val="24"/>
        </w:rPr>
        <w:t xml:space="preserve">élèbres, </w:t>
      </w:r>
      <w:r>
        <w:rPr>
          <w:rFonts w:ascii="TimesNewRomanPSMT" w:hAnsi="TimesNewRomanPSMT" w:cs="Helvetica"/>
          <w:kern w:val="1"/>
          <w:sz w:val="24"/>
          <w:szCs w:val="24"/>
        </w:rPr>
        <w:t xml:space="preserve">her first foray into prose, which would occupy the major part of the next phase of her career. In 1788 she published her first original novel, </w:t>
      </w:r>
      <w:r>
        <w:rPr>
          <w:rFonts w:ascii="TimesNewRomanPSMT" w:hAnsi="TimesNewRomanPSMT" w:cs="Helvetica"/>
          <w:i/>
          <w:kern w:val="1"/>
          <w:sz w:val="24"/>
          <w:szCs w:val="24"/>
        </w:rPr>
        <w:t>Emmeline, or the Orphan of the Castle</w:t>
      </w:r>
      <w:r>
        <w:rPr>
          <w:rFonts w:ascii="TimesNewRomanPSMT" w:hAnsi="TimesNewRomanPSMT" w:cs="Helvetica"/>
          <w:kern w:val="1"/>
          <w:sz w:val="24"/>
          <w:szCs w:val="24"/>
        </w:rPr>
        <w:t>. 1789 begins this dissertation’s decade of interest, a period of i</w:t>
      </w:r>
      <w:r>
        <w:rPr>
          <w:rFonts w:ascii="TimesNewRomanPSMT" w:hAnsi="TimesNewRomanPSMT" w:cs="Helvetica"/>
          <w:kern w:val="1"/>
          <w:sz w:val="24"/>
          <w:szCs w:val="24"/>
        </w:rPr>
        <w:t xml:space="preserve">ntense productivity for Smith: she had at least one new publication almost every year from 1789-1799. In 1789, she published her second original novel, </w:t>
      </w:r>
      <w:r>
        <w:rPr>
          <w:rFonts w:ascii="TimesNewRomanPSMT" w:hAnsi="TimesNewRomanPSMT" w:cs="Helvetica"/>
          <w:i/>
          <w:kern w:val="1"/>
          <w:sz w:val="24"/>
          <w:szCs w:val="24"/>
        </w:rPr>
        <w:t>Ethelinde, or the Recluse of the Lake</w:t>
      </w:r>
      <w:r>
        <w:rPr>
          <w:rFonts w:ascii="TimesNewRomanPSMT" w:hAnsi="TimesNewRomanPSMT" w:cs="Helvetica"/>
          <w:kern w:val="1"/>
          <w:sz w:val="24"/>
          <w:szCs w:val="24"/>
        </w:rPr>
        <w:t xml:space="preserve">, and a fifth edition of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In 1791 she published </w:t>
      </w:r>
      <w:r>
        <w:rPr>
          <w:rFonts w:ascii="TimesNewRomanPSMT" w:hAnsi="TimesNewRomanPSMT" w:cs="Helvetica"/>
          <w:i/>
          <w:kern w:val="1"/>
          <w:sz w:val="24"/>
          <w:szCs w:val="24"/>
        </w:rPr>
        <w:t>Cel</w:t>
      </w:r>
      <w:r>
        <w:rPr>
          <w:rFonts w:ascii="TimesNewRomanPSMT" w:hAnsi="TimesNewRomanPSMT" w:cs="Helvetica"/>
          <w:i/>
          <w:kern w:val="1"/>
          <w:sz w:val="24"/>
          <w:szCs w:val="24"/>
        </w:rPr>
        <w:t>estina,</w:t>
      </w:r>
      <w:r>
        <w:rPr>
          <w:rFonts w:ascii="TimesNewRomanPSMT" w:hAnsi="TimesNewRomanPSMT" w:cs="Helvetica"/>
          <w:kern w:val="1"/>
          <w:sz w:val="24"/>
          <w:szCs w:val="24"/>
        </w:rPr>
        <w:t xml:space="preserve"> her third novel; in 1792, her fourth novel, </w:t>
      </w:r>
      <w:commentRangeStart w:id="44"/>
      <w:r>
        <w:rPr>
          <w:rFonts w:ascii="TimesNewRomanPSMT" w:hAnsi="TimesNewRomanPSMT" w:cs="Helvetica"/>
          <w:i/>
          <w:kern w:val="1"/>
          <w:sz w:val="24"/>
          <w:szCs w:val="24"/>
        </w:rPr>
        <w:fldChar w:fldCharType="begin"/>
      </w:r>
      <w:r>
        <w:rPr>
          <w:rFonts w:ascii="TimesNewRomanPSMT" w:hAnsi="TimesNewRomanPSMT" w:cs="Helvetica"/>
          <w:i/>
          <w:kern w:val="1"/>
          <w:sz w:val="24"/>
          <w:szCs w:val="24"/>
        </w:rPr>
        <w:instrText>HYPERLINK "scrivcmt://C0006E63-AA33-44EE-8561-D8B5C5581CC4"</w:instrText>
      </w:r>
      <w:r>
        <w:rPr>
          <w:rFonts w:ascii="TimesNewRomanPSMT" w:hAnsi="TimesNewRomanPSMT" w:cs="Helvetica"/>
          <w:i/>
          <w:kern w:val="1"/>
          <w:sz w:val="24"/>
          <w:szCs w:val="24"/>
        </w:rPr>
        <w:fldChar w:fldCharType="separate"/>
      </w:r>
      <w:r>
        <w:rPr>
          <w:rFonts w:ascii="TimesNewRomanPSMT" w:hAnsi="TimesNewRomanPSMT" w:cs="Helvetica"/>
          <w:i/>
          <w:kern w:val="1"/>
          <w:sz w:val="24"/>
          <w:szCs w:val="24"/>
        </w:rPr>
        <w:t>Desmond</w:t>
      </w:r>
      <w:r>
        <w:rPr>
          <w:rFonts w:ascii="TimesNewRomanPSMT" w:hAnsi="TimesNewRomanPSMT" w:cs="Helvetica"/>
          <w:i/>
          <w:kern w:val="1"/>
          <w:sz w:val="24"/>
          <w:szCs w:val="24"/>
        </w:rPr>
        <w:fldChar w:fldCharType="end"/>
      </w:r>
      <w:commentRangeEnd w:id="44"/>
      <w:r>
        <w:rPr>
          <w:rFonts w:ascii="TimesNewRomanPSMT" w:hAnsi="TimesNewRomanPSMT" w:cs="Helvetica"/>
          <w:kern w:val="1"/>
          <w:sz w:val="24"/>
          <w:szCs w:val="24"/>
        </w:rPr>
        <w:commentReference w:id="44"/>
      </w:r>
      <w:r>
        <w:rPr>
          <w:rFonts w:ascii="TimesNewRomanPSMT" w:hAnsi="TimesNewRomanPSMT" w:cs="Helvetica"/>
          <w:kern w:val="1"/>
          <w:sz w:val="24"/>
          <w:szCs w:val="24"/>
        </w:rPr>
        <w:t xml:space="preserve">, and a sixth edition of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Although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continued to be reprinted, reaching its tenth edition in 1812, af</w:t>
      </w:r>
      <w:r>
        <w:rPr>
          <w:rFonts w:ascii="TimesNewRomanPSMT" w:hAnsi="TimesNewRomanPSMT" w:cs="Helvetica"/>
          <w:kern w:val="1"/>
          <w:sz w:val="24"/>
          <w:szCs w:val="24"/>
        </w:rPr>
        <w:t xml:space="preserve">ter this edition no further poems were added. Instead, her new poetry appeared in their own independent publications, and no longer took the form of sonnets. In 1793 she published </w:t>
      </w:r>
      <w:r>
        <w:rPr>
          <w:rFonts w:ascii="TimesNewRomanPSMT" w:hAnsi="TimesNewRomanPSMT" w:cs="Helvetica"/>
          <w:i/>
          <w:kern w:val="1"/>
          <w:sz w:val="24"/>
          <w:szCs w:val="24"/>
        </w:rPr>
        <w:t>The Emigrants</w:t>
      </w:r>
      <w:r>
        <w:rPr>
          <w:rFonts w:ascii="TimesNewRomanPSMT" w:hAnsi="TimesNewRomanPSMT" w:cs="Helvetica"/>
          <w:kern w:val="1"/>
          <w:sz w:val="24"/>
          <w:szCs w:val="24"/>
        </w:rPr>
        <w:t xml:space="preserve">, a poem in two volumes, as well as </w:t>
      </w:r>
      <w:r>
        <w:rPr>
          <w:rFonts w:ascii="TimesNewRomanPSMT" w:hAnsi="TimesNewRomanPSMT" w:cs="Helvetica"/>
          <w:i/>
          <w:kern w:val="1"/>
          <w:sz w:val="24"/>
          <w:szCs w:val="24"/>
        </w:rPr>
        <w:t>The Old Manor House</w:t>
      </w:r>
      <w:r>
        <w:rPr>
          <w:rFonts w:ascii="TimesNewRomanPSMT" w:hAnsi="TimesNewRomanPSMT" w:cs="Helvetica"/>
          <w:kern w:val="1"/>
          <w:sz w:val="24"/>
          <w:szCs w:val="24"/>
        </w:rPr>
        <w:t>, her fi</w:t>
      </w:r>
      <w:r>
        <w:rPr>
          <w:rFonts w:ascii="TimesNewRomanPSMT" w:hAnsi="TimesNewRomanPSMT" w:cs="Helvetica"/>
          <w:kern w:val="1"/>
          <w:sz w:val="24"/>
          <w:szCs w:val="24"/>
        </w:rPr>
        <w:t xml:space="preserve">fth novel. In 1794, her sixth and seventh novels, </w:t>
      </w:r>
      <w:r>
        <w:rPr>
          <w:rFonts w:ascii="TimesNewRomanPSMT" w:hAnsi="TimesNewRomanPSMT" w:cs="Helvetica"/>
          <w:i/>
          <w:kern w:val="1"/>
          <w:sz w:val="24"/>
          <w:szCs w:val="24"/>
        </w:rPr>
        <w:t>The Wanderings of Warwick</w:t>
      </w:r>
      <w:r>
        <w:rPr>
          <w:rFonts w:ascii="TimesNewRomanPSMT" w:hAnsi="TimesNewRomanPSMT" w:cs="Helvetica"/>
          <w:kern w:val="1"/>
          <w:sz w:val="24"/>
          <w:szCs w:val="24"/>
        </w:rPr>
        <w:t xml:space="preserve"> and </w:t>
      </w:r>
      <w:r>
        <w:rPr>
          <w:rFonts w:ascii="TimesNewRomanPSMT" w:hAnsi="TimesNewRomanPSMT" w:cs="Helvetica"/>
          <w:i/>
          <w:kern w:val="1"/>
          <w:sz w:val="24"/>
          <w:szCs w:val="24"/>
        </w:rPr>
        <w:t>The Banished Man</w:t>
      </w:r>
      <w:r>
        <w:rPr>
          <w:rFonts w:ascii="TimesNewRomanPSMT" w:hAnsi="TimesNewRomanPSMT" w:cs="Helvetica"/>
          <w:kern w:val="1"/>
          <w:sz w:val="24"/>
          <w:szCs w:val="24"/>
        </w:rPr>
        <w:t xml:space="preserve">. In 1795 she published her eighth novel, </w:t>
      </w:r>
      <w:r>
        <w:rPr>
          <w:rFonts w:ascii="TimesNewRomanPSMT" w:hAnsi="TimesNewRomanPSMT" w:cs="Helvetica"/>
          <w:i/>
          <w:kern w:val="1"/>
          <w:sz w:val="24"/>
          <w:szCs w:val="24"/>
        </w:rPr>
        <w:t>Montalbert</w:t>
      </w:r>
      <w:r>
        <w:rPr>
          <w:rFonts w:ascii="TimesNewRomanPSMT" w:hAnsi="TimesNewRomanPSMT" w:cs="Helvetica"/>
          <w:kern w:val="1"/>
          <w:sz w:val="24"/>
          <w:szCs w:val="24"/>
        </w:rPr>
        <w:t xml:space="preserve">, and began writing in a new genre with </w:t>
      </w:r>
      <w:r>
        <w:rPr>
          <w:rFonts w:ascii="TimesNewRomanPSMT" w:hAnsi="TimesNewRomanPSMT" w:cs="Helvetica"/>
          <w:i/>
          <w:kern w:val="1"/>
          <w:sz w:val="24"/>
          <w:szCs w:val="24"/>
        </w:rPr>
        <w:t>Rural Walks</w:t>
      </w:r>
      <w:r>
        <w:rPr>
          <w:rFonts w:ascii="TimesNewRomanPSMT" w:hAnsi="TimesNewRomanPSMT" w:cs="Helvetica"/>
          <w:kern w:val="1"/>
          <w:sz w:val="24"/>
          <w:szCs w:val="24"/>
        </w:rPr>
        <w:t xml:space="preserve">. With </w:t>
      </w:r>
      <w:r>
        <w:rPr>
          <w:rFonts w:ascii="TimesNewRomanPSMT" w:hAnsi="TimesNewRomanPSMT" w:cs="Helvetica"/>
          <w:i/>
          <w:kern w:val="1"/>
          <w:sz w:val="24"/>
          <w:szCs w:val="24"/>
        </w:rPr>
        <w:t>Rural Walks</w:t>
      </w:r>
      <w:r>
        <w:rPr>
          <w:rFonts w:ascii="TimesNewRomanPSMT" w:hAnsi="TimesNewRomanPSMT" w:cs="Helvetica"/>
          <w:kern w:val="1"/>
          <w:sz w:val="24"/>
          <w:szCs w:val="24"/>
        </w:rPr>
        <w:t>, Smith’s dominant genre again changed:</w:t>
      </w:r>
      <w:r>
        <w:rPr>
          <w:rFonts w:ascii="TimesNewRomanPSMT" w:hAnsi="TimesNewRomanPSMT" w:cs="Helvetica"/>
          <w:kern w:val="1"/>
          <w:sz w:val="24"/>
          <w:szCs w:val="24"/>
        </w:rPr>
        <w:t xml:space="preserve"> having gone from a poet to a novelist, she now primarily published in a form which does not have a contemporary name: morally instructive natural history for “young persons.” 1796 saw the sequel to </w:t>
      </w:r>
      <w:r>
        <w:rPr>
          <w:rFonts w:ascii="TimesNewRomanPSMT" w:hAnsi="TimesNewRomanPSMT" w:cs="Helvetica"/>
          <w:i/>
          <w:kern w:val="1"/>
          <w:sz w:val="24"/>
          <w:szCs w:val="24"/>
        </w:rPr>
        <w:t>Rural Walks</w:t>
      </w:r>
      <w:r>
        <w:rPr>
          <w:rFonts w:ascii="TimesNewRomanPSMT" w:hAnsi="TimesNewRomanPSMT" w:cs="Helvetica"/>
          <w:kern w:val="1"/>
          <w:sz w:val="24"/>
          <w:szCs w:val="24"/>
        </w:rPr>
        <w:t xml:space="preserve">, </w:t>
      </w:r>
      <w:r>
        <w:rPr>
          <w:rFonts w:ascii="TimesNewRomanPSMT" w:hAnsi="TimesNewRomanPSMT" w:cs="Helvetica"/>
          <w:i/>
          <w:kern w:val="1"/>
          <w:sz w:val="24"/>
          <w:szCs w:val="24"/>
        </w:rPr>
        <w:t>Rambles Farther</w:t>
      </w:r>
      <w:r>
        <w:rPr>
          <w:rFonts w:ascii="TimesNewRomanPSMT" w:hAnsi="TimesNewRomanPSMT" w:cs="Helvetica"/>
          <w:kern w:val="1"/>
          <w:sz w:val="24"/>
          <w:szCs w:val="24"/>
        </w:rPr>
        <w:t xml:space="preserve">, as well as the novel </w:t>
      </w:r>
      <w:r>
        <w:rPr>
          <w:rFonts w:ascii="TimesNewRomanPSMT" w:hAnsi="TimesNewRomanPSMT" w:cs="Helvetica"/>
          <w:i/>
          <w:kern w:val="1"/>
          <w:sz w:val="24"/>
          <w:szCs w:val="24"/>
        </w:rPr>
        <w:t>Marchm</w:t>
      </w:r>
      <w:r>
        <w:rPr>
          <w:rFonts w:ascii="TimesNewRomanPSMT" w:hAnsi="TimesNewRomanPSMT" w:cs="Helvetica"/>
          <w:i/>
          <w:kern w:val="1"/>
          <w:sz w:val="24"/>
          <w:szCs w:val="24"/>
        </w:rPr>
        <w:t>ont</w:t>
      </w:r>
      <w:r>
        <w:rPr>
          <w:rFonts w:ascii="TimesNewRomanPSMT" w:hAnsi="TimesNewRomanPSMT" w:cs="Helvetica"/>
          <w:kern w:val="1"/>
          <w:sz w:val="24"/>
          <w:szCs w:val="24"/>
        </w:rPr>
        <w:t xml:space="preserve">, and the poem </w:t>
      </w:r>
      <w:r>
        <w:rPr>
          <w:rFonts w:ascii="TimesNewRomanPSMT" w:hAnsi="TimesNewRomanPSMT" w:cs="Helvetica"/>
          <w:i/>
          <w:kern w:val="1"/>
          <w:sz w:val="24"/>
          <w:szCs w:val="24"/>
        </w:rPr>
        <w:t xml:space="preserve">A Narrative of the loss… </w:t>
      </w:r>
      <w:r>
        <w:rPr>
          <w:rFonts w:ascii="TimesNewRomanPSMT" w:hAnsi="TimesNewRomanPSMT" w:cs="Helvetica"/>
          <w:kern w:val="1"/>
          <w:sz w:val="24"/>
          <w:szCs w:val="24"/>
        </w:rPr>
        <w:t xml:space="preserve">of several ships. 1797 saw the </w:t>
      </w:r>
      <w:commentRangeStart w:id="45"/>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"scrivcmt://6F8B08C3-EBC1-4CD0-BF1C-1DAEA5CF7BE5"</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eighth edition</w:t>
      </w:r>
      <w:r>
        <w:rPr>
          <w:rFonts w:ascii="TimesNewRomanPSMT" w:hAnsi="TimesNewRomanPSMT" w:cs="Helvetica"/>
          <w:kern w:val="1"/>
          <w:sz w:val="24"/>
          <w:szCs w:val="24"/>
        </w:rPr>
        <w:fldChar w:fldCharType="end"/>
      </w:r>
      <w:commentRangeEnd w:id="45"/>
      <w:r>
        <w:rPr>
          <w:rFonts w:ascii="TimesNewRomanPSMT" w:hAnsi="TimesNewRomanPSMT" w:cs="Helvetica"/>
          <w:kern w:val="1"/>
          <w:sz w:val="24"/>
          <w:szCs w:val="24"/>
        </w:rPr>
        <w:commentReference w:id="45"/>
      </w:r>
      <w:r>
        <w:rPr>
          <w:rFonts w:ascii="TimesNewRomanPSMT" w:hAnsi="TimesNewRomanPSMT" w:cs="Helvetica"/>
          <w:kern w:val="1"/>
          <w:sz w:val="24"/>
          <w:szCs w:val="24"/>
        </w:rPr>
        <w:t xml:space="preserve"> of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unchanged since the sixth. 1798 saw the </w:t>
      </w:r>
      <w:r>
        <w:rPr>
          <w:rFonts w:ascii="TimesNewRomanPSMT" w:hAnsi="TimesNewRomanPSMT" w:cs="Helvetica"/>
          <w:kern w:val="1"/>
          <w:sz w:val="24"/>
          <w:szCs w:val="24"/>
        </w:rPr>
        <w:lastRenderedPageBreak/>
        <w:t xml:space="preserve">novel </w:t>
      </w:r>
      <w:r>
        <w:rPr>
          <w:rFonts w:ascii="TimesNewRomanPSMT" w:hAnsi="TimesNewRomanPSMT" w:cs="Helvetica"/>
          <w:i/>
          <w:kern w:val="1"/>
          <w:sz w:val="24"/>
          <w:szCs w:val="24"/>
        </w:rPr>
        <w:t>The Young Philosopher</w:t>
      </w:r>
      <w:r>
        <w:rPr>
          <w:rFonts w:ascii="TimesNewRomanPSMT" w:hAnsi="TimesNewRomanPSMT" w:cs="Helvetica"/>
          <w:kern w:val="1"/>
          <w:sz w:val="24"/>
          <w:szCs w:val="24"/>
        </w:rPr>
        <w:t xml:space="preserve">, and more natural history for children in </w:t>
      </w:r>
      <w:r>
        <w:rPr>
          <w:rFonts w:ascii="TimesNewRomanPSMT" w:hAnsi="TimesNewRomanPSMT" w:cs="Helvetica"/>
          <w:i/>
          <w:kern w:val="1"/>
          <w:sz w:val="24"/>
          <w:szCs w:val="24"/>
        </w:rPr>
        <w:t>Minor Morals</w:t>
      </w:r>
      <w:r>
        <w:rPr>
          <w:rFonts w:ascii="TimesNewRomanPSMT" w:hAnsi="TimesNewRomanPSMT" w:cs="Helvetica"/>
          <w:kern w:val="1"/>
          <w:sz w:val="24"/>
          <w:szCs w:val="24"/>
        </w:rPr>
        <w:t xml:space="preserve">. In 1799, Smith tried her hand at theatre with </w:t>
      </w:r>
      <w:r>
        <w:rPr>
          <w:rFonts w:ascii="TimesNewRomanPSMT" w:hAnsi="TimesNewRomanPSMT" w:cs="Helvetica"/>
          <w:i/>
          <w:kern w:val="1"/>
          <w:sz w:val="24"/>
          <w:szCs w:val="24"/>
        </w:rPr>
        <w:t>What Is She?</w:t>
      </w:r>
      <w:r>
        <w:rPr>
          <w:rFonts w:ascii="TimesNewRomanPSMT" w:hAnsi="TimesNewRomanPSMT" w:cs="Helvetica"/>
          <w:kern w:val="1"/>
          <w:sz w:val="24"/>
          <w:szCs w:val="24"/>
        </w:rPr>
        <w:t xml:space="preserve">, a comedy — not a form she will revisit — and published the first two volumes of </w:t>
      </w:r>
      <w:r>
        <w:rPr>
          <w:rFonts w:ascii="TimesNewRomanPSMT" w:hAnsi="TimesNewRomanPSMT" w:cs="Helvetica"/>
          <w:i/>
          <w:kern w:val="1"/>
          <w:sz w:val="24"/>
          <w:szCs w:val="24"/>
        </w:rPr>
        <w:t>Letters of a Solitary Wanderer</w:t>
      </w:r>
      <w:r>
        <w:rPr>
          <w:rFonts w:ascii="TimesNewRomanPSMT" w:hAnsi="TimesNewRomanPSMT" w:cs="Helvetica"/>
          <w:kern w:val="1"/>
          <w:sz w:val="24"/>
          <w:szCs w:val="24"/>
        </w:rPr>
        <w:t xml:space="preserve">, an epistolary anthology of </w:t>
      </w:r>
      <w:r>
        <w:rPr>
          <w:rFonts w:ascii="TimesNewRomanPSMT" w:hAnsi="TimesNewRomanPSMT" w:cs="Helvetica"/>
          <w:kern w:val="1"/>
          <w:sz w:val="24"/>
          <w:szCs w:val="24"/>
        </w:rPr>
        <w:t xml:space="preserve">narratives. After this dissertation’s decade of interest, Smith continued to write at a slightly less frenetic pace. In 1800 she published three additional volumes of </w:t>
      </w:r>
      <w:r>
        <w:rPr>
          <w:rFonts w:ascii="TimesNewRomanPSMT" w:hAnsi="TimesNewRomanPSMT" w:cs="Helvetica"/>
          <w:i/>
          <w:kern w:val="1"/>
          <w:sz w:val="24"/>
          <w:szCs w:val="24"/>
        </w:rPr>
        <w:t>Letters of a Solitary Wanderer.</w:t>
      </w:r>
      <w:r>
        <w:rPr>
          <w:rFonts w:ascii="TimesNewRomanPSMT" w:hAnsi="TimesNewRomanPSMT" w:cs="Helvetica"/>
          <w:kern w:val="1"/>
          <w:sz w:val="24"/>
          <w:szCs w:val="24"/>
        </w:rPr>
        <w:t xml:space="preserve"> In 1804, she published </w:t>
      </w:r>
      <w:r>
        <w:rPr>
          <w:rFonts w:ascii="TimesNewRomanPSMT" w:hAnsi="TimesNewRomanPSMT" w:cs="Helvetica"/>
          <w:i/>
          <w:kern w:val="1"/>
          <w:sz w:val="24"/>
          <w:szCs w:val="24"/>
        </w:rPr>
        <w:t>Conversations, Introducing Poetry</w:t>
      </w:r>
      <w:r>
        <w:rPr>
          <w:rFonts w:ascii="TimesNewRomanPSMT" w:hAnsi="TimesNewRomanPSMT" w:cs="Helvetica"/>
          <w:kern w:val="1"/>
          <w:sz w:val="24"/>
          <w:szCs w:val="24"/>
        </w:rPr>
        <w:t>,</w:t>
      </w:r>
      <w:r>
        <w:rPr>
          <w:rFonts w:ascii="TimesNewRomanPSMT" w:hAnsi="TimesNewRomanPSMT" w:cs="Helvetica"/>
          <w:kern w:val="1"/>
          <w:sz w:val="24"/>
          <w:szCs w:val="24"/>
        </w:rPr>
        <w:t xml:space="preserve"> for children. In 1806, Smith published </w:t>
      </w:r>
      <w:r>
        <w:rPr>
          <w:rFonts w:ascii="TimesNewRomanPSMT" w:hAnsi="TimesNewRomanPSMT" w:cs="Helvetica"/>
          <w:i/>
          <w:kern w:val="1"/>
          <w:sz w:val="24"/>
          <w:szCs w:val="24"/>
        </w:rPr>
        <w:t>History of England</w:t>
      </w:r>
      <w:r>
        <w:rPr>
          <w:rFonts w:ascii="TimesNewRomanPSMT" w:hAnsi="TimesNewRomanPSMT" w:cs="Helvetica"/>
          <w:kern w:val="1"/>
          <w:sz w:val="24"/>
          <w:szCs w:val="24"/>
        </w:rPr>
        <w:t xml:space="preserve">, another work for young persons, and Smith herself died, age 55. The next year saw the posthumous publication of the poem </w:t>
      </w:r>
      <w:r>
        <w:rPr>
          <w:rFonts w:ascii="TimesNewRomanPSMT" w:hAnsi="TimesNewRomanPSMT" w:cs="Helvetica"/>
          <w:i/>
          <w:kern w:val="1"/>
          <w:sz w:val="24"/>
          <w:szCs w:val="24"/>
        </w:rPr>
        <w:t>Beachy Head</w:t>
      </w:r>
      <w:r>
        <w:rPr>
          <w:rFonts w:ascii="TimesNewRomanPSMT" w:hAnsi="TimesNewRomanPSMT" w:cs="Helvetica"/>
          <w:kern w:val="1"/>
          <w:sz w:val="24"/>
          <w:szCs w:val="24"/>
        </w:rPr>
        <w:t xml:space="preserve"> and the work for young persons, </w:t>
      </w:r>
      <w:r>
        <w:rPr>
          <w:rFonts w:ascii="TimesNewRomanPSMT" w:hAnsi="TimesNewRomanPSMT" w:cs="Helvetica"/>
          <w:i/>
          <w:kern w:val="1"/>
          <w:sz w:val="24"/>
          <w:szCs w:val="24"/>
        </w:rPr>
        <w:t>The Natural History of Birds.</w:t>
      </w:r>
    </w:p>
    <w:p w14:paraId="57D8FBC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i/>
          <w:kern w:val="1"/>
          <w:sz w:val="24"/>
          <w:szCs w:val="24"/>
        </w:rPr>
      </w:pPr>
    </w:p>
    <w:p w14:paraId="3A4041C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46" w:name="life"/>
      <w:r>
        <w:rPr>
          <w:rFonts w:ascii="TimesNewRomanPSMT" w:hAnsi="TimesNewRomanPSMT" w:cs="Helvetica"/>
          <w:kern w:val="1"/>
          <w:sz w:val="24"/>
          <w:szCs w:val="24"/>
        </w:rPr>
        <w:t>Smith’s</w:t>
      </w:r>
      <w:bookmarkEnd w:id="46"/>
      <w:r>
        <w:rPr>
          <w:rFonts w:ascii="TimesNewRomanPSMT" w:hAnsi="TimesNewRomanPSMT" w:cs="Helvetica"/>
          <w:kern w:val="1"/>
          <w:sz w:val="24"/>
          <w:szCs w:val="24"/>
        </w:rPr>
        <w:t xml:space="preserve"> personal life sometimes overshadows this career. As her works often make clear to her readers, after a briefly comfortable youth as the daughter of a well-off country gentleman who lived beyond his means, she was married at age sixteen to Benjamin </w:t>
      </w:r>
      <w:r>
        <w:rPr>
          <w:rFonts w:ascii="TimesNewRomanPSMT" w:hAnsi="TimesNewRomanPSMT" w:cs="Helvetica"/>
          <w:kern w:val="1"/>
          <w:sz w:val="24"/>
          <w:szCs w:val="24"/>
        </w:rPr>
        <w:t>Smith, “son of a prosperous London merchant and owner of Barbados sugar cane plantations. The marriage was contracted hastily to remove her from her paternal home, now dominated by her new wealthy stepmother. Looking back in bitterness nearly forty years l</w:t>
      </w:r>
      <w:r>
        <w:rPr>
          <w:rFonts w:ascii="TimesNewRomanPSMT" w:hAnsi="TimesNewRomanPSMT" w:cs="Helvetica"/>
          <w:kern w:val="1"/>
          <w:sz w:val="24"/>
          <w:szCs w:val="24"/>
        </w:rPr>
        <w:t>ater, Charlotte Smith described the event as her father's decision to sell her like a ‘legal prostitute, in my early youth, or what the law calls infancy’ (Smith to Sarah Rose, 15 June 1804)” (Roberts). Benjamin Smith was cruel and violently abusive. He wa</w:t>
      </w:r>
      <w:r>
        <w:rPr>
          <w:rFonts w:ascii="TimesNewRomanPSMT" w:hAnsi="TimesNewRomanPSMT" w:cs="Helvetica"/>
          <w:kern w:val="1"/>
          <w:sz w:val="24"/>
          <w:szCs w:val="24"/>
        </w:rPr>
        <w:t>s also so financially irresponsible that his wealthy father, Richard Smith, wanted to prevent Benjamin from inheriting. Charlotte Smith assisted Richard with business correspondence and impressed him as responsible and competent. In recognition of her husb</w:t>
      </w:r>
      <w:r>
        <w:rPr>
          <w:rFonts w:ascii="TimesNewRomanPSMT" w:hAnsi="TimesNewRomanPSMT" w:cs="Helvetica"/>
          <w:kern w:val="1"/>
          <w:sz w:val="24"/>
          <w:szCs w:val="24"/>
        </w:rPr>
        <w:t xml:space="preserve">and’s unreliability, “she persuaded [Richard] to relieve his son of all his ties to the business and establish him as a gentleman farmer in Hampshire” in 1774 (Zimmerman). Richard Smith </w:t>
      </w:r>
      <w:r>
        <w:rPr>
          <w:rFonts w:ascii="TimesNewRomanPSMT" w:hAnsi="TimesNewRomanPSMT" w:cs="Helvetica"/>
          <w:kern w:val="1"/>
          <w:sz w:val="24"/>
          <w:szCs w:val="24"/>
        </w:rPr>
        <w:lastRenderedPageBreak/>
        <w:t>died in 1776. “In an attempt to provide for his daughter-in-law, Richa</w:t>
      </w:r>
      <w:r>
        <w:rPr>
          <w:rFonts w:ascii="TimesNewRomanPSMT" w:hAnsi="TimesNewRomanPSMT" w:cs="Helvetica"/>
          <w:kern w:val="1"/>
          <w:sz w:val="24"/>
          <w:szCs w:val="24"/>
        </w:rPr>
        <w:t>rd bequeathed the bulk of his property to her children. But he had drawn up his will without professional advice; legal wranglings over the inheritance worth nearly £36,000 soon arose and were not settled until almost forty years later. By 1783 Benjamin ha</w:t>
      </w:r>
      <w:r>
        <w:rPr>
          <w:rFonts w:ascii="TimesNewRomanPSMT" w:hAnsi="TimesNewRomanPSMT" w:cs="Helvetica"/>
          <w:kern w:val="1"/>
          <w:sz w:val="24"/>
          <w:szCs w:val="24"/>
        </w:rPr>
        <w:t xml:space="preserve">d already unlawfully squandered more than a third of this trust and, as a consequence, found himself first in deep debt and then in King's Bench Prison.” (Roberts). After the success of the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allowed Smith to pay for her husband’s release fro</w:t>
      </w:r>
      <w:r>
        <w:rPr>
          <w:rFonts w:ascii="TimesNewRomanPSMT" w:hAnsi="TimesNewRomanPSMT" w:cs="Helvetica"/>
          <w:kern w:val="1"/>
          <w:sz w:val="24"/>
          <w:szCs w:val="24"/>
        </w:rPr>
        <w:t>m prison, Benjamin Smith fled to France to escape further creditors. Charlotte Smith moved between England and France over the next year and a half to negotiate his debts, and in 1785, the family was able to return to England. In 1787, after 22 years of ma</w:t>
      </w:r>
      <w:r>
        <w:rPr>
          <w:rFonts w:ascii="TimesNewRomanPSMT" w:hAnsi="TimesNewRomanPSMT" w:cs="Helvetica"/>
          <w:kern w:val="1"/>
          <w:sz w:val="24"/>
          <w:szCs w:val="24"/>
        </w:rPr>
        <w:t>rriage, Charlotte Smith legally separated from her husband, “an unusual step for a woman of her time” (Fry 7), and moved to a town near Chichester with her nine surviving children (of the twelve she had given birth to). However, despite this separation, Be</w:t>
      </w:r>
      <w:r>
        <w:rPr>
          <w:rFonts w:ascii="TimesNewRomanPSMT" w:hAnsi="TimesNewRomanPSMT" w:cs="Helvetica"/>
          <w:kern w:val="1"/>
          <w:sz w:val="24"/>
          <w:szCs w:val="24"/>
        </w:rPr>
        <w:t>njamin Smith retained a legal right to Charlotte Smith’s profits from her writing. Smith moved frequently after her separation, due to financial instability and declining health. “On 23 February 1806 Benjamin died in a debtors' prison and some money revert</w:t>
      </w:r>
      <w:r>
        <w:rPr>
          <w:rFonts w:ascii="TimesNewRomanPSMT" w:hAnsi="TimesNewRomanPSMT" w:cs="Helvetica"/>
          <w:kern w:val="1"/>
          <w:sz w:val="24"/>
          <w:szCs w:val="24"/>
        </w:rPr>
        <w:t>ed to Charlotte Smith. By then she was far too ill to execute her favourite scheme, to settle on the shores of Lake Leman. On 28 October 1806 she died, only eight months after her husband, and seven years before Richard Smith's estate was finally settled.”</w:t>
      </w:r>
      <w:r>
        <w:rPr>
          <w:rFonts w:ascii="TimesNewRomanPSMT" w:hAnsi="TimesNewRomanPSMT" w:cs="Helvetica"/>
          <w:kern w:val="1"/>
          <w:sz w:val="24"/>
          <w:szCs w:val="24"/>
        </w:rPr>
        <w:t xml:space="preserve"> (Blank)</w:t>
      </w:r>
    </w:p>
    <w:p w14:paraId="4E2887D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3F062C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47" w:name="scholarship"/>
      <w:r>
        <w:rPr>
          <w:rFonts w:ascii="TimesNewRomanPSMT" w:hAnsi="TimesNewRomanPSMT" w:cs="Helvetica"/>
          <w:kern w:val="1"/>
          <w:sz w:val="24"/>
          <w:szCs w:val="24"/>
        </w:rPr>
        <w:t>Smith’s</w:t>
      </w:r>
      <w:bookmarkEnd w:id="47"/>
      <w:r>
        <w:rPr>
          <w:rFonts w:ascii="TimesNewRomanPSMT" w:hAnsi="TimesNewRomanPSMT" w:cs="Helvetica"/>
          <w:kern w:val="1"/>
          <w:sz w:val="24"/>
          <w:szCs w:val="24"/>
        </w:rPr>
        <w:t xml:space="preserve"> posthumous critical reception has undergone multiple shifts in appreciation and obscurity. Duckling’s study of her presence in anthologies indicates that shortly after her death in 1806, Smith was widely eulogized and anthologized, rememb</w:t>
      </w:r>
      <w:r>
        <w:rPr>
          <w:rFonts w:ascii="TimesNewRomanPSMT" w:hAnsi="TimesNewRomanPSMT" w:cs="Helvetica"/>
          <w:kern w:val="1"/>
          <w:sz w:val="24"/>
          <w:szCs w:val="24"/>
        </w:rPr>
        <w:t xml:space="preserve">ered and emulated as an important British poet. As the nineteenth century went on, poetesses began to be anthologized separately </w:t>
      </w:r>
      <w:r>
        <w:rPr>
          <w:rFonts w:ascii="TimesNewRomanPSMT" w:hAnsi="TimesNewRomanPSMT" w:cs="Helvetica"/>
          <w:kern w:val="1"/>
          <w:sz w:val="24"/>
          <w:szCs w:val="24"/>
        </w:rPr>
        <w:lastRenderedPageBreak/>
        <w:t>from poets, in collections with ambitions that were commercial rather than intellectual; Smith, too, “lost intellectual ground”</w:t>
      </w:r>
      <w:r>
        <w:rPr>
          <w:rFonts w:ascii="TimesNewRomanPSMT" w:hAnsi="TimesNewRomanPSMT" w:cs="Helvetica"/>
          <w:kern w:val="1"/>
          <w:sz w:val="24"/>
          <w:szCs w:val="24"/>
        </w:rPr>
        <w:t xml:space="preserve"> even as she continued to be sold (Duckling 2016). By the end of the nineteenth century, even these volumes marginalized Smith’s poetry, with prefatory material which dismissed them as trite and depressing, unenjoyable reading. In the early twentieth centu</w:t>
      </w:r>
      <w:r>
        <w:rPr>
          <w:rFonts w:ascii="TimesNewRomanPSMT" w:hAnsi="TimesNewRomanPSMT" w:cs="Helvetica"/>
          <w:kern w:val="1"/>
          <w:sz w:val="24"/>
          <w:szCs w:val="24"/>
        </w:rPr>
        <w:t xml:space="preserve">ry, Smith began to be considered as a novelist, rather than a poet; this new field did not lead at first to a much better reputation for her. Florence Hilbish produced the first extensive study of Smith, considering her as both poet and novelist, in 1941, </w:t>
      </w:r>
      <w:r>
        <w:rPr>
          <w:rFonts w:ascii="TimesNewRomanPSMT" w:hAnsi="TimesNewRomanPSMT" w:cs="Helvetica"/>
          <w:kern w:val="1"/>
          <w:sz w:val="24"/>
          <w:szCs w:val="24"/>
        </w:rPr>
        <w:t>to unappreciative reviews: Ernest Bernbaum’s faint praise said that “‘much time and care have been devoted to it; whether deservedly, is perhaps questionable,” since “the subtle or intricate is absent from Charlotte Smith's writings” (138). Hilbish present</w:t>
      </w:r>
      <w:r>
        <w:rPr>
          <w:rFonts w:ascii="TimesNewRomanPSMT" w:hAnsi="TimesNewRomanPSMT" w:cs="Helvetica"/>
          <w:kern w:val="1"/>
          <w:sz w:val="24"/>
          <w:szCs w:val="24"/>
        </w:rPr>
        <w:t>s Smith’s emotional poetry as sincere rather than conventional, and her prose as more motivated by politics than commerce.</w:t>
      </w:r>
    </w:p>
    <w:p w14:paraId="380A490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DA172F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Duckling credits the feminist movement of the 1960s and 1970s with the beginning of Smith’s recovery (217): the renewed interest in </w:t>
      </w:r>
      <w:r>
        <w:rPr>
          <w:rFonts w:ascii="TimesNewRomanPSMT" w:hAnsi="TimesNewRomanPSMT" w:cs="Helvetica"/>
          <w:kern w:val="1"/>
          <w:sz w:val="24"/>
          <w:szCs w:val="24"/>
        </w:rPr>
        <w:t>women’s writing rediscovered her novels, and especially the radical political content which Hilbish had observed. At the same time, Bishop Hunt published a record of Smith’s influence on Wordsworth, as demonstrated by an almost overwhelming amount of physi</w:t>
      </w:r>
      <w:r>
        <w:rPr>
          <w:rFonts w:ascii="TimesNewRomanPSMT" w:hAnsi="TimesNewRomanPSMT" w:cs="Helvetica"/>
          <w:kern w:val="1"/>
          <w:sz w:val="24"/>
          <w:szCs w:val="24"/>
        </w:rPr>
        <w:t>cal evidence: Wordsworth owned copies of her works, which he annotated; he copied out some of her sonnets in his own hand; he paid her a personal visit; he edited some of her poetry for publication; he wrote explicitly of her influence in notes to his work</w:t>
      </w:r>
      <w:r>
        <w:rPr>
          <w:rFonts w:ascii="TimesNewRomanPSMT" w:hAnsi="TimesNewRomanPSMT" w:cs="Helvetica"/>
          <w:kern w:val="1"/>
          <w:sz w:val="24"/>
          <w:szCs w:val="24"/>
        </w:rPr>
        <w:t xml:space="preserve">s. Hunt calls Smith “an important early influence on Wordsworth which has not been explored in any detail up to now” (85); his abstract somewhat snarkily asserts that “Wordsworth did not suddenly start writing sonnets in 1802 simply because he happened to </w:t>
      </w:r>
      <w:r>
        <w:rPr>
          <w:rFonts w:ascii="TimesNewRomanPSMT" w:hAnsi="TimesNewRomanPSMT" w:cs="Helvetica"/>
          <w:kern w:val="1"/>
          <w:sz w:val="24"/>
          <w:szCs w:val="24"/>
        </w:rPr>
        <w:t xml:space="preserve">read Milton’s.” However, Hunt has little praise for Smith herself: of one poem, he says, “Whatever the artistic </w:t>
      </w:r>
      <w:r>
        <w:rPr>
          <w:rFonts w:ascii="TimesNewRomanPSMT" w:hAnsi="TimesNewRomanPSMT" w:cs="Helvetica"/>
          <w:kern w:val="1"/>
          <w:sz w:val="24"/>
          <w:szCs w:val="24"/>
        </w:rPr>
        <w:lastRenderedPageBreak/>
        <w:t>value of such verses,” what matters is the underlying theme which Wordsworth would later express more masterfully (89). Smith continued to be tr</w:t>
      </w:r>
      <w:r>
        <w:rPr>
          <w:rFonts w:ascii="TimesNewRomanPSMT" w:hAnsi="TimesNewRomanPSMT" w:cs="Helvetica"/>
          <w:kern w:val="1"/>
          <w:sz w:val="24"/>
          <w:szCs w:val="24"/>
        </w:rPr>
        <w:t>eated separately as an interesting woman novelist, and a minor pre-Romantic poet, through the 1980s. Smith rose to greater prominence in both of these fields in the 1990s: with work by Stephen Curran, Roger Lonsdale, Jennifer Breen, Andrew Ashfield, and Ja</w:t>
      </w:r>
      <w:r>
        <w:rPr>
          <w:rFonts w:ascii="TimesNewRomanPSMT" w:hAnsi="TimesNewRomanPSMT" w:cs="Helvetica"/>
          <w:kern w:val="1"/>
          <w:sz w:val="24"/>
          <w:szCs w:val="24"/>
        </w:rPr>
        <w:t>cqueline Labbe, “Smith became established not only as a prominent figure in the revised female canon, but also as a central figure in Romanticism” (Duckling 217).</w:t>
      </w:r>
    </w:p>
    <w:p w14:paraId="35C4D94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BD1622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Throughout this history, two aspects of Smith which have prompted frequent re-assessments ar</w:t>
      </w:r>
      <w:r>
        <w:rPr>
          <w:rFonts w:ascii="TimesNewRomanPSMT" w:hAnsi="TimesNewRomanPSMT" w:cs="Helvetica"/>
          <w:kern w:val="1"/>
          <w:sz w:val="24"/>
          <w:szCs w:val="24"/>
        </w:rPr>
        <w:t xml:space="preserve">e her personal life, and her work across genres. The first matter, the importance of a female author’s life as a woman to her importance as a figure worth remembering, is implicit in several phases of the rise and fall described above. Fry is not alone in </w:t>
      </w:r>
      <w:r>
        <w:rPr>
          <w:rFonts w:ascii="TimesNewRomanPSMT" w:hAnsi="TimesNewRomanPSMT" w:cs="Helvetica"/>
          <w:kern w:val="1"/>
          <w:sz w:val="24"/>
          <w:szCs w:val="24"/>
        </w:rPr>
        <w:t>concluding that “[f]ew writers have presented themselves in their works so fully as did Charlotte Smith” (3): Smith’s poetry lyricizes her personal experiences, her novels feature autobiographical stand-in characters, and “the often intensely personal plea</w:t>
      </w:r>
      <w:r>
        <w:rPr>
          <w:rFonts w:ascii="TimesNewRomanPSMT" w:hAnsi="TimesNewRomanPSMT" w:cs="Helvetica"/>
          <w:kern w:val="1"/>
          <w:sz w:val="24"/>
          <w:szCs w:val="24"/>
        </w:rPr>
        <w:t xml:space="preserve">ding prefaces” (Behrendt 189) to her works explicitly ask for them to be read light of her ongoing struggles. Perhaps as a result, much scholarship on Smith takes the stance of </w:t>
      </w:r>
      <w:r>
        <w:rPr>
          <w:rFonts w:ascii="TimesNewRomanPSMT" w:hAnsi="TimesNewRomanPSMT" w:cs="Helvetica"/>
          <w:i/>
          <w:kern w:val="1"/>
          <w:sz w:val="24"/>
          <w:szCs w:val="24"/>
        </w:rPr>
        <w:t>The Literary Encyclopedia</w:t>
      </w:r>
      <w:r>
        <w:rPr>
          <w:rFonts w:ascii="TimesNewRomanPSMT" w:hAnsi="TimesNewRomanPSMT" w:cs="Helvetica"/>
          <w:kern w:val="1"/>
          <w:sz w:val="24"/>
          <w:szCs w:val="24"/>
        </w:rPr>
        <w:t xml:space="preserve"> in defining her as a woman who wrote because of, and </w:t>
      </w:r>
      <w:r>
        <w:rPr>
          <w:rFonts w:ascii="TimesNewRomanPSMT" w:hAnsi="TimesNewRomanPSMT" w:cs="Helvetica"/>
          <w:kern w:val="1"/>
          <w:sz w:val="24"/>
          <w:szCs w:val="24"/>
        </w:rPr>
        <w:t>chiefly about, her personal distress. Antje Blank’s article there highlights Smith’s financial motive to write: “Smith turned to writing when a failing marriage and a costly lawsuit left her without resources to raise her large family” (Blank). “And so,” B</w:t>
      </w:r>
      <w:r>
        <w:rPr>
          <w:rFonts w:ascii="TimesNewRomanPSMT" w:hAnsi="TimesNewRomanPSMT" w:cs="Helvetica"/>
          <w:kern w:val="1"/>
          <w:sz w:val="24"/>
          <w:szCs w:val="24"/>
        </w:rPr>
        <w:t xml:space="preserve">lank says, Smith “churned out” her novels (and the many editions of </w:t>
      </w:r>
      <w:r>
        <w:rPr>
          <w:rFonts w:ascii="TimesNewRomanPSMT" w:hAnsi="TimesNewRomanPSMT" w:cs="Helvetica"/>
          <w:i/>
          <w:kern w:val="1"/>
          <w:sz w:val="24"/>
          <w:szCs w:val="24"/>
        </w:rPr>
        <w:t>Elegiac Sonnets</w:t>
      </w:r>
      <w:r>
        <w:rPr>
          <w:rFonts w:ascii="TimesNewRomanPSMT" w:hAnsi="TimesNewRomanPSMT" w:cs="Helvetica"/>
          <w:kern w:val="1"/>
          <w:sz w:val="24"/>
          <w:szCs w:val="24"/>
        </w:rPr>
        <w:t>, and her other poetry, and her educational writing) to support herself and her nine children (Blank). Even when Smith’s Elegiac Sonnets “won her the reputation as an author</w:t>
      </w:r>
      <w:r>
        <w:rPr>
          <w:rFonts w:ascii="TimesNewRomanPSMT" w:hAnsi="TimesNewRomanPSMT" w:cs="Helvetica"/>
          <w:kern w:val="1"/>
          <w:sz w:val="24"/>
          <w:szCs w:val="24"/>
        </w:rPr>
        <w:t xml:space="preserve"> of serious verse,” this is important primarily because it “lent greater respectability to her ensuing productions in a less prestigious but more lucrative genre – </w:t>
      </w:r>
      <w:r>
        <w:rPr>
          <w:rFonts w:ascii="TimesNewRomanPSMT" w:hAnsi="TimesNewRomanPSMT" w:cs="Helvetica"/>
          <w:kern w:val="1"/>
          <w:sz w:val="24"/>
          <w:szCs w:val="24"/>
        </w:rPr>
        <w:lastRenderedPageBreak/>
        <w:t>the novel” (Blank). At the same time, as Labbe argues in her article “Selling One's Sorrows:</w:t>
      </w:r>
      <w:r>
        <w:rPr>
          <w:rFonts w:ascii="TimesNewRomanPSMT" w:hAnsi="TimesNewRomanPSMT" w:cs="Helvetica"/>
          <w:kern w:val="1"/>
          <w:sz w:val="24"/>
          <w:szCs w:val="24"/>
        </w:rPr>
        <w:t xml:space="preserve"> Charlotte Smith, Mary Robinson, and the Marketing of Poetry,” Smith cultivated a public persona as a paragon of victimhood and motherhood, suffering deeply but turning her suffering into marketable prose out of a duty to her children. In periods where thi</w:t>
      </w:r>
      <w:r>
        <w:rPr>
          <w:rFonts w:ascii="TimesNewRomanPSMT" w:hAnsi="TimesNewRomanPSMT" w:cs="Helvetica"/>
          <w:kern w:val="1"/>
          <w:sz w:val="24"/>
          <w:szCs w:val="24"/>
        </w:rPr>
        <w:t>s image of womanhood is valuable, Smith is more easily valued, as in the eighteenth and nineteenth century anthologies which saw Smith as a moral exemplar (Duckling 203-4). Or, in periods when women’s resistance to patriarchal oppression is of scholarly in</w:t>
      </w:r>
      <w:r>
        <w:rPr>
          <w:rFonts w:ascii="TimesNewRomanPSMT" w:hAnsi="TimesNewRomanPSMT" w:cs="Helvetica"/>
          <w:kern w:val="1"/>
          <w:sz w:val="24"/>
          <w:szCs w:val="24"/>
        </w:rPr>
        <w:t>terest, the direct, personal nature of Smith’s writing is valuable in itself, as in early feminist scholarship.</w:t>
      </w:r>
    </w:p>
    <w:p w14:paraId="0AB00DD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F100BD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A complicating factor to these evaluations of Smith is that, as Labbe’s edited volume </w:t>
      </w:r>
      <w:r>
        <w:rPr>
          <w:rFonts w:ascii="TimesNewRomanPSMT" w:hAnsi="TimesNewRomanPSMT" w:cs="Helvetica"/>
          <w:i/>
          <w:kern w:val="1"/>
          <w:sz w:val="24"/>
          <w:szCs w:val="24"/>
        </w:rPr>
        <w:t xml:space="preserve">Charlotte Smith in British Romanticism </w:t>
      </w:r>
      <w:r>
        <w:rPr>
          <w:rFonts w:ascii="TimesNewRomanPSMT" w:hAnsi="TimesNewRomanPSMT" w:cs="Helvetica"/>
          <w:kern w:val="1"/>
          <w:sz w:val="24"/>
          <w:szCs w:val="24"/>
        </w:rPr>
        <w:t>thoroughly demonst</w:t>
      </w:r>
      <w:r>
        <w:rPr>
          <w:rFonts w:ascii="TimesNewRomanPSMT" w:hAnsi="TimesNewRomanPSMT" w:cs="Helvetica"/>
          <w:kern w:val="1"/>
          <w:sz w:val="24"/>
          <w:szCs w:val="24"/>
        </w:rPr>
        <w:t>rates, Smith’s writing is neither as uniform nor as simplistically personal as autobiographical readings sometimes see it. Labbe contends that Smith-the-novelist and Smith-the-poet have been largely studied as separate entities, “and consequently we have b</w:t>
      </w:r>
      <w:r>
        <w:rPr>
          <w:rFonts w:ascii="TimesNewRomanPSMT" w:hAnsi="TimesNewRomanPSMT" w:cs="Helvetica"/>
          <w:kern w:val="1"/>
          <w:sz w:val="24"/>
          <w:szCs w:val="24"/>
        </w:rPr>
        <w:t xml:space="preserve">een learning about two separate Smiths, each closely linked to the genre she writes in, neither closely linked to the other” (5). Labbe is not quite the first to attempt to unify Smith: Carol L. Fry’s 1996 monograph </w:t>
      </w:r>
      <w:r>
        <w:rPr>
          <w:rFonts w:ascii="TimesNewRomanPSMT" w:hAnsi="TimesNewRomanPSMT" w:cs="Helvetica"/>
          <w:i/>
          <w:kern w:val="1"/>
          <w:sz w:val="24"/>
          <w:szCs w:val="24"/>
        </w:rPr>
        <w:t>Charlotte Smith</w:t>
      </w:r>
      <w:r>
        <w:rPr>
          <w:rFonts w:ascii="TimesNewRomanPSMT" w:hAnsi="TimesNewRomanPSMT" w:cs="Helvetica"/>
          <w:kern w:val="1"/>
          <w:sz w:val="24"/>
          <w:szCs w:val="24"/>
        </w:rPr>
        <w:t xml:space="preserve"> also addresses her poetr</w:t>
      </w:r>
      <w:r>
        <w:rPr>
          <w:rFonts w:ascii="TimesNewRomanPSMT" w:hAnsi="TimesNewRomanPSMT" w:cs="Helvetica"/>
          <w:kern w:val="1"/>
          <w:sz w:val="24"/>
          <w:szCs w:val="24"/>
        </w:rPr>
        <w:t>y before moving on to the several phases of her novel-writing, including the children’s writing which made up much of Smith’s later career but does not appear in Labbe. Indeed, from the beginning, Hilbish’s 1941 monograph explicitly identifies Smith as “Po</w:t>
      </w:r>
      <w:r>
        <w:rPr>
          <w:rFonts w:ascii="TimesNewRomanPSMT" w:hAnsi="TimesNewRomanPSMT" w:cs="Helvetica"/>
          <w:kern w:val="1"/>
          <w:sz w:val="24"/>
          <w:szCs w:val="24"/>
        </w:rPr>
        <w:t>et and Novelist” in its title. However, Labbe is accurate regarding the somewhat different assessments of Smith current in the somewhat separate study of novels and of poetry in general: Labbe argues that as a novelist, Smith is now often praised for her i</w:t>
      </w:r>
      <w:r>
        <w:rPr>
          <w:rFonts w:ascii="TimesNewRomanPSMT" w:hAnsi="TimesNewRomanPSMT" w:cs="Helvetica"/>
          <w:kern w:val="1"/>
          <w:sz w:val="24"/>
          <w:szCs w:val="24"/>
        </w:rPr>
        <w:t xml:space="preserve">nnovative narrative techniques (implying a mode of writing that is intellectual and ‘distant’), whereas as a poet, she is praised for her innovative </w:t>
      </w:r>
      <w:r>
        <w:rPr>
          <w:rFonts w:ascii="TimesNewRomanPSMT" w:hAnsi="TimesNewRomanPSMT" w:cs="Helvetica"/>
          <w:kern w:val="1"/>
          <w:sz w:val="24"/>
          <w:szCs w:val="24"/>
        </w:rPr>
        <w:lastRenderedPageBreak/>
        <w:t xml:space="preserve">expressions of interiority (implying a mode of writing that is emotional and ‘close’). Labbe draws greater </w:t>
      </w:r>
      <w:r>
        <w:rPr>
          <w:rFonts w:ascii="TimesNewRomanPSMT" w:hAnsi="TimesNewRomanPSMT" w:cs="Helvetica"/>
          <w:kern w:val="1"/>
          <w:sz w:val="24"/>
          <w:szCs w:val="24"/>
        </w:rPr>
        <w:t>attention to important differences between Smith’s writing personae in different genres, and her edited collection “pulls together many Smiths” (2) to address these disjunctions. The volume not only addresses her novels and poetry, but also includes her pl</w:t>
      </w:r>
      <w:r>
        <w:rPr>
          <w:rFonts w:ascii="TimesNewRomanPSMT" w:hAnsi="TimesNewRomanPSMT" w:cs="Helvetica"/>
          <w:kern w:val="1"/>
          <w:sz w:val="24"/>
          <w:szCs w:val="24"/>
        </w:rPr>
        <w:t>ays, letters, and posthumous reception. Each of these Smiths, the volume contends, has something innovative and unexpected to reveal, important to the formation of British Romanticism. In Judith Phillips Stanton’s “Recovering Charlotte Smith's Letters,” fo</w:t>
      </w:r>
      <w:r>
        <w:rPr>
          <w:rFonts w:ascii="TimesNewRomanPSMT" w:hAnsi="TimesNewRomanPSMT" w:cs="Helvetica"/>
          <w:kern w:val="1"/>
          <w:sz w:val="24"/>
          <w:szCs w:val="24"/>
        </w:rPr>
        <w:t xml:space="preserve">r example, Smith’s letters, less studied, reveal a third kind of writer, different from both the novelist and the poet, who conceives of herself as a professional businesswoman of her craft. More Smiths are available in genres not included in this volume, </w:t>
      </w:r>
      <w:r>
        <w:rPr>
          <w:rFonts w:ascii="TimesNewRomanPSMT" w:hAnsi="TimesNewRomanPSMT" w:cs="Helvetica"/>
          <w:kern w:val="1"/>
          <w:sz w:val="24"/>
          <w:szCs w:val="24"/>
        </w:rPr>
        <w:t xml:space="preserve">such as Smith the naturalist and children’s author (touched on only lightly in Labbe’s volume), or Smith the political philosopher who drives Amy Garnai’s </w:t>
      </w:r>
      <w:r>
        <w:rPr>
          <w:rFonts w:ascii="TimesNewRomanPSMT" w:hAnsi="TimesNewRomanPSMT" w:cs="Helvetica"/>
          <w:i/>
          <w:kern w:val="1"/>
          <w:sz w:val="24"/>
          <w:szCs w:val="24"/>
        </w:rPr>
        <w:t xml:space="preserve">Revolutionary Imaginings in the 1790s, </w:t>
      </w:r>
      <w:r>
        <w:rPr>
          <w:rFonts w:ascii="TimesNewRomanPSMT" w:hAnsi="TimesNewRomanPSMT" w:cs="Helvetica"/>
          <w:kern w:val="1"/>
          <w:sz w:val="24"/>
          <w:szCs w:val="24"/>
        </w:rPr>
        <w:t>a highly political Smith who consciously participates in the “</w:t>
      </w:r>
      <w:r>
        <w:rPr>
          <w:rFonts w:ascii="TimesNewRomanPSMT" w:hAnsi="TimesNewRomanPSMT" w:cs="Helvetica"/>
          <w:kern w:val="1"/>
          <w:sz w:val="24"/>
          <w:szCs w:val="24"/>
        </w:rPr>
        <w:t>political public sphere” conceived by Habermas, despite Habermas’ insistence that women were excluded from this sphere (1)</w:t>
      </w:r>
      <w:commentRangeStart w:id="48"/>
      <w:r>
        <w:rPr>
          <w:rFonts w:ascii="TimesNewRomanPSMT" w:hAnsi="TimesNewRomanPSMT" w:cs="Helvetica"/>
          <w:i/>
          <w:kern w:val="1"/>
          <w:sz w:val="24"/>
          <w:szCs w:val="24"/>
        </w:rPr>
        <w:fldChar w:fldCharType="begin"/>
      </w:r>
      <w:r>
        <w:rPr>
          <w:rFonts w:ascii="TimesNewRomanPSMT" w:hAnsi="TimesNewRomanPSMT" w:cs="Helvetica"/>
          <w:i/>
          <w:kern w:val="1"/>
          <w:sz w:val="24"/>
          <w:szCs w:val="24"/>
        </w:rPr>
        <w:instrText>HYPERLINK "scrivcmt://3EE927F6-B68C-4C4C-B4CF-0A9CD40F29BA"</w:instrText>
      </w:r>
      <w:r>
        <w:rPr>
          <w:rFonts w:ascii="TimesNewRomanPSMT" w:hAnsi="TimesNewRomanPSMT" w:cs="Helvetica"/>
          <w:i/>
          <w:kern w:val="1"/>
          <w:sz w:val="24"/>
          <w:szCs w:val="24"/>
        </w:rPr>
        <w:fldChar w:fldCharType="separate"/>
      </w:r>
      <w:r>
        <w:rPr>
          <w:rFonts w:ascii="TimesNewRomanPSMT" w:hAnsi="TimesNewRomanPSMT" w:cs="Helvetica"/>
          <w:i/>
          <w:kern w:val="1"/>
          <w:sz w:val="24"/>
          <w:szCs w:val="24"/>
        </w:rPr>
        <w:t>.</w:t>
      </w:r>
      <w:r>
        <w:rPr>
          <w:rFonts w:ascii="TimesNewRomanPSMT" w:hAnsi="TimesNewRomanPSMT" w:cs="Helvetica"/>
          <w:i/>
          <w:kern w:val="1"/>
          <w:sz w:val="24"/>
          <w:szCs w:val="24"/>
        </w:rPr>
        <w:fldChar w:fldCharType="end"/>
      </w:r>
      <w:commentRangeEnd w:id="48"/>
      <w:r>
        <w:rPr>
          <w:rFonts w:ascii="TimesNewRomanPSMT" w:hAnsi="TimesNewRomanPSMT" w:cs="Helvetica"/>
          <w:kern w:val="1"/>
          <w:sz w:val="24"/>
          <w:szCs w:val="24"/>
        </w:rPr>
        <w:commentReference w:id="48"/>
      </w:r>
      <w:r>
        <w:rPr>
          <w:rFonts w:ascii="TimesNewRomanPSMT" w:hAnsi="TimesNewRomanPSMT" w:cs="Helvetica"/>
          <w:i/>
          <w:kern w:val="1"/>
          <w:sz w:val="24"/>
          <w:szCs w:val="24"/>
        </w:rPr>
        <w:t xml:space="preserve"> </w:t>
      </w:r>
      <w:r>
        <w:rPr>
          <w:rFonts w:ascii="TimesNewRomanPSMT" w:hAnsi="TimesNewRomanPSMT" w:cs="Helvetica"/>
          <w:kern w:val="1"/>
          <w:sz w:val="24"/>
          <w:szCs w:val="24"/>
        </w:rPr>
        <w:t xml:space="preserve">From these distinctions, Labbe concludes that “Smith, significantly, composes herself anew according to genre” (2) — and then asks, </w:t>
      </w:r>
      <w:commentRangeStart w:id="49"/>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"scrivcmt://60432D3B-EE8E-4BC9-896D-20A0B57A4283"</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 xml:space="preserve">“Is it all to do with inherent qualities of genre, or is it more </w:t>
      </w:r>
      <w:r>
        <w:rPr>
          <w:rFonts w:ascii="TimesNewRomanPSMT" w:hAnsi="TimesNewRomanPSMT" w:cs="Helvetica"/>
          <w:kern w:val="1"/>
          <w:sz w:val="24"/>
          <w:szCs w:val="24"/>
        </w:rPr>
        <w:t>to do with the expectations we as readers bring to different genres?”</w:t>
      </w:r>
      <w:r>
        <w:rPr>
          <w:rFonts w:ascii="TimesNewRomanPSMT" w:hAnsi="TimesNewRomanPSMT" w:cs="Helvetica"/>
          <w:kern w:val="1"/>
          <w:sz w:val="24"/>
          <w:szCs w:val="24"/>
        </w:rPr>
        <w:fldChar w:fldCharType="end"/>
      </w:r>
      <w:commentRangeEnd w:id="49"/>
      <w:r>
        <w:rPr>
          <w:rFonts w:ascii="TimesNewRomanPSMT" w:hAnsi="TimesNewRomanPSMT" w:cs="Helvetica"/>
          <w:kern w:val="1"/>
          <w:sz w:val="24"/>
          <w:szCs w:val="24"/>
        </w:rPr>
        <w:commentReference w:id="49"/>
      </w:r>
      <w:r>
        <w:rPr>
          <w:rFonts w:ascii="TimesNewRomanPSMT" w:hAnsi="TimesNewRomanPSMT" w:cs="Helvetica"/>
          <w:kern w:val="1"/>
          <w:sz w:val="24"/>
          <w:szCs w:val="24"/>
        </w:rPr>
        <w:t xml:space="preserve"> (5). This question about genre is one of the initial questions to inspire this dissertation: to see it asked as a core question about Smith demonstrates Smith’s suitability as a fi</w:t>
      </w:r>
      <w:r>
        <w:rPr>
          <w:rFonts w:ascii="TimesNewRomanPSMT" w:hAnsi="TimesNewRomanPSMT" w:cs="Helvetica"/>
          <w:kern w:val="1"/>
          <w:sz w:val="24"/>
          <w:szCs w:val="24"/>
        </w:rPr>
        <w:t>gure whose career can shed light on important questions about the mediascape of the 1790s.</w:t>
      </w:r>
    </w:p>
    <w:p w14:paraId="45A2C79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0CFC43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50" w:name="ch_summary"/>
      <w:r>
        <w:rPr>
          <w:rFonts w:ascii="TimesNewRomanPSMT" w:hAnsi="TimesNewRomanPSMT" w:cs="Helvetica"/>
          <w:kern w:val="1"/>
          <w:sz w:val="24"/>
          <w:szCs w:val="24"/>
        </w:rPr>
        <w:t>The</w:t>
      </w:r>
      <w:bookmarkEnd w:id="50"/>
      <w:r>
        <w:rPr>
          <w:rFonts w:ascii="TimesNewRomanPSMT" w:hAnsi="TimesNewRomanPSMT" w:cs="Helvetica"/>
          <w:kern w:val="1"/>
          <w:sz w:val="24"/>
          <w:szCs w:val="24"/>
        </w:rPr>
        <w:t xml:space="preserve"> specific experimentation undertaken in chapter two tests the basic assumptions and methods of my project. I identify what subset of Smith’s works each corpus co</w:t>
      </w:r>
      <w:r>
        <w:rPr>
          <w:rFonts w:ascii="TimesNewRomanPSMT" w:hAnsi="TimesNewRomanPSMT" w:cs="Helvetica"/>
          <w:kern w:val="1"/>
          <w:sz w:val="24"/>
          <w:szCs w:val="24"/>
        </w:rPr>
        <w:t xml:space="preserve">ntains, as a concrete example to compare their holdings overall. Smith’s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for example, are </w:t>
      </w:r>
      <w:r>
        <w:rPr>
          <w:rFonts w:ascii="TimesNewRomanPSMT" w:hAnsi="TimesNewRomanPSMT" w:cs="Helvetica"/>
          <w:kern w:val="1"/>
          <w:sz w:val="24"/>
          <w:szCs w:val="24"/>
        </w:rPr>
        <w:lastRenderedPageBreak/>
        <w:t xml:space="preserve">not included in the ECCO-TCP corpus (which is the one most often used for text mining research) — only </w:t>
      </w:r>
      <w:r>
        <w:rPr>
          <w:rFonts w:ascii="TimesNewRomanPSMT" w:hAnsi="TimesNewRomanPSMT" w:cs="Helvetica"/>
          <w:i/>
          <w:kern w:val="1"/>
          <w:sz w:val="24"/>
          <w:szCs w:val="24"/>
        </w:rPr>
        <w:t>Celestina</w:t>
      </w:r>
      <w:r>
        <w:rPr>
          <w:rFonts w:ascii="TimesNewRomanPSMT" w:hAnsi="TimesNewRomanPSMT" w:cs="Helvetica"/>
          <w:kern w:val="1"/>
          <w:sz w:val="24"/>
          <w:szCs w:val="24"/>
        </w:rPr>
        <w:t xml:space="preserve"> and </w:t>
      </w:r>
      <w:r>
        <w:rPr>
          <w:rFonts w:ascii="TimesNewRomanPSMT" w:hAnsi="TimesNewRomanPSMT" w:cs="Helvetica"/>
          <w:i/>
          <w:kern w:val="1"/>
          <w:sz w:val="24"/>
          <w:szCs w:val="24"/>
        </w:rPr>
        <w:t>The Emigrants</w:t>
      </w:r>
      <w:r>
        <w:rPr>
          <w:rFonts w:ascii="TimesNewRomanPSMT" w:hAnsi="TimesNewRomanPSMT" w:cs="Helvetica"/>
          <w:kern w:val="1"/>
          <w:sz w:val="24"/>
          <w:szCs w:val="24"/>
        </w:rPr>
        <w:t xml:space="preserve"> are included. Why </w:t>
      </w:r>
      <w:r>
        <w:rPr>
          <w:rFonts w:ascii="TimesNewRomanPSMT" w:hAnsi="TimesNewRomanPSMT" w:cs="Helvetica"/>
          <w:kern w:val="1"/>
          <w:sz w:val="24"/>
          <w:szCs w:val="24"/>
        </w:rPr>
        <w:t>these two texts? And what text mining research based on ECCO-TCP might have found slightly different answers if Smith’s sonnets had been included? As a related test of comparison between databases, for each database which provides access to the actual text</w:t>
      </w:r>
      <w:r>
        <w:rPr>
          <w:rFonts w:ascii="TimesNewRomanPSMT" w:hAnsi="TimesNewRomanPSMT" w:cs="Helvetica"/>
          <w:kern w:val="1"/>
          <w:sz w:val="24"/>
          <w:szCs w:val="24"/>
        </w:rPr>
        <w:t xml:space="preserve"> of Smith’s works, I compare the textual similarity of </w:t>
      </w:r>
      <w:r>
        <w:rPr>
          <w:rFonts w:ascii="TimesNewRomanPSMT" w:hAnsi="TimesNewRomanPSMT" w:cs="Helvetica"/>
          <w:i/>
          <w:kern w:val="1"/>
          <w:sz w:val="24"/>
          <w:szCs w:val="24"/>
        </w:rPr>
        <w:t>Celestina</w:t>
      </w:r>
      <w:r>
        <w:rPr>
          <w:rFonts w:ascii="TimesNewRomanPSMT" w:hAnsi="TimesNewRomanPSMT" w:cs="Helvetica"/>
          <w:kern w:val="1"/>
          <w:sz w:val="24"/>
          <w:szCs w:val="24"/>
        </w:rPr>
        <w:t xml:space="preserve"> and </w:t>
      </w:r>
      <w:r>
        <w:rPr>
          <w:rFonts w:ascii="TimesNewRomanPSMT" w:hAnsi="TimesNewRomanPSMT" w:cs="Helvetica"/>
          <w:i/>
          <w:kern w:val="1"/>
          <w:sz w:val="24"/>
          <w:szCs w:val="24"/>
        </w:rPr>
        <w:t>The Emigrants.</w:t>
      </w:r>
      <w:r>
        <w:rPr>
          <w:rFonts w:ascii="TimesNewRomanPSMT" w:hAnsi="TimesNewRomanPSMT" w:cs="Helvetica"/>
          <w:kern w:val="1"/>
          <w:sz w:val="24"/>
          <w:szCs w:val="24"/>
        </w:rPr>
        <w:t xml:space="preserve"> What editorial choices are being made? How </w:t>
      </w:r>
      <w:r>
        <w:rPr>
          <w:rFonts w:ascii="TimesNewRomanPSMT" w:hAnsi="TimesNewRomanPSMT" w:cs="Helvetica"/>
          <w:i/>
          <w:kern w:val="1"/>
          <w:sz w:val="24"/>
          <w:szCs w:val="24"/>
        </w:rPr>
        <w:t>much</w:t>
      </w:r>
      <w:r>
        <w:rPr>
          <w:rFonts w:ascii="TimesNewRomanPSMT" w:hAnsi="TimesNewRomanPSMT" w:cs="Helvetica"/>
          <w:kern w:val="1"/>
          <w:sz w:val="24"/>
          <w:szCs w:val="24"/>
        </w:rPr>
        <w:t xml:space="preserve"> worse is the OCR text than the transcribed text? Another key concept I will explore through Smith is the role of reprints. H</w:t>
      </w:r>
      <w:r>
        <w:rPr>
          <w:rFonts w:ascii="TimesNewRomanPSMT" w:hAnsi="TimesNewRomanPSMT" w:cs="Helvetica"/>
          <w:kern w:val="1"/>
          <w:sz w:val="24"/>
          <w:szCs w:val="24"/>
        </w:rPr>
        <w:t xml:space="preserve">athiTrust, for example, includes multiple editions of </w:t>
      </w:r>
      <w:r>
        <w:rPr>
          <w:rFonts w:ascii="TimesNewRomanPSMT" w:hAnsi="TimesNewRomanPSMT" w:cs="Helvetica"/>
          <w:i/>
          <w:kern w:val="1"/>
          <w:sz w:val="24"/>
          <w:szCs w:val="24"/>
        </w:rPr>
        <w:t>Elegiac Sonnets</w:t>
      </w:r>
      <w:r>
        <w:rPr>
          <w:rFonts w:ascii="TimesNewRomanPSMT" w:hAnsi="TimesNewRomanPSMT" w:cs="Helvetica"/>
          <w:kern w:val="1"/>
          <w:sz w:val="24"/>
          <w:szCs w:val="24"/>
        </w:rPr>
        <w:t xml:space="preserve">. How reliable and effective are its distinctions between editions? How do the databases I examine handle multiple editions of a single work? I am particularly interested in how reprints </w:t>
      </w:r>
      <w:r>
        <w:rPr>
          <w:rFonts w:ascii="TimesNewRomanPSMT" w:hAnsi="TimesNewRomanPSMT" w:cs="Helvetica"/>
          <w:kern w:val="1"/>
          <w:sz w:val="24"/>
          <w:szCs w:val="24"/>
        </w:rPr>
        <w:t>can be incorporated into our understanding of what literature is “of” a particular decade: what does it mean to think of Elegiac Sonnets, initially printed in the 1780s, as “1790s literature”? Finally, having surveyed my six databases with the help of Smit</w:t>
      </w:r>
      <w:r>
        <w:rPr>
          <w:rFonts w:ascii="TimesNewRomanPSMT" w:hAnsi="TimesNewRomanPSMT" w:cs="Helvetica"/>
          <w:kern w:val="1"/>
          <w:sz w:val="24"/>
          <w:szCs w:val="24"/>
        </w:rPr>
        <w:t>h, I discuss the multiple “Smiths” which emerge, and what it means to attempt to unify her disparate works.</w:t>
      </w:r>
    </w:p>
    <w:p w14:paraId="0DA691E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A38E9D1"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4.2.  </w:t>
      </w:r>
      <w:bookmarkStart w:id="51" w:name="Mary_Robinson"/>
      <w:r>
        <w:rPr>
          <w:rFonts w:ascii="Georgia" w:hAnsi="Georgia" w:cs="Helvetica"/>
          <w:b/>
          <w:kern w:val="1"/>
          <w:sz w:val="26"/>
          <w:szCs w:val="24"/>
        </w:rPr>
        <w:t>Mary Robinson</w:t>
      </w:r>
      <w:bookmarkEnd w:id="51"/>
    </w:p>
    <w:p w14:paraId="046EE406"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2D2E7FA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r>
        <w:rPr>
          <w:rFonts w:ascii="TimesNewRomanPSMT" w:hAnsi="TimesNewRomanPSMT" w:cs="Helvetica"/>
          <w:kern w:val="1"/>
          <w:sz w:val="24"/>
          <w:szCs w:val="24"/>
        </w:rPr>
        <w:t>Chapter 3 of this dissertation examines the works of Mary Robinson across several digital corpora. Mary Robinson is selected a</w:t>
      </w:r>
      <w:r>
        <w:rPr>
          <w:rFonts w:ascii="TimesNewRomanPSMT" w:hAnsi="TimesNewRomanPSMT" w:cs="Helvetica"/>
          <w:kern w:val="1"/>
          <w:sz w:val="24"/>
          <w:szCs w:val="24"/>
        </w:rPr>
        <w:t xml:space="preserve">s a contemporary of Charlotte Smith’s with remarkably similar patterns of publication, but remarkably different reception. Mary Robinson’s first literary foray was the volume </w:t>
      </w:r>
      <w:r>
        <w:rPr>
          <w:rFonts w:ascii="TimesNewRomanPSMT" w:hAnsi="TimesNewRomanPSMT" w:cs="Helvetica"/>
          <w:i/>
          <w:kern w:val="1"/>
          <w:sz w:val="24"/>
          <w:szCs w:val="24"/>
        </w:rPr>
        <w:t>Poems by Mrs. Robinson</w:t>
      </w:r>
      <w:r>
        <w:rPr>
          <w:rFonts w:ascii="TimesNewRomanPSMT" w:hAnsi="TimesNewRomanPSMT" w:cs="Helvetica"/>
          <w:kern w:val="1"/>
          <w:sz w:val="24"/>
          <w:szCs w:val="24"/>
        </w:rPr>
        <w:t xml:space="preserve">, published by C. Parker in 1775, shortly followed by the poem </w:t>
      </w:r>
      <w:r>
        <w:rPr>
          <w:rFonts w:ascii="TimesNewRomanPSMT" w:hAnsi="TimesNewRomanPSMT" w:cs="Helvetica"/>
          <w:i/>
          <w:kern w:val="1"/>
          <w:sz w:val="24"/>
          <w:szCs w:val="24"/>
        </w:rPr>
        <w:t>Elegiac verses to a young lady on the death of her brother</w:t>
      </w:r>
      <w:r>
        <w:rPr>
          <w:rFonts w:ascii="TimesNewRomanPSMT" w:hAnsi="TimesNewRomanPSMT" w:cs="Helvetica"/>
          <w:kern w:val="1"/>
          <w:sz w:val="24"/>
          <w:szCs w:val="24"/>
        </w:rPr>
        <w:t xml:space="preserve">. “Though </w:t>
      </w:r>
      <w:r>
        <w:rPr>
          <w:rFonts w:ascii="TimesNewRomanPSMT" w:hAnsi="TimesNewRomanPSMT" w:cs="Helvetica"/>
          <w:i/>
          <w:kern w:val="1"/>
          <w:sz w:val="24"/>
          <w:szCs w:val="24"/>
        </w:rPr>
        <w:t>Poems</w:t>
      </w:r>
      <w:r>
        <w:rPr>
          <w:rFonts w:ascii="TimesNewRomanPSMT" w:hAnsi="TimesNewRomanPSMT" w:cs="Helvetica"/>
          <w:kern w:val="1"/>
          <w:sz w:val="24"/>
          <w:szCs w:val="24"/>
        </w:rPr>
        <w:t xml:space="preserve"> </w:t>
      </w:r>
      <w:r>
        <w:rPr>
          <w:rFonts w:ascii="TimesNewRomanPSMT" w:hAnsi="TimesNewRomanPSMT" w:cs="Helvetica"/>
          <w:kern w:val="1"/>
          <w:sz w:val="24"/>
          <w:szCs w:val="24"/>
        </w:rPr>
        <w:lastRenderedPageBreak/>
        <w:t>received little critical support, and made little money, Mary Robinson continued to write” (Mark Ockerbloom), but she w</w:t>
      </w:r>
      <w:r>
        <w:rPr>
          <w:rFonts w:ascii="TimesNewRomanPSMT" w:hAnsi="TimesNewRomanPSMT" w:cs="Helvetica"/>
          <w:kern w:val="1"/>
          <w:sz w:val="24"/>
          <w:szCs w:val="24"/>
        </w:rPr>
        <w:t xml:space="preserve">ould begin her career as an actress before this writing saw publication. Robinson’s theatrical debut as Juliet in December 1776 led to an increasingly acclaimed and prolific acting career. In 1777 she published a volume of works written earlier, </w:t>
      </w:r>
      <w:r>
        <w:rPr>
          <w:rFonts w:ascii="TimesNewRomanPSMT" w:hAnsi="TimesNewRomanPSMT" w:cs="Helvetica"/>
          <w:i/>
          <w:kern w:val="1"/>
          <w:sz w:val="24"/>
          <w:szCs w:val="24"/>
        </w:rPr>
        <w:t>Captivity,</w:t>
      </w:r>
      <w:r>
        <w:rPr>
          <w:rFonts w:ascii="TimesNewRomanPSMT" w:hAnsi="TimesNewRomanPSMT" w:cs="Helvetica"/>
          <w:i/>
          <w:kern w:val="1"/>
          <w:sz w:val="24"/>
          <w:szCs w:val="24"/>
        </w:rPr>
        <w:t xml:space="preserve"> A Poem: and Celadon and Lydia, A Tale</w:t>
      </w:r>
      <w:r>
        <w:rPr>
          <w:rFonts w:ascii="TimesNewRomanPSMT" w:hAnsi="TimesNewRomanPSMT" w:cs="Helvetica"/>
          <w:kern w:val="1"/>
          <w:sz w:val="24"/>
          <w:szCs w:val="24"/>
        </w:rPr>
        <w:t xml:space="preserve">, and in 1778 she wrote and starred in her own musical farce, </w:t>
      </w:r>
      <w:r>
        <w:rPr>
          <w:rFonts w:ascii="TimesNewRomanPSMT" w:hAnsi="TimesNewRomanPSMT" w:cs="Helvetica"/>
          <w:i/>
          <w:kern w:val="1"/>
          <w:sz w:val="24"/>
          <w:szCs w:val="24"/>
        </w:rPr>
        <w:t xml:space="preserve">The Lucky Escape, </w:t>
      </w:r>
      <w:r>
        <w:rPr>
          <w:rFonts w:ascii="TimesNewRomanPSMT" w:hAnsi="TimesNewRomanPSMT" w:cs="Helvetica"/>
          <w:kern w:val="1"/>
          <w:sz w:val="24"/>
          <w:szCs w:val="24"/>
        </w:rPr>
        <w:t xml:space="preserve">from which she published </w:t>
      </w:r>
      <w:r>
        <w:rPr>
          <w:rFonts w:ascii="TimesNewRomanPSMT" w:hAnsi="TimesNewRomanPSMT" w:cs="Helvetica"/>
          <w:i/>
          <w:kern w:val="1"/>
          <w:sz w:val="24"/>
          <w:szCs w:val="24"/>
        </w:rPr>
        <w:t xml:space="preserve">The Songs, Chorusses, etc. </w:t>
      </w:r>
      <w:r>
        <w:rPr>
          <w:rFonts w:ascii="TimesNewRomanPSMT" w:hAnsi="TimesNewRomanPSMT" w:cs="Helvetica"/>
          <w:kern w:val="1"/>
          <w:sz w:val="24"/>
          <w:szCs w:val="24"/>
        </w:rPr>
        <w:t>In 1780, Robinson retired from the stage. The next volume under her name did not appea</w:t>
      </w:r>
      <w:r>
        <w:rPr>
          <w:rFonts w:ascii="TimesNewRomanPSMT" w:hAnsi="TimesNewRomanPSMT" w:cs="Helvetica"/>
          <w:kern w:val="1"/>
          <w:sz w:val="24"/>
          <w:szCs w:val="24"/>
        </w:rPr>
        <w:t xml:space="preserve">r until 1791, but the intervening decade was not empty of literary activity. From 1784 to its publication in 1787, Robinson collaborated with Banastre Tarleton on the composition and revision of his </w:t>
      </w:r>
      <w:r>
        <w:rPr>
          <w:rFonts w:ascii="TimesNewRomanPSMT" w:hAnsi="TimesNewRomanPSMT" w:cs="Helvetica"/>
          <w:i/>
          <w:kern w:val="1"/>
          <w:sz w:val="24"/>
          <w:szCs w:val="24"/>
        </w:rPr>
        <w:t>History of the Campaigns of 1780 and 1781</w:t>
      </w:r>
      <w:r>
        <w:rPr>
          <w:rFonts w:ascii="TimesNewRomanPSMT" w:hAnsi="TimesNewRomanPSMT" w:cs="Helvetica"/>
          <w:kern w:val="1"/>
          <w:sz w:val="24"/>
          <w:szCs w:val="24"/>
        </w:rPr>
        <w:t>. In 1788, Robin</w:t>
      </w:r>
      <w:r>
        <w:rPr>
          <w:rFonts w:ascii="TimesNewRomanPSMT" w:hAnsi="TimesNewRomanPSMT" w:cs="Helvetica"/>
          <w:kern w:val="1"/>
          <w:sz w:val="24"/>
          <w:szCs w:val="24"/>
        </w:rPr>
        <w:t xml:space="preserve">son began the writing which would make her career as an author. She contributed poems to </w:t>
      </w:r>
      <w:r>
        <w:rPr>
          <w:rFonts w:ascii="TimesNewRomanPSMT" w:hAnsi="TimesNewRomanPSMT" w:cs="Helvetica"/>
          <w:i/>
          <w:kern w:val="1"/>
          <w:sz w:val="24"/>
          <w:szCs w:val="24"/>
        </w:rPr>
        <w:t>The World</w:t>
      </w:r>
      <w:r>
        <w:rPr>
          <w:rFonts w:ascii="TimesNewRomanPSMT" w:hAnsi="TimesNewRomanPSMT" w:cs="Helvetica"/>
          <w:kern w:val="1"/>
          <w:sz w:val="24"/>
          <w:szCs w:val="24"/>
        </w:rPr>
        <w:t xml:space="preserve"> and </w:t>
      </w:r>
      <w:r>
        <w:rPr>
          <w:rFonts w:ascii="TimesNewRomanPSMT" w:hAnsi="TimesNewRomanPSMT" w:cs="Helvetica"/>
          <w:i/>
          <w:kern w:val="1"/>
          <w:sz w:val="24"/>
          <w:szCs w:val="24"/>
        </w:rPr>
        <w:t>The Oracle</w:t>
      </w:r>
      <w:r>
        <w:rPr>
          <w:rFonts w:ascii="TimesNewRomanPSMT" w:hAnsi="TimesNewRomanPSMT" w:cs="Helvetica"/>
          <w:kern w:val="1"/>
          <w:sz w:val="24"/>
          <w:szCs w:val="24"/>
        </w:rPr>
        <w:t xml:space="preserve"> under the pseudonyms “Laura” and “Laura Maria” which responded to popular poems by a coterie of writers now called the Della Cruscans, who add</w:t>
      </w:r>
      <w:r>
        <w:rPr>
          <w:rFonts w:ascii="TimesNewRomanPSMT" w:hAnsi="TimesNewRomanPSMT" w:cs="Helvetica"/>
          <w:kern w:val="1"/>
          <w:sz w:val="24"/>
          <w:szCs w:val="24"/>
        </w:rPr>
        <w:t>ressed each other in periodicals with Miltonic, Italianate, and political poetry. Robinson’s poems successfully inserted herself into their conversation, prompting replies from the other poets. This dissertation’s decade of interest, 1789-99, captures Robi</w:t>
      </w:r>
      <w:r>
        <w:rPr>
          <w:rFonts w:ascii="TimesNewRomanPSMT" w:hAnsi="TimesNewRomanPSMT" w:cs="Helvetica"/>
          <w:kern w:val="1"/>
          <w:sz w:val="24"/>
          <w:szCs w:val="24"/>
        </w:rPr>
        <w:t xml:space="preserve">nson’s most prolific period. Her 1790 poem </w:t>
      </w:r>
      <w:r>
        <w:rPr>
          <w:rFonts w:ascii="TimesNewRomanPSMT" w:hAnsi="TimesNewRomanPSMT" w:cs="Helvetica"/>
          <w:i/>
          <w:kern w:val="1"/>
          <w:sz w:val="24"/>
          <w:szCs w:val="24"/>
        </w:rPr>
        <w:t>Ainsi va le Monde</w:t>
      </w:r>
      <w:r>
        <w:rPr>
          <w:rFonts w:ascii="TimesNewRomanPSMT" w:hAnsi="TimesNewRomanPSMT" w:cs="Helvetica"/>
          <w:kern w:val="1"/>
          <w:sz w:val="24"/>
          <w:szCs w:val="24"/>
        </w:rPr>
        <w:t xml:space="preserve">, published under the pseudonym Laura Maria, was her breakout Della Cruscan poem. The success of her Della Cruscan poetry led to the publication in 1791 of another </w:t>
      </w:r>
      <w:r>
        <w:rPr>
          <w:rFonts w:ascii="TimesNewRomanPSMT" w:hAnsi="TimesNewRomanPSMT" w:cs="Helvetica"/>
          <w:i/>
          <w:kern w:val="1"/>
          <w:sz w:val="24"/>
          <w:szCs w:val="24"/>
        </w:rPr>
        <w:t>Poems by Mrs. Robinson</w:t>
      </w:r>
      <w:r>
        <w:rPr>
          <w:rFonts w:ascii="TimesNewRomanPSMT" w:hAnsi="TimesNewRomanPSMT" w:cs="Helvetica"/>
          <w:kern w:val="1"/>
          <w:sz w:val="24"/>
          <w:szCs w:val="24"/>
        </w:rPr>
        <w:t>, this tim</w:t>
      </w:r>
      <w:r>
        <w:rPr>
          <w:rFonts w:ascii="TimesNewRomanPSMT" w:hAnsi="TimesNewRomanPSMT" w:cs="Helvetica"/>
          <w:kern w:val="1"/>
          <w:sz w:val="24"/>
          <w:szCs w:val="24"/>
        </w:rPr>
        <w:t>e by</w:t>
      </w:r>
      <w:r>
        <w:rPr>
          <w:rFonts w:ascii="TimesNewRomanPSMT" w:hAnsi="TimesNewRomanPSMT" w:cs="Helvetica"/>
          <w:i/>
          <w:kern w:val="1"/>
          <w:sz w:val="24"/>
          <w:szCs w:val="24"/>
        </w:rPr>
        <w:t xml:space="preserve"> </w:t>
      </w:r>
      <w:r>
        <w:rPr>
          <w:rFonts w:ascii="TimesNewRomanPSMT" w:hAnsi="TimesNewRomanPSMT" w:cs="Helvetica"/>
          <w:kern w:val="1"/>
          <w:sz w:val="24"/>
          <w:szCs w:val="24"/>
        </w:rPr>
        <w:t xml:space="preserve">J. Bell, as well as </w:t>
      </w:r>
      <w:r>
        <w:rPr>
          <w:rFonts w:ascii="TimesNewRomanPSMT" w:hAnsi="TimesNewRomanPSMT" w:cs="Helvetica"/>
          <w:i/>
          <w:kern w:val="1"/>
          <w:sz w:val="24"/>
          <w:szCs w:val="24"/>
        </w:rPr>
        <w:t>The Beauties of Mrs. Robinson</w:t>
      </w:r>
      <w:r>
        <w:rPr>
          <w:rFonts w:ascii="TimesNewRomanPSMT" w:hAnsi="TimesNewRomanPSMT" w:cs="Helvetica"/>
          <w:kern w:val="1"/>
          <w:sz w:val="24"/>
          <w:szCs w:val="24"/>
        </w:rPr>
        <w:t xml:space="preserve">, another collection of poetry. She also produced a pamphlet that year, </w:t>
      </w:r>
      <w:r>
        <w:rPr>
          <w:rFonts w:ascii="TimesNewRomanPSMT" w:hAnsi="TimesNewRomanPSMT" w:cs="Helvetica"/>
          <w:i/>
          <w:kern w:val="1"/>
          <w:sz w:val="24"/>
          <w:szCs w:val="24"/>
        </w:rPr>
        <w:t xml:space="preserve">Impartial Reflections on the Queen of France, </w:t>
      </w:r>
      <w:r>
        <w:rPr>
          <w:rFonts w:ascii="TimesNewRomanPSMT" w:hAnsi="TimesNewRomanPSMT" w:cs="Helvetica"/>
          <w:kern w:val="1"/>
          <w:sz w:val="24"/>
          <w:szCs w:val="24"/>
        </w:rPr>
        <w:t>under the name “a friend to humanity”</w:t>
      </w:r>
      <w:r>
        <w:rPr>
          <w:rFonts w:ascii="TimesNewRomanPSMT" w:hAnsi="TimesNewRomanPSMT" w:cs="Helvetica"/>
          <w:i/>
          <w:kern w:val="1"/>
          <w:sz w:val="24"/>
          <w:szCs w:val="24"/>
        </w:rPr>
        <w:t>.</w:t>
      </w:r>
      <w:r>
        <w:rPr>
          <w:rFonts w:ascii="TimesNewRomanPSMT" w:hAnsi="TimesNewRomanPSMT" w:cs="Helvetica"/>
          <w:kern w:val="1"/>
          <w:sz w:val="24"/>
          <w:szCs w:val="24"/>
        </w:rPr>
        <w:t xml:space="preserve"> The next year, 1792, saw the arrival of a suc</w:t>
      </w:r>
      <w:r>
        <w:rPr>
          <w:rFonts w:ascii="TimesNewRomanPSMT" w:hAnsi="TimesNewRomanPSMT" w:cs="Helvetica"/>
          <w:kern w:val="1"/>
          <w:sz w:val="24"/>
          <w:szCs w:val="24"/>
        </w:rPr>
        <w:t xml:space="preserve">cessful novel, </w:t>
      </w:r>
      <w:r>
        <w:rPr>
          <w:rFonts w:ascii="TimesNewRomanPSMT" w:hAnsi="TimesNewRomanPSMT" w:cs="Helvetica"/>
          <w:i/>
          <w:kern w:val="1"/>
          <w:sz w:val="24"/>
          <w:szCs w:val="24"/>
        </w:rPr>
        <w:t>Vancenza, or the Dangers of Credulity</w:t>
      </w:r>
      <w:r>
        <w:rPr>
          <w:rFonts w:ascii="TimesNewRomanPSMT" w:hAnsi="TimesNewRomanPSMT" w:cs="Helvetica"/>
          <w:kern w:val="1"/>
          <w:sz w:val="24"/>
          <w:szCs w:val="24"/>
        </w:rPr>
        <w:t>, which went through three editions in that year, and two elegiac poems</w:t>
      </w:r>
      <w:r>
        <w:rPr>
          <w:rFonts w:ascii="TimesNewRomanPSMT" w:hAnsi="TimesNewRomanPSMT" w:cs="Helvetica"/>
          <w:sz w:val="24"/>
          <w:szCs w:val="24"/>
        </w:rPr>
        <w:t>. 1793 saw three more poems, two under her own name and one under the pseudonym “Horace Juvenal</w:t>
      </w:r>
      <w:r>
        <w:rPr>
          <w:rFonts w:ascii="TimesNewRomanPSMT" w:hAnsi="TimesNewRomanPSMT" w:cs="Helvetica"/>
          <w:i/>
          <w:sz w:val="24"/>
          <w:szCs w:val="24"/>
        </w:rPr>
        <w:t>.”</w:t>
      </w:r>
      <w:r>
        <w:rPr>
          <w:rFonts w:ascii="TimesNewRomanPSMT" w:hAnsi="TimesNewRomanPSMT" w:cs="Helvetica"/>
          <w:sz w:val="24"/>
          <w:szCs w:val="24"/>
        </w:rPr>
        <w:t xml:space="preserve"> In </w:t>
      </w:r>
      <w:r>
        <w:rPr>
          <w:rFonts w:ascii="TimesNewRomanPSMT" w:hAnsi="TimesNewRomanPSMT" w:cs="Helvetica"/>
          <w:sz w:val="24"/>
          <w:szCs w:val="24"/>
        </w:rPr>
        <w:lastRenderedPageBreak/>
        <w:t>1794 she published her second no</w:t>
      </w:r>
      <w:r>
        <w:rPr>
          <w:rFonts w:ascii="TimesNewRomanPSMT" w:hAnsi="TimesNewRomanPSMT" w:cs="Helvetica"/>
          <w:sz w:val="24"/>
          <w:szCs w:val="24"/>
        </w:rPr>
        <w:t xml:space="preserve">vel, </w:t>
      </w:r>
      <w:r>
        <w:rPr>
          <w:rFonts w:ascii="TimesNewRomanPSMT" w:hAnsi="TimesNewRomanPSMT" w:cs="Helvetica"/>
          <w:i/>
          <w:sz w:val="24"/>
          <w:szCs w:val="24"/>
        </w:rPr>
        <w:t>The Widow, or a Picture of Modern Times</w:t>
      </w:r>
      <w:r>
        <w:rPr>
          <w:rFonts w:ascii="TimesNewRomanPSMT" w:hAnsi="TimesNewRomanPSMT" w:cs="Helvetica"/>
          <w:sz w:val="24"/>
          <w:szCs w:val="24"/>
        </w:rPr>
        <w:t xml:space="preserve">. In 1795 she published another novel, </w:t>
      </w:r>
      <w:r>
        <w:rPr>
          <w:rFonts w:ascii="TimesNewRomanPSMT" w:hAnsi="TimesNewRomanPSMT" w:cs="Helvetica"/>
          <w:i/>
          <w:sz w:val="24"/>
          <w:szCs w:val="24"/>
        </w:rPr>
        <w:t>Audley Fortescue</w:t>
      </w:r>
      <w:r>
        <w:rPr>
          <w:rFonts w:ascii="TimesNewRomanPSMT" w:hAnsi="TimesNewRomanPSMT" w:cs="Helvetica"/>
          <w:sz w:val="24"/>
          <w:szCs w:val="24"/>
        </w:rPr>
        <w:t>, under the name “Mr. Robinson.”</w:t>
      </w:r>
      <w:r>
        <w:rPr>
          <w:rFonts w:ascii="TimesNewRomanPSMT" w:hAnsi="TimesNewRomanPSMT" w:cs="Helvetica"/>
          <w:sz w:val="24"/>
          <w:szCs w:val="24"/>
          <w:vertAlign w:val="superscript"/>
        </w:rPr>
        <w:footnoteReference w:id="21"/>
      </w:r>
      <w:r>
        <w:rPr>
          <w:rFonts w:ascii="TimesNewRomanPSMT" w:hAnsi="TimesNewRomanPSMT" w:cs="Helvetica"/>
          <w:sz w:val="24"/>
          <w:szCs w:val="24"/>
        </w:rPr>
        <w:t xml:space="preserve"> </w:t>
      </w:r>
      <w:bookmarkStart w:id="52" w:name="writing-1"/>
      <w:r>
        <w:rPr>
          <w:rFonts w:ascii="TimesNewRomanPSMT" w:hAnsi="TimesNewRomanPSMT" w:cs="Helvetica"/>
          <w:sz w:val="24"/>
          <w:szCs w:val="24"/>
        </w:rPr>
        <w:t>In</w:t>
      </w:r>
      <w:bookmarkEnd w:id="52"/>
      <w:r>
        <w:rPr>
          <w:rFonts w:ascii="TimesNewRomanPSMT" w:hAnsi="TimesNewRomanPSMT" w:cs="Helvetica"/>
          <w:sz w:val="24"/>
          <w:szCs w:val="24"/>
        </w:rPr>
        <w:t xml:space="preserve"> 1796 she published four major works: the novel </w:t>
      </w:r>
      <w:r>
        <w:rPr>
          <w:rFonts w:ascii="TimesNewRomanPSMT" w:hAnsi="TimesNewRomanPSMT" w:cs="Helvetica"/>
          <w:i/>
          <w:sz w:val="24"/>
          <w:szCs w:val="24"/>
        </w:rPr>
        <w:t>Angelina</w:t>
      </w:r>
      <w:r>
        <w:rPr>
          <w:rFonts w:ascii="TimesNewRomanPSMT" w:hAnsi="TimesNewRomanPSMT" w:cs="Helvetica"/>
          <w:sz w:val="24"/>
          <w:szCs w:val="24"/>
        </w:rPr>
        <w:t xml:space="preserve">; the novel </w:t>
      </w:r>
      <w:r>
        <w:rPr>
          <w:rFonts w:ascii="TimesNewRomanPSMT" w:hAnsi="TimesNewRomanPSMT" w:cs="Helvetica"/>
          <w:i/>
          <w:sz w:val="24"/>
          <w:szCs w:val="24"/>
        </w:rPr>
        <w:t>Hubert de Sevrac</w:t>
      </w:r>
      <w:r>
        <w:rPr>
          <w:rFonts w:ascii="TimesNewRomanPSMT" w:hAnsi="TimesNewRomanPSMT" w:cs="Helvetica"/>
          <w:sz w:val="24"/>
          <w:szCs w:val="24"/>
        </w:rPr>
        <w:t xml:space="preserve">; a sonnet series </w:t>
      </w:r>
      <w:r>
        <w:rPr>
          <w:rFonts w:ascii="TimesNewRomanPSMT" w:hAnsi="TimesNewRomanPSMT" w:cs="Helvetica"/>
          <w:i/>
          <w:sz w:val="24"/>
          <w:szCs w:val="24"/>
        </w:rPr>
        <w:t>Sappho and Phaon</w:t>
      </w:r>
      <w:r>
        <w:rPr>
          <w:rFonts w:ascii="TimesNewRomanPSMT" w:hAnsi="TimesNewRomanPSMT" w:cs="Helvetica"/>
          <w:sz w:val="24"/>
          <w:szCs w:val="24"/>
        </w:rPr>
        <w:t>; a</w:t>
      </w:r>
      <w:r>
        <w:rPr>
          <w:rFonts w:ascii="TimesNewRomanPSMT" w:hAnsi="TimesNewRomanPSMT" w:cs="Helvetica"/>
          <w:sz w:val="24"/>
          <w:szCs w:val="24"/>
        </w:rPr>
        <w:t xml:space="preserve">nd the play </w:t>
      </w:r>
      <w:r>
        <w:rPr>
          <w:rFonts w:ascii="TimesNewRomanPSMT" w:hAnsi="TimesNewRomanPSMT" w:cs="Helvetica"/>
          <w:i/>
          <w:sz w:val="24"/>
          <w:szCs w:val="24"/>
        </w:rPr>
        <w:t>The Sicilian Lover</w:t>
      </w:r>
      <w:r>
        <w:rPr>
          <w:rFonts w:ascii="TimesNewRomanPSMT" w:hAnsi="TimesNewRomanPSMT" w:cs="Helvetica"/>
          <w:sz w:val="24"/>
          <w:szCs w:val="24"/>
        </w:rPr>
        <w:t xml:space="preserve">. The next year, 1797, saw two more novels: </w:t>
      </w:r>
      <w:r>
        <w:rPr>
          <w:rFonts w:ascii="TimesNewRomanPSMT" w:hAnsi="TimesNewRomanPSMT" w:cs="Helvetica"/>
          <w:i/>
          <w:sz w:val="24"/>
          <w:szCs w:val="24"/>
        </w:rPr>
        <w:t xml:space="preserve">Julie St. Lawrence </w:t>
      </w:r>
      <w:r>
        <w:rPr>
          <w:rFonts w:ascii="TimesNewRomanPSMT" w:hAnsi="TimesNewRomanPSMT" w:cs="Helvetica"/>
          <w:sz w:val="24"/>
          <w:szCs w:val="24"/>
        </w:rPr>
        <w:t xml:space="preserve">and </w:t>
      </w:r>
      <w:r>
        <w:rPr>
          <w:rFonts w:ascii="TimesNewRomanPSMT" w:hAnsi="TimesNewRomanPSMT" w:cs="Helvetica"/>
          <w:i/>
          <w:sz w:val="24"/>
          <w:szCs w:val="24"/>
        </w:rPr>
        <w:t>Walsingham</w:t>
      </w:r>
      <w:r>
        <w:rPr>
          <w:rFonts w:ascii="TimesNewRomanPSMT" w:hAnsi="TimesNewRomanPSMT" w:cs="Helvetica"/>
          <w:sz w:val="24"/>
          <w:szCs w:val="24"/>
        </w:rPr>
        <w:t xml:space="preserve">. 1798 was Robinson’s first year since 1790 with no publications, but in 1799, she perhaps made up for it by publishing two novels, </w:t>
      </w:r>
      <w:r>
        <w:rPr>
          <w:rFonts w:ascii="TimesNewRomanPSMT" w:hAnsi="TimesNewRomanPSMT" w:cs="Helvetica"/>
          <w:i/>
          <w:sz w:val="24"/>
          <w:szCs w:val="24"/>
        </w:rPr>
        <w:t xml:space="preserve">The False Friend </w:t>
      </w:r>
      <w:r>
        <w:rPr>
          <w:rFonts w:ascii="TimesNewRomanPSMT" w:hAnsi="TimesNewRomanPSMT" w:cs="Helvetica"/>
          <w:sz w:val="24"/>
          <w:szCs w:val="24"/>
        </w:rPr>
        <w:t xml:space="preserve">and </w:t>
      </w:r>
      <w:r>
        <w:rPr>
          <w:rFonts w:ascii="TimesNewRomanPSMT" w:hAnsi="TimesNewRomanPSMT" w:cs="Helvetica"/>
          <w:i/>
          <w:sz w:val="24"/>
          <w:szCs w:val="24"/>
        </w:rPr>
        <w:t>The Natural Daughter</w:t>
      </w:r>
      <w:r>
        <w:rPr>
          <w:rFonts w:ascii="TimesNewRomanPSMT" w:hAnsi="TimesNewRomanPSMT" w:cs="Helvetica"/>
          <w:sz w:val="24"/>
          <w:szCs w:val="24"/>
        </w:rPr>
        <w:t xml:space="preserve">, as well as a political treatise, </w:t>
      </w:r>
      <w:r>
        <w:rPr>
          <w:rFonts w:ascii="TimesNewRomanPSMT" w:hAnsi="TimesNewRomanPSMT" w:cs="Helvetica"/>
          <w:i/>
          <w:sz w:val="24"/>
          <w:szCs w:val="24"/>
        </w:rPr>
        <w:t>A Letter to the Women of England on the Cruelties of Mental Subordination.</w:t>
      </w:r>
      <w:r>
        <w:rPr>
          <w:rFonts w:ascii="TimesNewRomanPSMT" w:hAnsi="TimesNewRomanPSMT" w:cs="Helvetica"/>
          <w:sz w:val="24"/>
          <w:szCs w:val="24"/>
        </w:rPr>
        <w:t xml:space="preserve"> She also began contributing weekly essays to the </w:t>
      </w:r>
      <w:r>
        <w:rPr>
          <w:rFonts w:ascii="TimesNewRomanPSMT" w:hAnsi="TimesNewRomanPSMT" w:cs="Helvetica"/>
          <w:i/>
          <w:sz w:val="24"/>
          <w:szCs w:val="24"/>
        </w:rPr>
        <w:t>Morning Post and Gazetteer</w:t>
      </w:r>
      <w:r>
        <w:rPr>
          <w:rFonts w:ascii="TimesNewRomanPSMT" w:hAnsi="TimesNewRomanPSMT" w:cs="Helvetica"/>
          <w:sz w:val="24"/>
          <w:szCs w:val="24"/>
        </w:rPr>
        <w:t xml:space="preserve"> in 1799.</w:t>
      </w:r>
      <w:r>
        <w:rPr>
          <w:rFonts w:ascii="TimesNewRomanPSMT" w:hAnsi="TimesNewRomanPSMT" w:cs="Helvetica"/>
          <w:i/>
          <w:sz w:val="24"/>
          <w:szCs w:val="24"/>
        </w:rPr>
        <w:t xml:space="preserve"> </w:t>
      </w:r>
      <w:r>
        <w:rPr>
          <w:rFonts w:ascii="TimesNewRomanPSMT" w:hAnsi="TimesNewRomanPSMT" w:cs="Helvetica"/>
          <w:kern w:val="1"/>
          <w:sz w:val="24"/>
          <w:szCs w:val="24"/>
        </w:rPr>
        <w:t>After 1799 (and thus after this disse</w:t>
      </w:r>
      <w:r>
        <w:rPr>
          <w:rFonts w:ascii="TimesNewRomanPSMT" w:hAnsi="TimesNewRomanPSMT" w:cs="Helvetica"/>
          <w:kern w:val="1"/>
          <w:sz w:val="24"/>
          <w:szCs w:val="24"/>
        </w:rPr>
        <w:t xml:space="preserve">rtation’s decade of interest), Robinson’s career and life is short. In 1800, she published her tenth novel, </w:t>
      </w:r>
      <w:r>
        <w:rPr>
          <w:rFonts w:ascii="TimesNewRomanPSMT" w:hAnsi="TimesNewRomanPSMT" w:cs="Helvetica"/>
          <w:i/>
          <w:sz w:val="24"/>
          <w:szCs w:val="24"/>
        </w:rPr>
        <w:t xml:space="preserve">Ellinda; </w:t>
      </w:r>
      <w:r>
        <w:rPr>
          <w:rFonts w:ascii="TimesNewRomanPSMT" w:hAnsi="TimesNewRomanPSMT" w:cs="Helvetica"/>
          <w:sz w:val="24"/>
          <w:szCs w:val="24"/>
        </w:rPr>
        <w:t xml:space="preserve">her verse collection </w:t>
      </w:r>
      <w:r>
        <w:rPr>
          <w:rFonts w:ascii="TimesNewRomanPSMT" w:hAnsi="TimesNewRomanPSMT" w:cs="Helvetica"/>
          <w:i/>
          <w:sz w:val="24"/>
          <w:szCs w:val="24"/>
        </w:rPr>
        <w:t xml:space="preserve">Lyrical Tales </w:t>
      </w:r>
      <w:r>
        <w:rPr>
          <w:rFonts w:ascii="TimesNewRomanPSMT" w:hAnsi="TimesNewRomanPSMT" w:cs="Helvetica"/>
          <w:sz w:val="24"/>
          <w:szCs w:val="24"/>
        </w:rPr>
        <w:t xml:space="preserve">in volume form as well as </w:t>
      </w:r>
      <w:r>
        <w:rPr>
          <w:rFonts w:ascii="TimesNewRomanPSMT" w:hAnsi="TimesNewRomanPSMT" w:cs="Helvetica"/>
          <w:i/>
          <w:sz w:val="24"/>
          <w:szCs w:val="24"/>
        </w:rPr>
        <w:t>The Mistletoe, a Christmas Tale</w:t>
      </w:r>
      <w:r>
        <w:rPr>
          <w:rFonts w:ascii="TimesNewRomanPSMT" w:hAnsi="TimesNewRomanPSMT" w:cs="Helvetica"/>
          <w:sz w:val="24"/>
          <w:szCs w:val="24"/>
        </w:rPr>
        <w:t xml:space="preserve"> (as Laura Maria) in its own small book; and a </w:t>
      </w:r>
      <w:r>
        <w:rPr>
          <w:rFonts w:ascii="TimesNewRomanPSMT" w:hAnsi="TimesNewRomanPSMT" w:cs="Helvetica"/>
          <w:sz w:val="24"/>
          <w:szCs w:val="24"/>
        </w:rPr>
        <w:t xml:space="preserve">translation from the German of Joseph Hager’s travel narrative </w:t>
      </w:r>
      <w:r>
        <w:rPr>
          <w:rFonts w:ascii="TimesNewRomanPSMT" w:hAnsi="TimesNewRomanPSMT" w:cs="Helvetica"/>
          <w:i/>
          <w:sz w:val="24"/>
          <w:szCs w:val="24"/>
        </w:rPr>
        <w:t xml:space="preserve">A Picture of Palermo. </w:t>
      </w:r>
      <w:r>
        <w:rPr>
          <w:rFonts w:ascii="TimesNewRomanPSMT" w:hAnsi="TimesNewRomanPSMT" w:cs="Helvetica"/>
          <w:sz w:val="24"/>
          <w:szCs w:val="24"/>
        </w:rPr>
        <w:t xml:space="preserve">Robinson died in December 1800. After her death, her daughter Mary Elizabeth Robinson oversaw the posthumous publication of three more works: </w:t>
      </w:r>
      <w:r>
        <w:rPr>
          <w:rFonts w:ascii="TimesNewRomanPSMT" w:hAnsi="TimesNewRomanPSMT" w:cs="Helvetica"/>
          <w:i/>
          <w:sz w:val="24"/>
          <w:szCs w:val="24"/>
        </w:rPr>
        <w:t>Memoirs of the Late Mrs. Robi</w:t>
      </w:r>
      <w:r>
        <w:rPr>
          <w:rFonts w:ascii="TimesNewRomanPSMT" w:hAnsi="TimesNewRomanPSMT" w:cs="Helvetica"/>
          <w:i/>
          <w:sz w:val="24"/>
          <w:szCs w:val="24"/>
        </w:rPr>
        <w:t>nson, Written by Herself</w:t>
      </w:r>
      <w:r>
        <w:rPr>
          <w:rFonts w:ascii="TimesNewRomanPSMT" w:hAnsi="TimesNewRomanPSMT" w:cs="Helvetica"/>
          <w:sz w:val="24"/>
          <w:szCs w:val="24"/>
        </w:rPr>
        <w:t xml:space="preserve"> (1801), a collection of poetry titled </w:t>
      </w:r>
      <w:r>
        <w:rPr>
          <w:rFonts w:ascii="TimesNewRomanPSMT" w:hAnsi="TimesNewRomanPSMT" w:cs="Helvetica"/>
          <w:i/>
          <w:sz w:val="24"/>
          <w:szCs w:val="24"/>
        </w:rPr>
        <w:t>The Wild Wreath</w:t>
      </w:r>
      <w:r>
        <w:rPr>
          <w:rFonts w:ascii="TimesNewRomanPSMT" w:hAnsi="TimesNewRomanPSMT" w:cs="Helvetica"/>
          <w:sz w:val="24"/>
          <w:szCs w:val="24"/>
        </w:rPr>
        <w:t xml:space="preserve"> (1804), and a final collection of </w:t>
      </w:r>
      <w:r>
        <w:rPr>
          <w:rFonts w:ascii="TimesNewRomanPSMT" w:hAnsi="TimesNewRomanPSMT" w:cs="Helvetica"/>
          <w:i/>
          <w:sz w:val="24"/>
          <w:szCs w:val="24"/>
        </w:rPr>
        <w:t>The Poetical Works of the Late Mrs. Robinson</w:t>
      </w:r>
      <w:r>
        <w:rPr>
          <w:rFonts w:ascii="TimesNewRomanPSMT" w:hAnsi="TimesNewRomanPSMT" w:cs="Helvetica"/>
          <w:sz w:val="24"/>
          <w:szCs w:val="24"/>
        </w:rPr>
        <w:t xml:space="preserve"> (1806).</w:t>
      </w:r>
    </w:p>
    <w:p w14:paraId="6BE378A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1098F38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53" w:name="life-1"/>
      <w:r>
        <w:rPr>
          <w:rFonts w:ascii="TimesNewRomanPSMT" w:hAnsi="TimesNewRomanPSMT" w:cs="Helvetica"/>
          <w:kern w:val="1"/>
          <w:sz w:val="24"/>
          <w:szCs w:val="24"/>
        </w:rPr>
        <w:t>Mary</w:t>
      </w:r>
      <w:bookmarkEnd w:id="53"/>
      <w:r>
        <w:rPr>
          <w:rFonts w:ascii="TimesNewRomanPSMT" w:hAnsi="TimesNewRomanPSMT" w:cs="Helvetica"/>
          <w:kern w:val="1"/>
          <w:sz w:val="24"/>
          <w:szCs w:val="24"/>
        </w:rPr>
        <w:t xml:space="preserve"> Robinson’s early biography shares striking resonances with that of Charlotte Smith. </w:t>
      </w:r>
      <w:r>
        <w:rPr>
          <w:rFonts w:ascii="TimesNewRomanPSMT" w:hAnsi="TimesNewRomanPSMT" w:cs="Helvetica"/>
          <w:kern w:val="1"/>
          <w:sz w:val="24"/>
          <w:szCs w:val="24"/>
        </w:rPr>
        <w:t>Robinson was also married at the age of sixteen to a man who squandered his income. Robinson spent more than a year in King’s Bench debtors’ prison with her husband and infant daughter, from 1774 to 1775, from which she published her first volume of poetry</w:t>
      </w:r>
      <w:r>
        <w:rPr>
          <w:rFonts w:ascii="TimesNewRomanPSMT" w:hAnsi="TimesNewRomanPSMT" w:cs="Helvetica"/>
          <w:kern w:val="1"/>
          <w:sz w:val="24"/>
          <w:szCs w:val="24"/>
        </w:rPr>
        <w:t xml:space="preserve">. Rather than immediately taking up the mantle of a professional author, however, in 1776 she became an </w:t>
      </w:r>
      <w:r>
        <w:rPr>
          <w:rFonts w:ascii="TimesNewRomanPSMT" w:hAnsi="TimesNewRomanPSMT" w:cs="Helvetica"/>
          <w:kern w:val="1"/>
          <w:sz w:val="24"/>
          <w:szCs w:val="24"/>
        </w:rPr>
        <w:lastRenderedPageBreak/>
        <w:t>actress. As an actress, she met increasing success for four seasons — so much so that she attracted the attention in 1779 of the 17-year-old Prince of W</w:t>
      </w:r>
      <w:r>
        <w:rPr>
          <w:rFonts w:ascii="TimesNewRomanPSMT" w:hAnsi="TimesNewRomanPSMT" w:cs="Helvetica"/>
          <w:kern w:val="1"/>
          <w:sz w:val="24"/>
          <w:szCs w:val="24"/>
        </w:rPr>
        <w:t xml:space="preserve">ales, who determined to make her his mistress. After a period of semi-public flirtation, Robinson agreed, and retired from the stage. “Although the affair lasted less than a year, 'the Perdita' was notorious from then on; her gowns, her carriages, and her </w:t>
      </w:r>
      <w:r>
        <w:rPr>
          <w:rFonts w:ascii="TimesNewRomanPSMT" w:hAnsi="TimesNewRomanPSMT" w:cs="Helvetica"/>
          <w:kern w:val="1"/>
          <w:sz w:val="24"/>
          <w:szCs w:val="24"/>
        </w:rPr>
        <w:t>alliances became a constant source of discussion and speculation in the newspapers” (Mark Ockerbloom). The Prince of Wales had given her a bond of £20,000 at the start of their relationship, but when their relationship soon ended, he refused to pay. “She d</w:t>
      </w:r>
      <w:r>
        <w:rPr>
          <w:rFonts w:ascii="TimesNewRomanPSMT" w:hAnsi="TimesNewRomanPSMT" w:cs="Helvetica"/>
          <w:kern w:val="1"/>
          <w:sz w:val="24"/>
          <w:szCs w:val="24"/>
        </w:rPr>
        <w:t xml:space="preserve">emanded £25,000 for the return of the prince's letters. She apparently settled for £5,000, paid by George III ‘to get my son out of this shameful scrape.’ It was enough to stave off her creditors. In 1782, Mary obtained a further £500 annuity for herself, </w:t>
      </w:r>
      <w:r>
        <w:rPr>
          <w:rFonts w:ascii="TimesNewRomanPSMT" w:hAnsi="TimesNewRomanPSMT" w:cs="Helvetica"/>
          <w:kern w:val="1"/>
          <w:sz w:val="24"/>
          <w:szCs w:val="24"/>
        </w:rPr>
        <w:t>and a £200 annuity during the life of Maria Elizabeth, in return for the surrender of the Prince's bond.” (Mark Ockerbloom). Robinson continued to live in high society and the public eye, involved with Lord Malden, and then with Colonel Banastre Tarleton i</w:t>
      </w:r>
      <w:r>
        <w:rPr>
          <w:rFonts w:ascii="TimesNewRomanPSMT" w:hAnsi="TimesNewRomanPSMT" w:cs="Helvetica"/>
          <w:kern w:val="1"/>
          <w:sz w:val="24"/>
          <w:szCs w:val="24"/>
        </w:rPr>
        <w:t>n a relationship which would be her longest. In 1783, Tarleton’s debts grew pressing, and his family attempted to sever his relationship with Robinson by promising to pay them if he moved to France without her. He left England in July 1783. Robinson, pregn</w:t>
      </w:r>
      <w:r>
        <w:rPr>
          <w:rFonts w:ascii="TimesNewRomanPSMT" w:hAnsi="TimesNewRomanPSMT" w:cs="Helvetica"/>
          <w:kern w:val="1"/>
          <w:sz w:val="24"/>
          <w:szCs w:val="24"/>
        </w:rPr>
        <w:t xml:space="preserve">ant, borrowed money for his debts and set out alone to intercept him in Dover. The rough travel led to a miscarriage, the mistreatment of which ultimately paralyzed Robinson’s legs and left her with acutely painful rheumatism the rest of her life. For the </w:t>
      </w:r>
      <w:r>
        <w:rPr>
          <w:rFonts w:ascii="TimesNewRomanPSMT" w:hAnsi="TimesNewRomanPSMT" w:cs="Helvetica"/>
          <w:kern w:val="1"/>
          <w:sz w:val="24"/>
          <w:szCs w:val="24"/>
        </w:rPr>
        <w:t>next five years, Tarleton and Robinson lived variously in France, Germany, and England, variously together and apart. In 1788, Tarleton’s fortunes and Robinson’s health had recovered enough for her to move permanently back to England, and the two establish</w:t>
      </w:r>
      <w:r>
        <w:rPr>
          <w:rFonts w:ascii="TimesNewRomanPSMT" w:hAnsi="TimesNewRomanPSMT" w:cs="Helvetica"/>
          <w:kern w:val="1"/>
          <w:sz w:val="24"/>
          <w:szCs w:val="24"/>
        </w:rPr>
        <w:t xml:space="preserve">ed neighbouring households on Clarges Street in London. Over the next decade, they continued their relationship, while Tarleton’s political career and Robinson’s literary one both flourished. In 1797, Tarleton ended the relationship, and in 1798 </w:t>
      </w:r>
      <w:r>
        <w:rPr>
          <w:rFonts w:ascii="TimesNewRomanPSMT" w:hAnsi="TimesNewRomanPSMT" w:cs="Helvetica"/>
          <w:kern w:val="1"/>
          <w:sz w:val="24"/>
          <w:szCs w:val="24"/>
        </w:rPr>
        <w:lastRenderedPageBreak/>
        <w:t xml:space="preserve">married a </w:t>
      </w:r>
      <w:r>
        <w:rPr>
          <w:rFonts w:ascii="TimesNewRomanPSMT" w:hAnsi="TimesNewRomanPSMT" w:cs="Helvetica"/>
          <w:kern w:val="1"/>
          <w:sz w:val="24"/>
          <w:szCs w:val="24"/>
        </w:rPr>
        <w:t>young heiress, to Robinson’s dismay. Her health worsened, and she died 26 December 1800, aged 43.</w:t>
      </w:r>
    </w:p>
    <w:p w14:paraId="56C3D09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127354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54" w:name="scholarship-1"/>
      <w:r>
        <w:rPr>
          <w:rFonts w:ascii="TimesNewRomanPSMT" w:hAnsi="TimesNewRomanPSMT" w:cs="Helvetica"/>
          <w:kern w:val="1"/>
          <w:sz w:val="24"/>
          <w:szCs w:val="24"/>
        </w:rPr>
        <w:t>Robinson’s</w:t>
      </w:r>
      <w:bookmarkEnd w:id="54"/>
      <w:r>
        <w:rPr>
          <w:rFonts w:ascii="TimesNewRomanPSMT" w:hAnsi="TimesNewRomanPSMT" w:cs="Helvetica"/>
          <w:kern w:val="1"/>
          <w:sz w:val="24"/>
          <w:szCs w:val="24"/>
        </w:rPr>
        <w:t xml:space="preserve"> public stature fell sharply after her death. Behrendt’s comparison of posthumous reviews of Robinson’s work with reviews of Charlotte Smith’s work</w:t>
      </w:r>
      <w:r>
        <w:rPr>
          <w:rFonts w:ascii="TimesNewRomanPSMT" w:hAnsi="TimesNewRomanPSMT" w:cs="Helvetica"/>
          <w:kern w:val="1"/>
          <w:sz w:val="24"/>
          <w:szCs w:val="24"/>
        </w:rPr>
        <w:t xml:space="preserve"> highlights the fact that “unlike Smith she was widely regarded as the instigator rather than the victim of her misfortunes” (192), due to the ‘immorality’ of her choices; as a result, her claims to sympathy and sensibility are dismissed by early nineteent</w:t>
      </w:r>
      <w:r>
        <w:rPr>
          <w:rFonts w:ascii="TimesNewRomanPSMT" w:hAnsi="TimesNewRomanPSMT" w:cs="Helvetica"/>
          <w:kern w:val="1"/>
          <w:sz w:val="24"/>
          <w:szCs w:val="24"/>
        </w:rPr>
        <w:t xml:space="preserve">h century reviewers. Behrendt argues that her “notorious public behaviour seems to have ensured that she would not get anything like a fair hearing as </w:t>
      </w:r>
      <w:r>
        <w:rPr>
          <w:rFonts w:ascii="TimesNewRomanPSMT" w:hAnsi="TimesNewRomanPSMT" w:cs="Helvetica"/>
          <w:i/>
          <w:kern w:val="1"/>
          <w:sz w:val="24"/>
          <w:szCs w:val="24"/>
        </w:rPr>
        <w:t>an artist</w:t>
      </w:r>
      <w:r>
        <w:rPr>
          <w:rFonts w:ascii="TimesNewRomanPSMT" w:hAnsi="TimesNewRomanPSMT" w:cs="Helvetica"/>
          <w:kern w:val="1"/>
          <w:sz w:val="24"/>
          <w:szCs w:val="24"/>
        </w:rPr>
        <w:t xml:space="preserve"> among the conventional critics of the time. Her case is a painful reminder of the pervasive pow</w:t>
      </w:r>
      <w:r>
        <w:rPr>
          <w:rFonts w:ascii="TimesNewRomanPSMT" w:hAnsi="TimesNewRomanPSMT" w:cs="Helvetica"/>
          <w:kern w:val="1"/>
          <w:sz w:val="24"/>
          <w:szCs w:val="24"/>
        </w:rPr>
        <w:t xml:space="preserve">er of a self-appointed coterie of predominantly male critics who considered themselves custodians of national public morality” (192). Susan Civale’s work on Robinson’s immediate nineteenth century reception bears out this dismissal of Robinson “as </w:t>
      </w:r>
      <w:r>
        <w:rPr>
          <w:rFonts w:ascii="TimesNewRomanPSMT" w:hAnsi="TimesNewRomanPSMT" w:cs="Helvetica"/>
          <w:i/>
          <w:kern w:val="1"/>
          <w:sz w:val="24"/>
          <w:szCs w:val="24"/>
        </w:rPr>
        <w:t>an artis</w:t>
      </w:r>
      <w:r>
        <w:rPr>
          <w:rFonts w:ascii="TimesNewRomanPSMT" w:hAnsi="TimesNewRomanPSMT" w:cs="Helvetica"/>
          <w:i/>
          <w:kern w:val="1"/>
          <w:sz w:val="24"/>
          <w:szCs w:val="24"/>
        </w:rPr>
        <w:t>t</w:t>
      </w:r>
      <w:r>
        <w:rPr>
          <w:rFonts w:ascii="TimesNewRomanPSMT" w:hAnsi="TimesNewRomanPSMT" w:cs="Helvetica"/>
          <w:kern w:val="1"/>
          <w:sz w:val="24"/>
          <w:szCs w:val="24"/>
        </w:rPr>
        <w:t xml:space="preserve">” (Behrendt 192). Civale highlights the disparity between Robinson’s poetry and fiction and her </w:t>
      </w:r>
      <w:r>
        <w:rPr>
          <w:rFonts w:ascii="TimesNewRomanPSMT" w:hAnsi="TimesNewRomanPSMT" w:cs="Helvetica"/>
          <w:i/>
          <w:kern w:val="1"/>
          <w:sz w:val="24"/>
          <w:szCs w:val="24"/>
        </w:rPr>
        <w:t>Memoirs</w:t>
      </w:r>
      <w:r>
        <w:rPr>
          <w:rFonts w:ascii="TimesNewRomanPSMT" w:hAnsi="TimesNewRomanPSMT" w:cs="Helvetica"/>
          <w:kern w:val="1"/>
          <w:sz w:val="24"/>
          <w:szCs w:val="24"/>
        </w:rPr>
        <w:t xml:space="preserve">: even after Robinson’s other works had fallen out of print, the </w:t>
      </w:r>
      <w:r>
        <w:rPr>
          <w:rFonts w:ascii="TimesNewRomanPSMT" w:hAnsi="TimesNewRomanPSMT" w:cs="Helvetica"/>
          <w:i/>
          <w:kern w:val="1"/>
          <w:sz w:val="24"/>
          <w:szCs w:val="24"/>
        </w:rPr>
        <w:t>Memoirs</w:t>
      </w:r>
      <w:r>
        <w:rPr>
          <w:rFonts w:ascii="TimesNewRomanPSMT" w:hAnsi="TimesNewRomanPSMT" w:cs="Helvetica"/>
          <w:kern w:val="1"/>
          <w:sz w:val="24"/>
          <w:szCs w:val="24"/>
        </w:rPr>
        <w:t xml:space="preserve"> continued to be reprinted, and to spur new writing in the form of “reviews, ess</w:t>
      </w:r>
      <w:r>
        <w:rPr>
          <w:rFonts w:ascii="TimesNewRomanPSMT" w:hAnsi="TimesNewRomanPSMT" w:cs="Helvetica"/>
          <w:kern w:val="1"/>
          <w:sz w:val="24"/>
          <w:szCs w:val="24"/>
        </w:rPr>
        <w:t>ays, spin-off novels, illustrations, poems, mini-biographies, entries in multibiographies, and citations in the life writing of other key figures” (194). It was Robinson’s biography, rather than her writing, which “continued to interest, perplex, and charm</w:t>
      </w:r>
      <w:r>
        <w:rPr>
          <w:rFonts w:ascii="TimesNewRomanPSMT" w:hAnsi="TimesNewRomanPSMT" w:cs="Helvetica"/>
          <w:kern w:val="1"/>
          <w:sz w:val="24"/>
          <w:szCs w:val="24"/>
        </w:rPr>
        <w:t xml:space="preserve"> readers” (Civale 194).</w:t>
      </w:r>
    </w:p>
    <w:p w14:paraId="4833FCF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D7CB2E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When literary scholars began to be interested again in Robinson in the 1990s, their work continued to be shaped by an intense awareness of her personal life and her theatrical career, often examining her works for the performance o</w:t>
      </w:r>
      <w:r>
        <w:rPr>
          <w:rFonts w:ascii="TimesNewRomanPSMT" w:hAnsi="TimesNewRomanPSMT" w:cs="Helvetica"/>
          <w:kern w:val="1"/>
          <w:sz w:val="24"/>
          <w:szCs w:val="24"/>
        </w:rPr>
        <w:t xml:space="preserve">f Robinson’s identity communicated within </w:t>
      </w:r>
      <w:r>
        <w:rPr>
          <w:rFonts w:ascii="TimesNewRomanPSMT" w:hAnsi="TimesNewRomanPSMT" w:cs="Helvetica"/>
          <w:kern w:val="1"/>
          <w:sz w:val="24"/>
          <w:szCs w:val="24"/>
        </w:rPr>
        <w:lastRenderedPageBreak/>
        <w:t xml:space="preserve">them. </w:t>
      </w:r>
      <w:r>
        <w:rPr>
          <w:rFonts w:ascii="TimesNewRomanPSMT" w:hAnsi="TimesNewRomanPSMT" w:cs="Helvetica"/>
          <w:kern w:val="1"/>
          <w:sz w:val="24"/>
          <w:szCs w:val="24"/>
          <w:highlight w:val="magenta"/>
        </w:rPr>
        <w:t xml:space="preserve">[For example, Judith Pascoe’s 1997 </w:t>
      </w:r>
      <w:r>
        <w:rPr>
          <w:rFonts w:ascii="TimesNewRomanPSMT" w:hAnsi="TimesNewRomanPSMT" w:cs="Helvetica"/>
          <w:i/>
          <w:kern w:val="1"/>
          <w:sz w:val="24"/>
          <w:szCs w:val="24"/>
          <w:highlight w:val="magenta"/>
        </w:rPr>
        <w:t>Romantic Theatricality - “</w:t>
      </w:r>
      <w:r>
        <w:rPr>
          <w:rFonts w:ascii="TimesNewRomanPSMT" w:hAnsi="TimesNewRomanPSMT" w:cs="Helvetica"/>
          <w:kern w:val="1"/>
          <w:sz w:val="24"/>
          <w:szCs w:val="24"/>
          <w:highlight w:val="magenta"/>
        </w:rPr>
        <w:t>According to Pascoe, Robinson enacted in her writing an ever-shifting public identity” (Cross 6).]</w:t>
      </w:r>
      <w:r>
        <w:rPr>
          <w:rFonts w:ascii="TimesNewRomanPSMT" w:hAnsi="TimesNewRomanPSMT" w:cs="Helvetica"/>
          <w:kern w:val="1"/>
          <w:sz w:val="24"/>
          <w:szCs w:val="24"/>
        </w:rPr>
        <w:t xml:space="preserve"> </w:t>
      </w:r>
      <w:r>
        <w:rPr>
          <w:rFonts w:ascii="TimesNewRomanPSMT" w:hAnsi="TimesNewRomanPSMT" w:cs="Helvetica"/>
          <w:kern w:val="1"/>
          <w:sz w:val="24"/>
          <w:szCs w:val="24"/>
          <w:highlight w:val="magenta"/>
        </w:rPr>
        <w:t xml:space="preserve">[Also Susan Luther, Stuart Curran, Eleanor Ty, </w:t>
      </w:r>
      <w:r>
        <w:rPr>
          <w:rFonts w:ascii="TimesNewRomanPSMT" w:hAnsi="TimesNewRomanPSMT" w:cs="Helvetica"/>
          <w:kern w:val="1"/>
          <w:sz w:val="24"/>
          <w:szCs w:val="24"/>
          <w:highlight w:val="magenta"/>
        </w:rPr>
        <w:t>and Sharon Setzer]</w:t>
      </w:r>
      <w:r>
        <w:rPr>
          <w:rFonts w:ascii="TimesNewRomanPSMT" w:hAnsi="TimesNewRomanPSMT" w:cs="Helvetica"/>
          <w:kern w:val="1"/>
          <w:sz w:val="24"/>
          <w:szCs w:val="24"/>
        </w:rPr>
        <w:t>. The theatrical performance of celebrity remains, as Ashley Cross argues, “the dominant lens through which her writing and her career have been interpreted” (6). The other major lens is Robinson’s interaction with other Romantic poets, “</w:t>
      </w:r>
      <w:r>
        <w:rPr>
          <w:rFonts w:ascii="TimesNewRomanPSMT" w:hAnsi="TimesNewRomanPSMT" w:cs="Helvetica"/>
          <w:kern w:val="1"/>
          <w:sz w:val="24"/>
          <w:szCs w:val="24"/>
        </w:rPr>
        <w:t>in particular her relations with Coleridge and the Della Cruscans, to a lesser extent Wordsworth and, more recently, Southey and Smith” (Cross 6). This examination of the poetic Robinson nonetheless often employs the same framings as work on the theatrical</w:t>
      </w:r>
      <w:r>
        <w:rPr>
          <w:rFonts w:ascii="TimesNewRomanPSMT" w:hAnsi="TimesNewRomanPSMT" w:cs="Helvetica"/>
          <w:kern w:val="1"/>
          <w:sz w:val="24"/>
          <w:szCs w:val="24"/>
        </w:rPr>
        <w:t xml:space="preserve"> celebrity Robinson, in emphasizing the strategic development of personae for public attention. Cross argues that “[t]he  publication  of  the  eight-volume  complete  </w:t>
      </w:r>
      <w:r>
        <w:rPr>
          <w:rFonts w:ascii="TimesNewRomanPSMT" w:hAnsi="TimesNewRomanPSMT" w:cs="Helvetica"/>
          <w:i/>
          <w:kern w:val="1"/>
          <w:sz w:val="24"/>
          <w:szCs w:val="24"/>
        </w:rPr>
        <w:t>Works  by  Mary  Robinson</w:t>
      </w:r>
      <w:r>
        <w:rPr>
          <w:rFonts w:ascii="TimesNewRomanPSMT" w:hAnsi="TimesNewRomanPSMT" w:cs="Helvetica"/>
          <w:kern w:val="1"/>
          <w:sz w:val="24"/>
          <w:szCs w:val="24"/>
        </w:rPr>
        <w:t xml:space="preserve">  by  Pickering  and  Chatto  (2009–2010),  under  the  directi</w:t>
      </w:r>
      <w:r>
        <w:rPr>
          <w:rFonts w:ascii="TimesNewRomanPSMT" w:hAnsi="TimesNewRomanPSMT" w:cs="Helvetica"/>
          <w:kern w:val="1"/>
          <w:sz w:val="24"/>
          <w:szCs w:val="24"/>
        </w:rPr>
        <w:t xml:space="preserve">on  of  William  Brewer,  marked  Robinson’s  official  reentrance  into  the  literary  canon” (12), </w:t>
      </w:r>
      <w:r>
        <w:rPr>
          <w:rFonts w:ascii="TimesNewRomanPSMT" w:hAnsi="TimesNewRomanPSMT" w:cs="Helvetica"/>
          <w:kern w:val="1"/>
          <w:sz w:val="24"/>
          <w:szCs w:val="24"/>
          <w:highlight w:val="magenta"/>
        </w:rPr>
        <w:t xml:space="preserve">[but is she really “in” the canon as </w:t>
      </w:r>
      <w:r>
        <w:rPr>
          <w:rFonts w:ascii="TimesNewRomanPSMT" w:hAnsi="TimesNewRomanPSMT" w:cs="Helvetica"/>
          <w:i/>
          <w:kern w:val="1"/>
          <w:sz w:val="24"/>
          <w:szCs w:val="24"/>
          <w:highlight w:val="magenta"/>
        </w:rPr>
        <w:t>an artist</w:t>
      </w:r>
      <w:r>
        <w:rPr>
          <w:rFonts w:ascii="TimesNewRomanPSMT" w:hAnsi="TimesNewRomanPSMT" w:cs="Helvetica"/>
          <w:kern w:val="1"/>
          <w:sz w:val="24"/>
          <w:szCs w:val="24"/>
          <w:highlight w:val="magenta"/>
        </w:rPr>
        <w:t>?]</w:t>
      </w:r>
    </w:p>
    <w:p w14:paraId="03E8F91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BA92D7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Chapter three does for Robinson the same initial process that chapter two did for Smith: I assemble, fro</w:t>
      </w:r>
      <w:r>
        <w:rPr>
          <w:rFonts w:ascii="TimesNewRomanPSMT" w:hAnsi="TimesNewRomanPSMT" w:cs="Helvetica"/>
          <w:kern w:val="1"/>
          <w:sz w:val="24"/>
          <w:szCs w:val="24"/>
        </w:rPr>
        <w:t>m a range of scholarly resources, an authoritative list of Robinson’s publications, and seek them in each of the six databases. My initial hypothesis is that, due to Robinson’s different posthumous reception, proportionally fewer of her works will be inclu</w:t>
      </w:r>
      <w:r>
        <w:rPr>
          <w:rFonts w:ascii="TimesNewRomanPSMT" w:hAnsi="TimesNewRomanPSMT" w:cs="Helvetica"/>
          <w:kern w:val="1"/>
          <w:sz w:val="24"/>
          <w:szCs w:val="24"/>
        </w:rPr>
        <w:t xml:space="preserve">ded in smaller archives compared to Charlotte Smith. In addition to comparing Robinson’s inclusion to Smith’s, I will use Robinson to explore the structural makeup of my databases, examining their representation of “authorship” the way I used Smith’s </w:t>
      </w:r>
      <w:r>
        <w:rPr>
          <w:rFonts w:ascii="TimesNewRomanPSMT" w:hAnsi="TimesNewRomanPSMT" w:cs="Helvetica"/>
          <w:i/>
          <w:kern w:val="1"/>
          <w:sz w:val="24"/>
          <w:szCs w:val="24"/>
        </w:rPr>
        <w:t>Elegi</w:t>
      </w:r>
      <w:r>
        <w:rPr>
          <w:rFonts w:ascii="TimesNewRomanPSMT" w:hAnsi="TimesNewRomanPSMT" w:cs="Helvetica"/>
          <w:i/>
          <w:kern w:val="1"/>
          <w:sz w:val="24"/>
          <w:szCs w:val="24"/>
        </w:rPr>
        <w:t>ac Sonnets</w:t>
      </w:r>
      <w:r>
        <w:rPr>
          <w:rFonts w:ascii="TimesNewRomanPSMT" w:hAnsi="TimesNewRomanPSMT" w:cs="Helvetica"/>
          <w:kern w:val="1"/>
          <w:sz w:val="24"/>
          <w:szCs w:val="24"/>
        </w:rPr>
        <w:t xml:space="preserve"> to examine their representation of “editions.” Robinson frequently wrote under pseudonyms or left works unsigned: how do the databases I examine handle authorship attribution? Discussing the digital encoding of Robinson’s authorship raises the s</w:t>
      </w:r>
      <w:r>
        <w:rPr>
          <w:rFonts w:ascii="TimesNewRomanPSMT" w:hAnsi="TimesNewRomanPSMT" w:cs="Helvetica"/>
          <w:kern w:val="1"/>
          <w:sz w:val="24"/>
          <w:szCs w:val="24"/>
        </w:rPr>
        <w:t xml:space="preserve">ubject of authorship more generally, as a flexible </w:t>
      </w:r>
      <w:r>
        <w:rPr>
          <w:rFonts w:ascii="TimesNewRomanPSMT" w:hAnsi="TimesNewRomanPSMT" w:cs="Helvetica"/>
          <w:kern w:val="1"/>
          <w:sz w:val="24"/>
          <w:szCs w:val="24"/>
        </w:rPr>
        <w:lastRenderedPageBreak/>
        <w:t>concept which can resist strict encoding.</w:t>
      </w:r>
      <w:r>
        <w:rPr>
          <w:rFonts w:ascii="TimesNewRomanPSMT" w:hAnsi="TimesNewRomanPSMT" w:cs="Helvetica"/>
          <w:kern w:val="1"/>
          <w:sz w:val="24"/>
          <w:szCs w:val="24"/>
          <w:vertAlign w:val="superscript"/>
        </w:rPr>
        <w:footnoteReference w:id="22"/>
      </w:r>
      <w:r>
        <w:rPr>
          <w:rFonts w:ascii="TimesNewRomanPSMT" w:hAnsi="TimesNewRomanPSMT" w:cs="Helvetica"/>
          <w:kern w:val="1"/>
          <w:sz w:val="24"/>
          <w:szCs w:val="24"/>
        </w:rPr>
        <w:t xml:space="preserve"> </w:t>
      </w:r>
      <w:bookmarkStart w:id="55" w:name="ch_summary-1"/>
      <w:r>
        <w:rPr>
          <w:rFonts w:ascii="TimesNewRomanPSMT" w:hAnsi="TimesNewRomanPSMT" w:cs="Helvetica"/>
          <w:kern w:val="1"/>
          <w:sz w:val="24"/>
          <w:szCs w:val="24"/>
        </w:rPr>
        <w:t>In</w:t>
      </w:r>
      <w:bookmarkEnd w:id="55"/>
      <w:r>
        <w:rPr>
          <w:rFonts w:ascii="TimesNewRomanPSMT" w:hAnsi="TimesNewRomanPSMT" w:cs="Helvetica"/>
          <w:kern w:val="1"/>
          <w:sz w:val="24"/>
          <w:szCs w:val="24"/>
        </w:rPr>
        <w:t xml:space="preserve"> particular, it draws attention to the importance of unsigned works, as distinct from anonymous works, and “open secrets” of authorship. As with Smith, I close </w:t>
      </w:r>
      <w:r>
        <w:rPr>
          <w:rFonts w:ascii="TimesNewRomanPSMT" w:hAnsi="TimesNewRomanPSMT" w:cs="Helvetica"/>
          <w:kern w:val="1"/>
          <w:sz w:val="24"/>
          <w:szCs w:val="24"/>
        </w:rPr>
        <w:t>the chapter with a consideration of Robinson herself as an author.</w:t>
      </w:r>
    </w:p>
    <w:p w14:paraId="444211F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5B7DB24"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4.3.  </w:t>
      </w:r>
      <w:bookmarkStart w:id="56" w:name="Ann_Radcliffe"/>
      <w:r>
        <w:rPr>
          <w:rFonts w:ascii="Georgia" w:hAnsi="Georgia" w:cs="Helvetica"/>
          <w:b/>
          <w:kern w:val="1"/>
          <w:sz w:val="26"/>
          <w:szCs w:val="24"/>
        </w:rPr>
        <w:t>Ann Radcliffe</w:t>
      </w:r>
      <w:bookmarkEnd w:id="56"/>
    </w:p>
    <w:p w14:paraId="695EC692"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73F4CEB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57" w:name="writing-2"/>
      <w:r>
        <w:rPr>
          <w:rFonts w:ascii="TimesNewRomanPSMT" w:hAnsi="TimesNewRomanPSMT" w:cs="Helvetica"/>
          <w:kern w:val="1"/>
          <w:sz w:val="24"/>
          <w:szCs w:val="24"/>
        </w:rPr>
        <w:t>Chapter</w:t>
      </w:r>
      <w:bookmarkEnd w:id="57"/>
      <w:r>
        <w:rPr>
          <w:rFonts w:ascii="TimesNewRomanPSMT" w:hAnsi="TimesNewRomanPSMT" w:cs="Helvetica"/>
          <w:kern w:val="1"/>
          <w:sz w:val="24"/>
          <w:szCs w:val="24"/>
        </w:rPr>
        <w:t xml:space="preserve"> 4 of this dissertation examines the works of Ann Radcliffe across several digital corpora. Ann Radcliffe is selected as a contrasting model of popularity, as a famous and popular author with a relatively short list of publications in only one genre. Radcl</w:t>
      </w:r>
      <w:r>
        <w:rPr>
          <w:rFonts w:ascii="TimesNewRomanPSMT" w:hAnsi="TimesNewRomanPSMT" w:cs="Helvetica"/>
          <w:kern w:val="1"/>
          <w:sz w:val="24"/>
          <w:szCs w:val="24"/>
        </w:rPr>
        <w:t>iffe is a particularly useful case study author to contest the relevance of “editions” as a marker of popularity: many of the later editions of her works had very large print runs, since the works were sure to sell, such that a decline in reissues is in fa</w:t>
      </w:r>
      <w:r>
        <w:rPr>
          <w:rFonts w:ascii="TimesNewRomanPSMT" w:hAnsi="TimesNewRomanPSMT" w:cs="Helvetica"/>
          <w:kern w:val="1"/>
          <w:sz w:val="24"/>
          <w:szCs w:val="24"/>
        </w:rPr>
        <w:t>ct a sign of success rather than failure. The precise details of these editions and their implications occupy much of chapter 4, and provide important complications for the models of popularity and legacy developed with Charlotte Smith and Mary Robinson in</w:t>
      </w:r>
      <w:r>
        <w:rPr>
          <w:rFonts w:ascii="TimesNewRomanPSMT" w:hAnsi="TimesNewRomanPSMT" w:cs="Helvetica"/>
          <w:kern w:val="1"/>
          <w:sz w:val="24"/>
          <w:szCs w:val="24"/>
        </w:rPr>
        <w:t xml:space="preserve"> chapters 2 and 3. Radcliffe’s first publication is at the beginning of this dissertation’s decade of interest: in 1789, Radcliffe published her first novel, </w:t>
      </w:r>
      <w:r>
        <w:rPr>
          <w:rFonts w:ascii="TimesNewRomanPSMT" w:hAnsi="TimesNewRomanPSMT" w:cs="Helvetica"/>
          <w:i/>
          <w:kern w:val="1"/>
          <w:sz w:val="24"/>
          <w:szCs w:val="24"/>
        </w:rPr>
        <w:t>The Castles of Athlin</w:t>
      </w:r>
      <w:r>
        <w:rPr>
          <w:rFonts w:ascii="TimesNewRomanPSMT" w:hAnsi="TimesNewRomanPSMT" w:cs="Helvetica"/>
          <w:kern w:val="1"/>
          <w:sz w:val="24"/>
          <w:szCs w:val="24"/>
        </w:rPr>
        <w:t xml:space="preserve"> </w:t>
      </w:r>
      <w:r>
        <w:rPr>
          <w:rFonts w:ascii="TimesNewRomanPSMT" w:hAnsi="TimesNewRomanPSMT" w:cs="Helvetica"/>
          <w:i/>
          <w:kern w:val="1"/>
          <w:sz w:val="24"/>
          <w:szCs w:val="24"/>
        </w:rPr>
        <w:t>and</w:t>
      </w:r>
      <w:r>
        <w:rPr>
          <w:rFonts w:ascii="TimesNewRomanPSMT" w:hAnsi="TimesNewRomanPSMT" w:cs="Helvetica"/>
          <w:kern w:val="1"/>
          <w:sz w:val="24"/>
          <w:szCs w:val="24"/>
        </w:rPr>
        <w:t xml:space="preserve"> </w:t>
      </w:r>
      <w:r>
        <w:rPr>
          <w:rFonts w:ascii="TimesNewRomanPSMT" w:hAnsi="TimesNewRomanPSMT" w:cs="Helvetica"/>
          <w:i/>
          <w:kern w:val="1"/>
          <w:sz w:val="24"/>
          <w:szCs w:val="24"/>
        </w:rPr>
        <w:t>Dunbayne</w:t>
      </w:r>
      <w:r>
        <w:rPr>
          <w:rFonts w:ascii="TimesNewRomanPSMT" w:hAnsi="TimesNewRomanPSMT" w:cs="Helvetica"/>
          <w:kern w:val="1"/>
          <w:sz w:val="24"/>
          <w:szCs w:val="24"/>
        </w:rPr>
        <w:t xml:space="preserve">, which reached five London editions by the time of her death. In 1790, she published </w:t>
      </w:r>
      <w:r>
        <w:rPr>
          <w:rFonts w:ascii="TimesNewRomanPSMT" w:hAnsi="TimesNewRomanPSMT" w:cs="Helvetica"/>
          <w:i/>
          <w:kern w:val="1"/>
          <w:sz w:val="24"/>
          <w:szCs w:val="24"/>
        </w:rPr>
        <w:t>A Sicilian Romance</w:t>
      </w:r>
      <w:r>
        <w:rPr>
          <w:rFonts w:ascii="TimesNewRomanPSMT" w:hAnsi="TimesNewRomanPSMT" w:cs="Helvetica"/>
          <w:kern w:val="1"/>
          <w:sz w:val="24"/>
          <w:szCs w:val="24"/>
        </w:rPr>
        <w:t xml:space="preserve">, which reached six London editions. In 1792, </w:t>
      </w:r>
      <w:r>
        <w:rPr>
          <w:rFonts w:ascii="TimesNewRomanPSMT" w:hAnsi="TimesNewRomanPSMT" w:cs="Helvetica"/>
          <w:i/>
          <w:kern w:val="1"/>
          <w:sz w:val="24"/>
          <w:szCs w:val="24"/>
        </w:rPr>
        <w:t>The Romance of the Forest</w:t>
      </w:r>
      <w:r>
        <w:rPr>
          <w:rFonts w:ascii="TimesNewRomanPSMT" w:hAnsi="TimesNewRomanPSMT" w:cs="Helvetica"/>
          <w:kern w:val="1"/>
          <w:sz w:val="24"/>
          <w:szCs w:val="24"/>
        </w:rPr>
        <w:t>, which reached eight London editions. This novel earned her more positive notice</w:t>
      </w:r>
      <w:r>
        <w:rPr>
          <w:rFonts w:ascii="TimesNewRomanPSMT" w:hAnsi="TimesNewRomanPSMT" w:cs="Helvetica"/>
          <w:kern w:val="1"/>
          <w:sz w:val="24"/>
          <w:szCs w:val="24"/>
        </w:rPr>
        <w:t xml:space="preserve"> and </w:t>
      </w:r>
      <w:r>
        <w:rPr>
          <w:rFonts w:ascii="TimesNewRomanPSMT" w:hAnsi="TimesNewRomanPSMT" w:cs="Helvetica"/>
          <w:kern w:val="1"/>
          <w:sz w:val="24"/>
          <w:szCs w:val="24"/>
        </w:rPr>
        <w:lastRenderedPageBreak/>
        <w:t xml:space="preserve">began the momentum for her career: it is after the success of The Romance of the Forest that her first two novels reached their second editions. In 1794, Radcliffe published her fourth novel, </w:t>
      </w:r>
      <w:r>
        <w:rPr>
          <w:rFonts w:ascii="TimesNewRomanPSMT" w:hAnsi="TimesNewRomanPSMT" w:cs="Helvetica"/>
          <w:i/>
          <w:kern w:val="1"/>
          <w:sz w:val="24"/>
          <w:szCs w:val="24"/>
        </w:rPr>
        <w:t xml:space="preserve">The Mysteries of </w:t>
      </w:r>
      <w:commentRangeStart w:id="58"/>
      <w:r>
        <w:rPr>
          <w:rFonts w:ascii="TimesNewRomanPSMT" w:hAnsi="TimesNewRomanPSMT" w:cs="Helvetica"/>
          <w:i/>
          <w:kern w:val="1"/>
          <w:sz w:val="24"/>
          <w:szCs w:val="24"/>
        </w:rPr>
        <w:fldChar w:fldCharType="begin"/>
      </w:r>
      <w:r>
        <w:rPr>
          <w:rFonts w:ascii="TimesNewRomanPSMT" w:hAnsi="TimesNewRomanPSMT" w:cs="Helvetica"/>
          <w:i/>
          <w:kern w:val="1"/>
          <w:sz w:val="24"/>
          <w:szCs w:val="24"/>
        </w:rPr>
        <w:instrText>HYPERLINK "scrivcmt://873338C6-0416-4EF8-B</w:instrText>
      </w:r>
      <w:r>
        <w:rPr>
          <w:rFonts w:ascii="TimesNewRomanPSMT" w:hAnsi="TimesNewRomanPSMT" w:cs="Helvetica"/>
          <w:i/>
          <w:kern w:val="1"/>
          <w:sz w:val="24"/>
          <w:szCs w:val="24"/>
        </w:rPr>
        <w:instrText>776-5E94BAD85C0B"</w:instrText>
      </w:r>
      <w:r>
        <w:rPr>
          <w:rFonts w:ascii="TimesNewRomanPSMT" w:hAnsi="TimesNewRomanPSMT" w:cs="Helvetica"/>
          <w:i/>
          <w:kern w:val="1"/>
          <w:sz w:val="24"/>
          <w:szCs w:val="24"/>
        </w:rPr>
        <w:fldChar w:fldCharType="separate"/>
      </w:r>
      <w:r>
        <w:rPr>
          <w:rFonts w:ascii="TimesNewRomanPSMT" w:hAnsi="TimesNewRomanPSMT" w:cs="Helvetica"/>
          <w:i/>
          <w:kern w:val="1"/>
          <w:sz w:val="24"/>
          <w:szCs w:val="24"/>
        </w:rPr>
        <w:t>Udolpho</w:t>
      </w:r>
      <w:r>
        <w:rPr>
          <w:rFonts w:ascii="TimesNewRomanPSMT" w:hAnsi="TimesNewRomanPSMT" w:cs="Helvetica"/>
          <w:i/>
          <w:kern w:val="1"/>
          <w:sz w:val="24"/>
          <w:szCs w:val="24"/>
        </w:rPr>
        <w:fldChar w:fldCharType="end"/>
      </w:r>
      <w:commentRangeEnd w:id="58"/>
      <w:r>
        <w:rPr>
          <w:rFonts w:ascii="TimesNewRomanPSMT" w:hAnsi="TimesNewRomanPSMT" w:cs="Helvetica"/>
          <w:kern w:val="1"/>
          <w:sz w:val="24"/>
          <w:szCs w:val="24"/>
        </w:rPr>
        <w:commentReference w:id="58"/>
      </w:r>
      <w:r>
        <w:rPr>
          <w:rFonts w:ascii="TimesNewRomanPSMT" w:hAnsi="TimesNewRomanPSMT" w:cs="Helvetica"/>
          <w:kern w:val="1"/>
          <w:sz w:val="24"/>
          <w:szCs w:val="24"/>
        </w:rPr>
        <w:t xml:space="preserve">, which had two London editions that year, and reached twelve London editions by her death. In 1795, Radcliffe published her only non-novel work, the travelogue </w:t>
      </w:r>
      <w:r>
        <w:rPr>
          <w:rFonts w:ascii="TimesNewRomanPSMT" w:hAnsi="TimesNewRomanPSMT" w:cs="Helvetica"/>
          <w:i/>
          <w:kern w:val="1"/>
          <w:sz w:val="24"/>
          <w:szCs w:val="24"/>
        </w:rPr>
        <w:t>A Journey Made in the Summer of 1794</w:t>
      </w:r>
      <w:r>
        <w:rPr>
          <w:rFonts w:ascii="TimesNewRomanPSMT" w:hAnsi="TimesNewRomanPSMT" w:cs="Helvetica"/>
          <w:kern w:val="1"/>
          <w:sz w:val="24"/>
          <w:szCs w:val="24"/>
        </w:rPr>
        <w:t>, which saw two editions in L</w:t>
      </w:r>
      <w:r>
        <w:rPr>
          <w:rFonts w:ascii="TimesNewRomanPSMT" w:hAnsi="TimesNewRomanPSMT" w:cs="Helvetica"/>
          <w:kern w:val="1"/>
          <w:sz w:val="24"/>
          <w:szCs w:val="24"/>
        </w:rPr>
        <w:t xml:space="preserve">ondon that year and a third before her death. In 1797, she published the last new novel to be released during her lifetime, </w:t>
      </w:r>
      <w:r>
        <w:rPr>
          <w:rFonts w:ascii="TimesNewRomanPSMT" w:hAnsi="TimesNewRomanPSMT" w:cs="Helvetica"/>
          <w:i/>
          <w:kern w:val="1"/>
          <w:sz w:val="24"/>
          <w:szCs w:val="24"/>
        </w:rPr>
        <w:t xml:space="preserve">The </w:t>
      </w:r>
      <w:commentRangeStart w:id="59"/>
      <w:r>
        <w:rPr>
          <w:rFonts w:ascii="TimesNewRomanPSMT" w:hAnsi="TimesNewRomanPSMT" w:cs="Helvetica"/>
          <w:i/>
          <w:kern w:val="1"/>
          <w:sz w:val="24"/>
          <w:szCs w:val="24"/>
        </w:rPr>
        <w:fldChar w:fldCharType="begin"/>
      </w:r>
      <w:r>
        <w:rPr>
          <w:rFonts w:ascii="TimesNewRomanPSMT" w:hAnsi="TimesNewRomanPSMT" w:cs="Helvetica"/>
          <w:i/>
          <w:kern w:val="1"/>
          <w:sz w:val="24"/>
          <w:szCs w:val="24"/>
        </w:rPr>
        <w:instrText>HYPERLINK "scrivcmt://C8BBB498-858E-4485-9AEF-579C44827177"</w:instrText>
      </w:r>
      <w:r>
        <w:rPr>
          <w:rFonts w:ascii="TimesNewRomanPSMT" w:hAnsi="TimesNewRomanPSMT" w:cs="Helvetica"/>
          <w:i/>
          <w:kern w:val="1"/>
          <w:sz w:val="24"/>
          <w:szCs w:val="24"/>
        </w:rPr>
        <w:fldChar w:fldCharType="separate"/>
      </w:r>
      <w:r>
        <w:rPr>
          <w:rFonts w:ascii="TimesNewRomanPSMT" w:hAnsi="TimesNewRomanPSMT" w:cs="Helvetica"/>
          <w:i/>
          <w:kern w:val="1"/>
          <w:sz w:val="24"/>
          <w:szCs w:val="24"/>
        </w:rPr>
        <w:t>Italian</w:t>
      </w:r>
      <w:r>
        <w:rPr>
          <w:rFonts w:ascii="TimesNewRomanPSMT" w:hAnsi="TimesNewRomanPSMT" w:cs="Helvetica"/>
          <w:i/>
          <w:kern w:val="1"/>
          <w:sz w:val="24"/>
          <w:szCs w:val="24"/>
        </w:rPr>
        <w:fldChar w:fldCharType="end"/>
      </w:r>
      <w:commentRangeEnd w:id="59"/>
      <w:r>
        <w:rPr>
          <w:rFonts w:ascii="TimesNewRomanPSMT" w:hAnsi="TimesNewRomanPSMT" w:cs="Helvetica"/>
          <w:kern w:val="1"/>
          <w:sz w:val="24"/>
          <w:szCs w:val="24"/>
        </w:rPr>
        <w:commentReference w:id="59"/>
      </w:r>
      <w:r>
        <w:rPr>
          <w:rFonts w:ascii="TimesNewRomanPSMT" w:hAnsi="TimesNewRomanPSMT" w:cs="Helvetica"/>
          <w:kern w:val="1"/>
          <w:sz w:val="24"/>
          <w:szCs w:val="24"/>
        </w:rPr>
        <w:t>, which reached a second edition before her death. After</w:t>
      </w:r>
      <w:r>
        <w:rPr>
          <w:rFonts w:ascii="TimesNewRomanPSMT" w:hAnsi="TimesNewRomanPSMT" w:cs="Helvetica"/>
          <w:kern w:val="1"/>
          <w:sz w:val="24"/>
          <w:szCs w:val="24"/>
        </w:rPr>
        <w:t xml:space="preserve"> this dissertation’s decade of interest, Radcliffe’s works continued to be reprinted domestically and internationally nearly every year, but she ceased publishing new works. In 1802, Radcliffe wrote, but did not publish, </w:t>
      </w:r>
      <w:r>
        <w:rPr>
          <w:rFonts w:ascii="TimesNewRomanPSMT" w:hAnsi="TimesNewRomanPSMT" w:cs="Helvetica"/>
          <w:i/>
          <w:kern w:val="1"/>
          <w:sz w:val="24"/>
          <w:szCs w:val="24"/>
        </w:rPr>
        <w:t>Gaston de Blondville</w:t>
      </w:r>
      <w:r>
        <w:rPr>
          <w:rFonts w:ascii="TimesNewRomanPSMT" w:hAnsi="TimesNewRomanPSMT" w:cs="Helvetica"/>
          <w:kern w:val="1"/>
          <w:sz w:val="24"/>
          <w:szCs w:val="24"/>
        </w:rPr>
        <w:t>, which would f</w:t>
      </w:r>
      <w:r>
        <w:rPr>
          <w:rFonts w:ascii="TimesNewRomanPSMT" w:hAnsi="TimesNewRomanPSMT" w:cs="Helvetica"/>
          <w:kern w:val="1"/>
          <w:sz w:val="24"/>
          <w:szCs w:val="24"/>
        </w:rPr>
        <w:t xml:space="preserve">inally appear in print posthumously in 1826. In 1816, a “new” publication appeared: an unauthorized volume </w:t>
      </w:r>
      <w:r>
        <w:rPr>
          <w:rFonts w:ascii="TimesNewRomanPSMT" w:hAnsi="TimesNewRomanPSMT" w:cs="Helvetica"/>
          <w:i/>
          <w:kern w:val="1"/>
          <w:sz w:val="24"/>
          <w:szCs w:val="24"/>
        </w:rPr>
        <w:t>Poems by Mrs Ann Radcliffe</w:t>
      </w:r>
      <w:r>
        <w:rPr>
          <w:rFonts w:ascii="TimesNewRomanPSMT" w:hAnsi="TimesNewRomanPSMT" w:cs="Helvetica"/>
          <w:kern w:val="1"/>
          <w:sz w:val="24"/>
          <w:szCs w:val="24"/>
        </w:rPr>
        <w:t>, anthologizing poems previously appearing in her novels. Radcliffe died in February of 1823. This prompted reprints of all</w:t>
      </w:r>
      <w:r>
        <w:rPr>
          <w:rFonts w:ascii="TimesNewRomanPSMT" w:hAnsi="TimesNewRomanPSMT" w:cs="Helvetica"/>
          <w:kern w:val="1"/>
          <w:sz w:val="24"/>
          <w:szCs w:val="24"/>
        </w:rPr>
        <w:t xml:space="preserve"> of her works by S. Fisher in 1823, and by Ballantyne in 1824. In 1826, her husband published several pieces posthumously: </w:t>
      </w:r>
      <w:r>
        <w:rPr>
          <w:rFonts w:ascii="TimesNewRomanPSMT" w:hAnsi="TimesNewRomanPSMT" w:cs="Helvetica"/>
          <w:i/>
          <w:kern w:val="1"/>
          <w:sz w:val="24"/>
          <w:szCs w:val="24"/>
        </w:rPr>
        <w:t>Gaston de Blondeville</w:t>
      </w:r>
      <w:r>
        <w:rPr>
          <w:rFonts w:ascii="TimesNewRomanPSMT" w:hAnsi="TimesNewRomanPSMT" w:cs="Helvetica"/>
          <w:kern w:val="1"/>
          <w:sz w:val="24"/>
          <w:szCs w:val="24"/>
        </w:rPr>
        <w:t xml:space="preserve">; a poetic piece </w:t>
      </w:r>
      <w:r>
        <w:rPr>
          <w:rFonts w:ascii="TimesNewRomanPSMT" w:hAnsi="TimesNewRomanPSMT" w:cs="Helvetica"/>
          <w:i/>
          <w:kern w:val="1"/>
          <w:sz w:val="24"/>
          <w:szCs w:val="24"/>
        </w:rPr>
        <w:t>St. Alban’s Abbey ...To which is prefixed a memoir of the author</w:t>
      </w:r>
      <w:r>
        <w:rPr>
          <w:rFonts w:ascii="TimesNewRomanPSMT" w:hAnsi="TimesNewRomanPSMT" w:cs="Helvetica"/>
          <w:kern w:val="1"/>
          <w:sz w:val="24"/>
          <w:szCs w:val="24"/>
        </w:rPr>
        <w:t xml:space="preserve">; and, in </w:t>
      </w:r>
      <w:r>
        <w:rPr>
          <w:rFonts w:ascii="TimesNewRomanPSMT" w:hAnsi="TimesNewRomanPSMT" w:cs="Helvetica"/>
          <w:i/>
          <w:kern w:val="1"/>
          <w:sz w:val="24"/>
          <w:szCs w:val="24"/>
        </w:rPr>
        <w:t>New Monthly Magazine</w:t>
      </w:r>
      <w:r>
        <w:rPr>
          <w:rFonts w:ascii="TimesNewRomanPSMT" w:hAnsi="TimesNewRomanPSMT" w:cs="Helvetica"/>
          <w:kern w:val="1"/>
          <w:sz w:val="24"/>
          <w:szCs w:val="24"/>
        </w:rPr>
        <w:t>,</w:t>
      </w:r>
      <w:r>
        <w:rPr>
          <w:rFonts w:ascii="TimesNewRomanPSMT" w:hAnsi="TimesNewRomanPSMT" w:cs="Helvetica"/>
          <w:kern w:val="1"/>
          <w:sz w:val="24"/>
          <w:szCs w:val="24"/>
        </w:rPr>
        <w:t xml:space="preserve"> her unfinished essay “On the Supernatural in Poetry.”</w:t>
      </w:r>
    </w:p>
    <w:p w14:paraId="11AB301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F61256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Radcliffe’s biography, too, is short. Radcliffe never cultivated a public literary persona, which itself led to the development of a mythos of her seclusion. Almost all biographical information comes </w:t>
      </w:r>
      <w:r>
        <w:rPr>
          <w:rFonts w:ascii="TimesNewRomanPSMT" w:hAnsi="TimesNewRomanPSMT" w:cs="Helvetica"/>
          <w:kern w:val="1"/>
          <w:sz w:val="24"/>
          <w:szCs w:val="24"/>
        </w:rPr>
        <w:t>from Thomas Noon Talfourd’s 1826 “Memoir of Radcliffe,” written in close consultation with Ann Radcliffe’s husband William. Radcliffe kept extensive journals, which Talfourd occasionally extracts, but her manuscripts were all destroyed shortly after her de</w:t>
      </w:r>
      <w:r>
        <w:rPr>
          <w:rFonts w:ascii="TimesNewRomanPSMT" w:hAnsi="TimesNewRomanPSMT" w:cs="Helvetica"/>
          <w:kern w:val="1"/>
          <w:sz w:val="24"/>
          <w:szCs w:val="24"/>
        </w:rPr>
        <w:t xml:space="preserve">ath, with the exception of forty-two pages of her commonplace book from near the end of her life, </w:t>
      </w:r>
      <w:r>
        <w:rPr>
          <w:rFonts w:ascii="TimesNewRomanPSMT" w:hAnsi="TimesNewRomanPSMT" w:cs="Helvetica"/>
          <w:kern w:val="1"/>
          <w:sz w:val="24"/>
          <w:szCs w:val="24"/>
        </w:rPr>
        <w:lastRenderedPageBreak/>
        <w:t xml:space="preserve">and a two-sentence letter to a Miss Williamson (Rogers 2). Deborah Rogers’s 1996 </w:t>
      </w:r>
      <w:r>
        <w:rPr>
          <w:rFonts w:ascii="TimesNewRomanPSMT" w:hAnsi="TimesNewRomanPSMT" w:cs="Helvetica"/>
          <w:i/>
          <w:kern w:val="1"/>
          <w:sz w:val="24"/>
          <w:szCs w:val="24"/>
        </w:rPr>
        <w:t>Ann Radcliffe: A Bio-Bibliography</w:t>
      </w:r>
      <w:r>
        <w:rPr>
          <w:rFonts w:ascii="TimesNewRomanPSMT" w:hAnsi="TimesNewRomanPSMT" w:cs="Helvetica"/>
          <w:kern w:val="1"/>
          <w:sz w:val="24"/>
          <w:szCs w:val="24"/>
        </w:rPr>
        <w:t>, the first to examine the commonplace book,</w:t>
      </w:r>
      <w:r>
        <w:rPr>
          <w:rFonts w:ascii="TimesNewRomanPSMT" w:hAnsi="TimesNewRomanPSMT" w:cs="Helvetica"/>
          <w:kern w:val="1"/>
          <w:sz w:val="24"/>
          <w:szCs w:val="24"/>
        </w:rPr>
        <w:t xml:space="preserve"> remains the best account of Radcliffe’s life and major works. Some simple facts are known. She was born in London on July 9 1763, the only child of Ann Oates Ward and William Ward, a haberdasher who later managed a china shop. Both of her parents were clo</w:t>
      </w:r>
      <w:r>
        <w:rPr>
          <w:rFonts w:ascii="TimesNewRomanPSMT" w:hAnsi="TimesNewRomanPSMT" w:cs="Helvetica"/>
          <w:kern w:val="1"/>
          <w:sz w:val="24"/>
          <w:szCs w:val="24"/>
        </w:rPr>
        <w:t>se to their slightly more illustrious relatives, and encouraged an old-fashioned sense of gentility in their daughter (Rogers 3). Radcliffe was married in 1786 at age 23, to William Radcliffe, “a hardworking Oxford law graduate who became part-editor and o</w:t>
      </w:r>
      <w:r>
        <w:rPr>
          <w:rFonts w:ascii="TimesNewRomanPSMT" w:hAnsi="TimesNewRomanPSMT" w:cs="Helvetica"/>
          <w:kern w:val="1"/>
          <w:sz w:val="24"/>
          <w:szCs w:val="24"/>
        </w:rPr>
        <w:t xml:space="preserve">wner of </w:t>
      </w:r>
      <w:r>
        <w:rPr>
          <w:rFonts w:ascii="TimesNewRomanPSMT" w:hAnsi="TimesNewRomanPSMT" w:cs="Helvetica"/>
          <w:i/>
          <w:kern w:val="1"/>
          <w:sz w:val="24"/>
          <w:szCs w:val="24"/>
        </w:rPr>
        <w:t>The English Chronicle</w:t>
      </w:r>
      <w:r>
        <w:rPr>
          <w:rFonts w:ascii="TimesNewRomanPSMT" w:hAnsi="TimesNewRomanPSMT" w:cs="Helvetica"/>
          <w:kern w:val="1"/>
          <w:sz w:val="24"/>
          <w:szCs w:val="24"/>
        </w:rPr>
        <w:t>” (Facer). Unlike Smith’s and Robinson’s husbands, William Radcliffe appears to have used the household’s funds fairly responsibly, though when Ann Radcliffe’s mother died, one stipulation of her will was that Ann’s inheritance</w:t>
      </w:r>
      <w:r>
        <w:rPr>
          <w:rFonts w:ascii="TimesNewRomanPSMT" w:hAnsi="TimesNewRomanPSMT" w:cs="Helvetica"/>
          <w:kern w:val="1"/>
          <w:sz w:val="24"/>
          <w:szCs w:val="24"/>
        </w:rPr>
        <w:t xml:space="preserve"> not be used to pay any of William’s debts. Certainly, William Radcliffe promoted the image of himself as a nurturing helpmeet to his wife: in the ‘origin story’ of Ann Radcliffe’s writing which Talfourd writes based on William’s descriptions, Talfourd cre</w:t>
      </w:r>
      <w:r>
        <w:rPr>
          <w:rFonts w:ascii="TimesNewRomanPSMT" w:hAnsi="TimesNewRomanPSMT" w:cs="Helvetica"/>
          <w:kern w:val="1"/>
          <w:sz w:val="24"/>
          <w:szCs w:val="24"/>
        </w:rPr>
        <w:t>dits William with encouraging his wife’s shy talents. Facer says, “He often came home late and in order to occupy her time, Radcliffe began to write, reading aloud the lines she had written during the day on his return” (Facer). Given how many critics emph</w:t>
      </w:r>
      <w:r>
        <w:rPr>
          <w:rFonts w:ascii="TimesNewRomanPSMT" w:hAnsi="TimesNewRomanPSMT" w:cs="Helvetica"/>
          <w:kern w:val="1"/>
          <w:sz w:val="24"/>
          <w:szCs w:val="24"/>
        </w:rPr>
        <w:t xml:space="preserve">asize Radcliffe’s obvious responsiveness to reviews — each novel directly altering the aspects most criticized in the previous — her writing seems not to have been </w:t>
      </w:r>
      <w:r>
        <w:rPr>
          <w:rFonts w:ascii="TimesNewRomanPSMT" w:hAnsi="TimesNewRomanPSMT" w:cs="Helvetica"/>
          <w:i/>
          <w:kern w:val="1"/>
          <w:sz w:val="24"/>
          <w:szCs w:val="24"/>
        </w:rPr>
        <w:t>entirely</w:t>
      </w:r>
      <w:r>
        <w:rPr>
          <w:rFonts w:ascii="TimesNewRomanPSMT" w:hAnsi="TimesNewRomanPSMT" w:cs="Helvetica"/>
          <w:kern w:val="1"/>
          <w:sz w:val="24"/>
          <w:szCs w:val="24"/>
        </w:rPr>
        <w:t xml:space="preserve"> an idle amusement to pass long hours. Her six major publications appeared rapidly b</w:t>
      </w:r>
      <w:r>
        <w:rPr>
          <w:rFonts w:ascii="TimesNewRomanPSMT" w:hAnsi="TimesNewRomanPSMT" w:cs="Helvetica"/>
          <w:kern w:val="1"/>
          <w:sz w:val="24"/>
          <w:szCs w:val="24"/>
        </w:rPr>
        <w:t>etween 1789 and 1797. In 1798, Radcliffe’s father died, leaving some of his property to Radcliffe, some to her mother, and a small amount to William himself should he outlive his wife (Rogers 11). In 1800, Radcliffe’s mother died as well, leaving her prope</w:t>
      </w:r>
      <w:r>
        <w:rPr>
          <w:rFonts w:ascii="TimesNewRomanPSMT" w:hAnsi="TimesNewRomanPSMT" w:cs="Helvetica"/>
          <w:kern w:val="1"/>
          <w:sz w:val="24"/>
          <w:szCs w:val="24"/>
        </w:rPr>
        <w:t xml:space="preserve">rty to Radcliffe on the condition that nothing be left to William and none of the money be used to pay William’s debts (Rogers 11-12). In 1802, Radcliffe wrote, but did not publish, </w:t>
      </w:r>
      <w:r>
        <w:rPr>
          <w:rFonts w:ascii="TimesNewRomanPSMT" w:hAnsi="TimesNewRomanPSMT" w:cs="Helvetica"/>
          <w:i/>
          <w:kern w:val="1"/>
          <w:sz w:val="24"/>
          <w:szCs w:val="24"/>
        </w:rPr>
        <w:t xml:space="preserve">Gaston de </w:t>
      </w:r>
      <w:r>
        <w:rPr>
          <w:rFonts w:ascii="TimesNewRomanPSMT" w:hAnsi="TimesNewRomanPSMT" w:cs="Helvetica"/>
          <w:i/>
          <w:kern w:val="1"/>
          <w:sz w:val="24"/>
          <w:szCs w:val="24"/>
        </w:rPr>
        <w:lastRenderedPageBreak/>
        <w:t xml:space="preserve">Blondville, </w:t>
      </w:r>
      <w:r>
        <w:rPr>
          <w:rFonts w:ascii="TimesNewRomanPSMT" w:hAnsi="TimesNewRomanPSMT" w:cs="Helvetica"/>
          <w:kern w:val="1"/>
          <w:sz w:val="24"/>
          <w:szCs w:val="24"/>
        </w:rPr>
        <w:t>her last major work of writing.</w:t>
      </w:r>
      <w:r>
        <w:rPr>
          <w:rFonts w:ascii="TimesNewRomanPSMT" w:hAnsi="TimesNewRomanPSMT" w:cs="Helvetica"/>
          <w:kern w:val="1"/>
          <w:sz w:val="24"/>
          <w:szCs w:val="24"/>
          <w:vertAlign w:val="superscript"/>
        </w:rPr>
        <w:footnoteReference w:id="23"/>
      </w:r>
      <w:r>
        <w:rPr>
          <w:rFonts w:ascii="TimesNewRomanPSMT" w:hAnsi="TimesNewRomanPSMT" w:cs="Helvetica"/>
          <w:kern w:val="1"/>
          <w:sz w:val="24"/>
          <w:szCs w:val="24"/>
        </w:rPr>
        <w:t xml:space="preserve"> </w:t>
      </w:r>
      <w:bookmarkStart w:id="60" w:name="life-2"/>
      <w:r>
        <w:rPr>
          <w:rFonts w:ascii="TimesNewRomanPSMT" w:hAnsi="TimesNewRomanPSMT" w:cs="Helvetica"/>
          <w:kern w:val="1"/>
          <w:sz w:val="24"/>
          <w:szCs w:val="24"/>
        </w:rPr>
        <w:t>Radcliffe</w:t>
      </w:r>
      <w:bookmarkEnd w:id="60"/>
      <w:r>
        <w:rPr>
          <w:rFonts w:ascii="TimesNewRomanPSMT" w:hAnsi="TimesNewRomanPSMT" w:cs="Helvetica"/>
          <w:kern w:val="1"/>
          <w:sz w:val="24"/>
          <w:szCs w:val="24"/>
        </w:rPr>
        <w:t xml:space="preserve"> spent the</w:t>
      </w:r>
      <w:r>
        <w:rPr>
          <w:rFonts w:ascii="TimesNewRomanPSMT" w:hAnsi="TimesNewRomanPSMT" w:cs="Helvetica"/>
          <w:kern w:val="1"/>
          <w:sz w:val="24"/>
          <w:szCs w:val="24"/>
        </w:rPr>
        <w:t xml:space="preserve"> second half of her life enjoying the domestic retirement praised within her novels, sometimes travelling within England with her husband. She died in 1823, age 58.</w:t>
      </w:r>
    </w:p>
    <w:p w14:paraId="7CE4664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133F8C5" w14:textId="77777777" w:rsidR="002F0BEE" w:rsidRDefault="00B67DD8">
      <w:pPr>
        <w:pStyle w:val="Paragraph"/>
        <w:rPr>
          <w:rFonts w:cs="Helvetica"/>
          <w:kern w:val="1"/>
          <w:szCs w:val="24"/>
        </w:rPr>
      </w:pPr>
      <w:r>
        <w:rPr>
          <w:rFonts w:cs="Helvetica"/>
          <w:kern w:val="1"/>
          <w:szCs w:val="24"/>
        </w:rPr>
        <w:t xml:space="preserve">In contrast to the brevity of Radcliffe’s bibliography and biography stands the mountain of secondary writing on her works. </w:t>
      </w:r>
      <w:r>
        <w:rPr>
          <w:rFonts w:cs="Helvetica"/>
          <w:kern w:val="1"/>
          <w:szCs w:val="24"/>
          <w:highlight w:val="magenta"/>
        </w:rPr>
        <w:t xml:space="preserve">[NOTE: This section remains incomplete, with only a rough sketch of the literature review in place.] </w:t>
      </w:r>
      <w:r>
        <w:rPr>
          <w:rFonts w:cs="Helvetica"/>
          <w:kern w:val="1"/>
          <w:szCs w:val="24"/>
        </w:rPr>
        <w:t xml:space="preserve">During her lifetime, Radcliffe </w:t>
      </w:r>
      <w:r>
        <w:rPr>
          <w:rFonts w:cs="Helvetica"/>
          <w:kern w:val="1"/>
          <w:szCs w:val="24"/>
        </w:rPr>
        <w:t xml:space="preserve">was widely reviewed and discussed. </w:t>
      </w:r>
      <w:r>
        <w:rPr>
          <w:rFonts w:cs="Helvetica"/>
          <w:szCs w:val="24"/>
        </w:rPr>
        <w:t>Scholars</w:t>
      </w:r>
      <w:r>
        <w:rPr>
          <w:rFonts w:cs="Helvetica"/>
          <w:szCs w:val="24"/>
          <w:vertAlign w:val="superscript"/>
        </w:rPr>
        <w:footnoteReference w:id="24"/>
      </w:r>
      <w:r>
        <w:rPr>
          <w:rFonts w:cs="Helvetica"/>
          <w:szCs w:val="24"/>
        </w:rPr>
        <w:t xml:space="preserve"> </w:t>
      </w:r>
      <w:bookmarkStart w:id="61" w:name="scholarship-2"/>
      <w:r>
        <w:rPr>
          <w:rFonts w:cs="Helvetica"/>
          <w:szCs w:val="24"/>
        </w:rPr>
        <w:t>have</w:t>
      </w:r>
      <w:bookmarkEnd w:id="61"/>
      <w:r>
        <w:rPr>
          <w:rFonts w:cs="Helvetica"/>
          <w:szCs w:val="24"/>
        </w:rPr>
        <w:t xml:space="preserve"> often examined Radcliffe’s responsiveness to reviews of her works, with each new novel changing the aspects which was critiqued most strongly in the previous.  [So she ultimately produces Gothics that revie</w:t>
      </w:r>
      <w:r>
        <w:rPr>
          <w:rFonts w:cs="Helvetica"/>
          <w:szCs w:val="24"/>
        </w:rPr>
        <w:t>wers are willing to accept on their own moral terms — and therefore Gothics which subsequent generation are willing to accept/praise?]</w:t>
      </w:r>
    </w:p>
    <w:p w14:paraId="21DB9514" w14:textId="77777777" w:rsidR="002F0BEE" w:rsidRDefault="002F0BEE">
      <w:pPr>
        <w:pStyle w:val="Paragraph"/>
        <w:rPr>
          <w:rFonts w:cs="Helvetica"/>
          <w:kern w:val="1"/>
          <w:szCs w:val="24"/>
        </w:rPr>
      </w:pPr>
    </w:p>
    <w:p w14:paraId="7FF2EF3D" w14:textId="77777777" w:rsidR="002F0BEE" w:rsidRDefault="00B67DD8">
      <w:pPr>
        <w:pStyle w:val="Paragraph"/>
        <w:rPr>
          <w:rFonts w:cs="Helvetica"/>
          <w:kern w:val="1"/>
          <w:szCs w:val="24"/>
        </w:rPr>
      </w:pPr>
      <w:r>
        <w:rPr>
          <w:rFonts w:cs="Helvetica"/>
          <w:kern w:val="1"/>
          <w:szCs w:val="24"/>
        </w:rPr>
        <w:t>At her death in 1823, despite the twenty-six years since her last publication, an outpouring of obituaries marked her as</w:t>
      </w:r>
      <w:r>
        <w:rPr>
          <w:rFonts w:cs="Helvetica"/>
          <w:kern w:val="1"/>
          <w:szCs w:val="24"/>
        </w:rPr>
        <w:t xml:space="preserve"> an esteemed literary genius. Much of this praise followed the template so famously set out in Walter Scott’s ‘Prefatory Memoir to Mrs Ann Radcliffe’ in the tenth volume of James Ballantyne’s Novelist’s Library series. Despite Scott’s dismissive attitude t</w:t>
      </w:r>
      <w:r>
        <w:rPr>
          <w:rFonts w:cs="Helvetica"/>
          <w:kern w:val="1"/>
          <w:szCs w:val="24"/>
        </w:rPr>
        <w:t>oward the other romances that beguiled his youth, “he nonetheless takes care to defend the unquestionable genius of Ann Radcliffe on at least three accounts: her presiding over ‘a separate and distinct species of writing’ (Scott 1824: xx); her ability to s</w:t>
      </w:r>
      <w:r>
        <w:rPr>
          <w:rFonts w:cs="Helvetica"/>
          <w:kern w:val="1"/>
          <w:szCs w:val="24"/>
        </w:rPr>
        <w:t>ustain her readers’ interest and attention across three major novels … and her exploration of extreme human passions in appropriately southern European settings” (Townshend and Wright 5-6).</w:t>
      </w:r>
    </w:p>
    <w:p w14:paraId="25D0E23C" w14:textId="77777777" w:rsidR="002F0BEE" w:rsidRDefault="002F0BEE">
      <w:pPr>
        <w:pStyle w:val="Paragraph"/>
        <w:rPr>
          <w:rFonts w:cs="Helvetica"/>
          <w:kern w:val="1"/>
          <w:szCs w:val="24"/>
        </w:rPr>
      </w:pPr>
    </w:p>
    <w:p w14:paraId="5983E100" w14:textId="77777777" w:rsidR="002F0BEE" w:rsidRDefault="00B67DD8">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sz w:val="22"/>
          <w:szCs w:val="24"/>
        </w:rPr>
      </w:pPr>
      <w:r>
        <w:rPr>
          <w:rFonts w:ascii="Georgia" w:hAnsi="Georgia" w:cs="Helvetica"/>
          <w:sz w:val="22"/>
          <w:szCs w:val="24"/>
        </w:rPr>
        <w:t>Since Scott, Radcliffe has continued to be consistently praised a</w:t>
      </w:r>
      <w:r>
        <w:rPr>
          <w:rFonts w:ascii="Georgia" w:hAnsi="Georgia" w:cs="Helvetica"/>
          <w:sz w:val="22"/>
          <w:szCs w:val="24"/>
        </w:rPr>
        <w:t xml:space="preserve">nd studied, often in ways </w:t>
      </w:r>
      <w:r>
        <w:rPr>
          <w:rFonts w:ascii="Georgia" w:hAnsi="Georgia" w:cs="Helvetica"/>
          <w:sz w:val="22"/>
          <w:szCs w:val="24"/>
        </w:rPr>
        <w:lastRenderedPageBreak/>
        <w:t>that establish the worthlessness of works similar to her; a ‘token’ who justifies the exclusion of women or feminine writing.</w:t>
      </w:r>
      <w:r>
        <w:rPr>
          <w:rFonts w:ascii="Georgia" w:hAnsi="Georgia" w:cs="Helvetica"/>
          <w:kern w:val="1"/>
          <w:sz w:val="22"/>
          <w:szCs w:val="24"/>
        </w:rPr>
        <w:t xml:space="preserve"> In 2014, the volume </w:t>
      </w:r>
      <w:r>
        <w:rPr>
          <w:rFonts w:ascii="Georgia" w:hAnsi="Georgia" w:cs="Helvetica"/>
          <w:i/>
          <w:kern w:val="1"/>
          <w:sz w:val="22"/>
          <w:szCs w:val="24"/>
        </w:rPr>
        <w:t>Ann Radcliffe, Romanticism and the Gothic,</w:t>
      </w:r>
      <w:r>
        <w:rPr>
          <w:rFonts w:ascii="Georgia" w:hAnsi="Georgia" w:cs="Helvetica"/>
          <w:kern w:val="1"/>
          <w:sz w:val="22"/>
          <w:szCs w:val="24"/>
        </w:rPr>
        <w:t xml:space="preserve"> edited by Dale Townshend and Angela Wright, commemorated 250 years since Radcliffe’s birth. In this volume, Radcliffe has weathered multiple changes in the critical landscape” “</w:t>
      </w:r>
      <w:r>
        <w:rPr>
          <w:rFonts w:ascii="Georgia" w:hAnsi="Georgia" w:cs="Helvetica"/>
          <w:sz w:val="22"/>
          <w:szCs w:val="24"/>
        </w:rPr>
        <w:t>Once-dominant psychoanalytic and feminist interpretations have given way to cr</w:t>
      </w:r>
      <w:r>
        <w:rPr>
          <w:rFonts w:ascii="Georgia" w:hAnsi="Georgia" w:cs="Helvetica"/>
          <w:sz w:val="22"/>
          <w:szCs w:val="24"/>
        </w:rPr>
        <w:t>itical work drawing on political and religious history, print culture studies, theories of media and remediation, and new formalism” (Carson 127).</w:t>
      </w:r>
    </w:p>
    <w:p w14:paraId="335BA899" w14:textId="77777777" w:rsidR="002F0BEE" w:rsidRDefault="002F0BEE">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sz w:val="22"/>
          <w:szCs w:val="24"/>
        </w:rPr>
      </w:pPr>
    </w:p>
    <w:p w14:paraId="5E5FC920" w14:textId="77777777" w:rsidR="002F0BEE" w:rsidRDefault="00B67DD8">
      <w:pPr>
        <w:tabs>
          <w:tab w:val="left" w:pos="360"/>
          <w:tab w:val="left" w:pos="720"/>
          <w:tab w:val="left" w:pos="1080"/>
          <w:tab w:val="left" w:pos="1440"/>
          <w:tab w:val="left" w:pos="1800"/>
          <w:tab w:val="left" w:pos="2160"/>
          <w:tab w:val="left" w:pos="2880"/>
          <w:tab w:val="left" w:pos="3600"/>
          <w:tab w:val="left" w:pos="4320"/>
          <w:tab w:val="left" w:pos="4680"/>
        </w:tabs>
        <w:spacing w:line="312" w:lineRule="auto"/>
        <w:ind w:firstLine="360"/>
        <w:rPr>
          <w:rFonts w:ascii="Georgia" w:hAnsi="Georgia" w:cs="Helvetica"/>
          <w:sz w:val="22"/>
          <w:szCs w:val="24"/>
        </w:rPr>
      </w:pPr>
      <w:bookmarkStart w:id="62" w:name="ch_summary-2"/>
      <w:r>
        <w:rPr>
          <w:rFonts w:ascii="Georgia" w:hAnsi="Georgia" w:cs="Helvetica"/>
          <w:sz w:val="22"/>
          <w:szCs w:val="24"/>
        </w:rPr>
        <w:t>Chapter</w:t>
      </w:r>
      <w:bookmarkEnd w:id="62"/>
      <w:r>
        <w:rPr>
          <w:rFonts w:ascii="Georgia" w:hAnsi="Georgia" w:cs="Helvetica"/>
          <w:sz w:val="22"/>
          <w:szCs w:val="24"/>
        </w:rPr>
        <w:t xml:space="preserve"> four uses Ann Radcliffe as an important contrast to Charlotte Smith and especially to Mary Robinson,</w:t>
      </w:r>
      <w:r>
        <w:rPr>
          <w:rFonts w:ascii="Georgia" w:hAnsi="Georgia" w:cs="Helvetica"/>
          <w:sz w:val="22"/>
          <w:szCs w:val="24"/>
        </w:rPr>
        <w:t xml:space="preserve"> to challenge the ease with which the number of unique titles can stand in for both “popularity” and “importance.” Taking as my premise that Radcliffe was unquestionably both popular and important in the 1790s, I examine the extent to which she does (or do</w:t>
      </w:r>
      <w:r>
        <w:rPr>
          <w:rFonts w:ascii="Georgia" w:hAnsi="Georgia" w:cs="Helvetica"/>
          <w:sz w:val="22"/>
          <w:szCs w:val="24"/>
        </w:rPr>
        <w:t>es not) rise to attention within my corpora of that decade. I explore both print runs and reviews as important supplementary forms of information, and prototype and test computational methods to integrate these kinds of information with more accessible met</w:t>
      </w:r>
      <w:r>
        <w:rPr>
          <w:rFonts w:ascii="Georgia" w:hAnsi="Georgia" w:cs="Helvetica"/>
          <w:sz w:val="22"/>
          <w:szCs w:val="24"/>
        </w:rPr>
        <w:t>adata. Print runs are of particular importance to interpreting Radcliffe’s career, since a large run of one edition can represent far more actual books produced than several small editions, and Radcliffe’s celebrity often meant large print runs. To compare</w:t>
      </w:r>
      <w:r>
        <w:rPr>
          <w:rFonts w:ascii="Georgia" w:hAnsi="Georgia" w:cs="Helvetica"/>
          <w:sz w:val="22"/>
          <w:szCs w:val="24"/>
        </w:rPr>
        <w:t xml:space="preserve"> her output to Smith’s and Robinson’s, I test and compare a few methods of calculating the total number of books printed for each author during the decade. To compare her reception to theirs, I hope to use a prototype version of Megan Peiser’s in-progress </w:t>
      </w:r>
      <w:r>
        <w:rPr>
          <w:rFonts w:ascii="Georgia" w:hAnsi="Georgia" w:cs="Helvetica"/>
          <w:sz w:val="22"/>
          <w:szCs w:val="24"/>
        </w:rPr>
        <w:t>Novels Reviewed Database. In both cases, my method will begin with manually researching the three authors’ major works, and then exploring scalable computational methods. The chapter closes, again, with a reflection on Radcliffe as an author.</w:t>
      </w:r>
    </w:p>
    <w:p w14:paraId="1BB3BEC6" w14:textId="77777777" w:rsidR="002F0BEE" w:rsidRDefault="002F0BEE">
      <w:pPr>
        <w:tabs>
          <w:tab w:val="left" w:pos="360"/>
          <w:tab w:val="left" w:pos="720"/>
          <w:tab w:val="left" w:pos="1080"/>
          <w:tab w:val="left" w:pos="1440"/>
          <w:tab w:val="left" w:pos="1800"/>
          <w:tab w:val="left" w:pos="2160"/>
          <w:tab w:val="left" w:pos="2880"/>
          <w:tab w:val="left" w:pos="3600"/>
          <w:tab w:val="left" w:pos="4320"/>
          <w:tab w:val="left" w:pos="4680"/>
        </w:tabs>
        <w:spacing w:line="312" w:lineRule="auto"/>
        <w:ind w:firstLine="360"/>
        <w:rPr>
          <w:rFonts w:ascii="Georgia" w:hAnsi="Georgia" w:cs="Helvetica"/>
          <w:sz w:val="22"/>
          <w:szCs w:val="24"/>
        </w:rPr>
      </w:pPr>
    </w:p>
    <w:p w14:paraId="59AA65DB"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r>
        <w:rPr>
          <w:rFonts w:ascii="Georgia" w:hAnsi="Georgia" w:cs="Helvetica"/>
          <w:b/>
          <w:kern w:val="1"/>
          <w:sz w:val="26"/>
          <w:szCs w:val="24"/>
        </w:rPr>
        <w:t xml:space="preserve">4.4.  </w:t>
      </w:r>
      <w:bookmarkStart w:id="63" w:name="Hannah_More"/>
      <w:r>
        <w:rPr>
          <w:rFonts w:ascii="Georgia" w:hAnsi="Georgia" w:cs="Helvetica"/>
          <w:b/>
          <w:kern w:val="1"/>
          <w:sz w:val="26"/>
          <w:szCs w:val="24"/>
        </w:rPr>
        <w:t>Hannah</w:t>
      </w:r>
      <w:r>
        <w:rPr>
          <w:rFonts w:ascii="Georgia" w:hAnsi="Georgia" w:cs="Helvetica"/>
          <w:b/>
          <w:kern w:val="1"/>
          <w:sz w:val="26"/>
          <w:szCs w:val="24"/>
        </w:rPr>
        <w:t xml:space="preserve"> More</w:t>
      </w:r>
      <w:bookmarkEnd w:id="63"/>
    </w:p>
    <w:p w14:paraId="791257AD"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Georgia" w:hAnsi="Georgia" w:cs="Helvetica"/>
          <w:b/>
          <w:kern w:val="1"/>
          <w:sz w:val="26"/>
          <w:szCs w:val="24"/>
        </w:rPr>
      </w:pPr>
    </w:p>
    <w:p w14:paraId="4FBA6EE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64" w:name="writing-3"/>
      <w:r>
        <w:rPr>
          <w:rFonts w:ascii="TimesNewRomanPSMT" w:hAnsi="TimesNewRomanPSMT" w:cs="Helvetica"/>
          <w:kern w:val="1"/>
          <w:sz w:val="24"/>
          <w:szCs w:val="24"/>
        </w:rPr>
        <w:t>Finally</w:t>
      </w:r>
      <w:bookmarkEnd w:id="64"/>
      <w:r>
        <w:rPr>
          <w:rFonts w:ascii="TimesNewRomanPSMT" w:hAnsi="TimesNewRomanPSMT" w:cs="Helvetica"/>
          <w:kern w:val="1"/>
          <w:sz w:val="24"/>
          <w:szCs w:val="24"/>
        </w:rPr>
        <w:t xml:space="preserve">, chapter 5 of this dissertation examines the works of Hannah More across several digital corpora. Hannah More is selected as a particularly difficult writer to grapple with, both bibliographically and in terms of critical reception. </w:t>
      </w:r>
    </w:p>
    <w:p w14:paraId="3E3C57E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C05DCB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Hannah</w:t>
      </w:r>
      <w:r>
        <w:rPr>
          <w:rFonts w:ascii="TimesNewRomanPSMT" w:hAnsi="TimesNewRomanPSMT" w:cs="Helvetica"/>
          <w:kern w:val="1"/>
          <w:sz w:val="24"/>
          <w:szCs w:val="24"/>
        </w:rPr>
        <w:t xml:space="preserve"> More’s first book published was the pastoral drama </w:t>
      </w:r>
      <w:r>
        <w:rPr>
          <w:rFonts w:ascii="TimesNewRomanPSMT" w:hAnsi="TimesNewRomanPSMT" w:cs="Helvetica"/>
          <w:i/>
          <w:kern w:val="1"/>
          <w:sz w:val="24"/>
          <w:szCs w:val="24"/>
        </w:rPr>
        <w:t>A Search after Happiness</w:t>
      </w:r>
      <w:r>
        <w:rPr>
          <w:rFonts w:ascii="TimesNewRomanPSMT" w:hAnsi="TimesNewRomanPSMT" w:cs="Helvetica"/>
          <w:kern w:val="1"/>
          <w:sz w:val="24"/>
          <w:szCs w:val="24"/>
        </w:rPr>
        <w:t xml:space="preserve">, </w:t>
      </w:r>
      <w:r>
        <w:rPr>
          <w:rFonts w:ascii="TimesNewRomanPSMT" w:hAnsi="TimesNewRomanPSMT" w:cs="Helvetica"/>
          <w:kern w:val="1"/>
          <w:sz w:val="24"/>
          <w:szCs w:val="24"/>
        </w:rPr>
        <w:lastRenderedPageBreak/>
        <w:t xml:space="preserve">published in 1773. Her early writing is focused on the theatre. In 1774 she published her play </w:t>
      </w:r>
      <w:r>
        <w:rPr>
          <w:rFonts w:ascii="TimesNewRomanPSMT" w:hAnsi="TimesNewRomanPSMT" w:cs="Helvetica"/>
          <w:i/>
          <w:kern w:val="1"/>
          <w:sz w:val="24"/>
          <w:szCs w:val="24"/>
        </w:rPr>
        <w:t xml:space="preserve">The Inflexible Captive, </w:t>
      </w:r>
      <w:r>
        <w:rPr>
          <w:rFonts w:ascii="TimesNewRomanPSMT" w:hAnsi="TimesNewRomanPSMT" w:cs="Helvetica"/>
          <w:kern w:val="1"/>
          <w:sz w:val="24"/>
          <w:szCs w:val="24"/>
        </w:rPr>
        <w:t>which was produced in 1775 at the Theatre Royal in Bath. In</w:t>
      </w:r>
      <w:r>
        <w:rPr>
          <w:rFonts w:ascii="TimesNewRomanPSMT" w:hAnsi="TimesNewRomanPSMT" w:cs="Helvetica"/>
          <w:kern w:val="1"/>
          <w:sz w:val="24"/>
          <w:szCs w:val="24"/>
        </w:rPr>
        <w:t xml:space="preserve"> 1776, she published </w:t>
      </w:r>
      <w:r>
        <w:rPr>
          <w:rFonts w:ascii="TimesNewRomanPSMT" w:hAnsi="TimesNewRomanPSMT" w:cs="Helvetica"/>
          <w:i/>
          <w:kern w:val="1"/>
          <w:sz w:val="24"/>
          <w:szCs w:val="24"/>
        </w:rPr>
        <w:t>Sir Eldred of the Bower and the Bleeding Rock</w:t>
      </w:r>
      <w:r>
        <w:rPr>
          <w:rFonts w:ascii="TimesNewRomanPSMT" w:hAnsi="TimesNewRomanPSMT" w:cs="Helvetica"/>
          <w:kern w:val="1"/>
          <w:sz w:val="24"/>
          <w:szCs w:val="24"/>
        </w:rPr>
        <w:t xml:space="preserve">. In 1777, she published her first conduct-book, </w:t>
      </w:r>
      <w:r>
        <w:rPr>
          <w:rFonts w:ascii="TimesNewRomanPSMT" w:hAnsi="TimesNewRomanPSMT" w:cs="Helvetica"/>
          <w:i/>
          <w:kern w:val="1"/>
          <w:sz w:val="24"/>
          <w:szCs w:val="24"/>
        </w:rPr>
        <w:t>Essays on Various Subjects</w:t>
      </w:r>
      <w:r>
        <w:rPr>
          <w:rFonts w:ascii="TimesNewRomanPSMT" w:hAnsi="TimesNewRomanPSMT" w:cs="Helvetica"/>
          <w:kern w:val="1"/>
          <w:sz w:val="24"/>
          <w:szCs w:val="24"/>
        </w:rPr>
        <w:t xml:space="preserve">, dedicated to the bluestocking Elizabeth Montagu. Her play </w:t>
      </w:r>
      <w:r>
        <w:rPr>
          <w:rFonts w:ascii="TimesNewRomanPSMT" w:hAnsi="TimesNewRomanPSMT" w:cs="Helvetica"/>
          <w:i/>
          <w:kern w:val="1"/>
          <w:sz w:val="24"/>
          <w:szCs w:val="24"/>
        </w:rPr>
        <w:t>Percy, A Tragedy</w:t>
      </w:r>
      <w:r>
        <w:rPr>
          <w:rFonts w:ascii="TimesNewRomanPSMT" w:hAnsi="TimesNewRomanPSMT" w:cs="Helvetica"/>
          <w:kern w:val="1"/>
          <w:sz w:val="24"/>
          <w:szCs w:val="24"/>
        </w:rPr>
        <w:t xml:space="preserve"> was also produced at Covent Garden in </w:t>
      </w:r>
      <w:r>
        <w:rPr>
          <w:rFonts w:ascii="TimesNewRomanPSMT" w:hAnsi="TimesNewRomanPSMT" w:cs="Helvetica"/>
          <w:kern w:val="1"/>
          <w:sz w:val="24"/>
          <w:szCs w:val="24"/>
        </w:rPr>
        <w:t xml:space="preserve">1777, running through 1778. In 1779, her third play, </w:t>
      </w:r>
      <w:r>
        <w:rPr>
          <w:rFonts w:ascii="TimesNewRomanPSMT" w:hAnsi="TimesNewRomanPSMT" w:cs="Helvetica"/>
          <w:i/>
          <w:kern w:val="1"/>
          <w:sz w:val="24"/>
          <w:szCs w:val="24"/>
        </w:rPr>
        <w:t>The Fatal Falsehood</w:t>
      </w:r>
      <w:r>
        <w:rPr>
          <w:rFonts w:ascii="TimesNewRomanPSMT" w:hAnsi="TimesNewRomanPSMT" w:cs="Helvetica"/>
          <w:kern w:val="1"/>
          <w:sz w:val="24"/>
          <w:szCs w:val="24"/>
        </w:rPr>
        <w:t xml:space="preserve">, was performed but was considered a failure, after which More stopped writing for the stage. From this point, she primarily wrote various forms of didactic and religious prose, with the occasional didactic and religious poem. In 1782, she published </w:t>
      </w:r>
      <w:r>
        <w:rPr>
          <w:rFonts w:ascii="TimesNewRomanPSMT" w:hAnsi="TimesNewRomanPSMT" w:cs="Helvetica"/>
          <w:i/>
          <w:kern w:val="1"/>
          <w:sz w:val="24"/>
          <w:szCs w:val="24"/>
        </w:rPr>
        <w:t>Sacred</w:t>
      </w:r>
      <w:r>
        <w:rPr>
          <w:rFonts w:ascii="TimesNewRomanPSMT" w:hAnsi="TimesNewRomanPSMT" w:cs="Helvetica"/>
          <w:i/>
          <w:kern w:val="1"/>
          <w:sz w:val="24"/>
          <w:szCs w:val="24"/>
        </w:rPr>
        <w:t xml:space="preserve"> Dramas</w:t>
      </w:r>
      <w:r>
        <w:rPr>
          <w:rFonts w:ascii="TimesNewRomanPSMT" w:hAnsi="TimesNewRomanPSMT" w:cs="Helvetica"/>
          <w:kern w:val="1"/>
          <w:sz w:val="24"/>
          <w:szCs w:val="24"/>
        </w:rPr>
        <w:t xml:space="preserve"> and </w:t>
      </w:r>
      <w:r>
        <w:rPr>
          <w:rFonts w:ascii="TimesNewRomanPSMT" w:hAnsi="TimesNewRomanPSMT" w:cs="Helvetica"/>
          <w:i/>
          <w:kern w:val="1"/>
          <w:sz w:val="24"/>
          <w:szCs w:val="24"/>
        </w:rPr>
        <w:t>Sensibility: A Poem</w:t>
      </w:r>
      <w:r>
        <w:rPr>
          <w:rFonts w:ascii="TimesNewRomanPSMT" w:hAnsi="TimesNewRomanPSMT" w:cs="Helvetica"/>
          <w:kern w:val="1"/>
          <w:sz w:val="24"/>
          <w:szCs w:val="24"/>
        </w:rPr>
        <w:t xml:space="preserve">, her first foray into poetry. In 1783, she wrote </w:t>
      </w:r>
      <w:r>
        <w:rPr>
          <w:rFonts w:ascii="TimesNewRomanPSMT" w:hAnsi="TimesNewRomanPSMT" w:cs="Helvetica"/>
          <w:i/>
          <w:kern w:val="1"/>
          <w:sz w:val="24"/>
          <w:szCs w:val="24"/>
        </w:rPr>
        <w:t>The Bas Bleu</w:t>
      </w:r>
      <w:r>
        <w:rPr>
          <w:rFonts w:ascii="TimesNewRomanPSMT" w:hAnsi="TimesNewRomanPSMT" w:cs="Helvetica"/>
          <w:kern w:val="1"/>
          <w:sz w:val="24"/>
          <w:szCs w:val="24"/>
        </w:rPr>
        <w:t xml:space="preserve">, which circulated in manuscript but did not see print until 1786. In 1786 she published </w:t>
      </w:r>
      <w:r>
        <w:rPr>
          <w:rFonts w:ascii="TimesNewRomanPSMT" w:hAnsi="TimesNewRomanPSMT" w:cs="Helvetica"/>
          <w:i/>
          <w:kern w:val="1"/>
          <w:sz w:val="24"/>
          <w:szCs w:val="24"/>
        </w:rPr>
        <w:t>Florio</w:t>
      </w:r>
      <w:r>
        <w:rPr>
          <w:rFonts w:ascii="TimesNewRomanPSMT" w:hAnsi="TimesNewRomanPSMT" w:cs="Helvetica"/>
          <w:kern w:val="1"/>
          <w:sz w:val="24"/>
          <w:szCs w:val="24"/>
        </w:rPr>
        <w:t xml:space="preserve">, a poem in praise of rural life, and </w:t>
      </w:r>
      <w:r>
        <w:rPr>
          <w:rFonts w:ascii="TimesNewRomanPSMT" w:hAnsi="TimesNewRomanPSMT" w:cs="Helvetica"/>
          <w:i/>
          <w:kern w:val="1"/>
          <w:sz w:val="24"/>
          <w:szCs w:val="24"/>
        </w:rPr>
        <w:t>The Bas Bleu</w:t>
      </w:r>
      <w:r>
        <w:rPr>
          <w:rFonts w:ascii="TimesNewRomanPSMT" w:hAnsi="TimesNewRomanPSMT" w:cs="Helvetica"/>
          <w:kern w:val="1"/>
          <w:sz w:val="24"/>
          <w:szCs w:val="24"/>
        </w:rPr>
        <w:t>. In 1788 she publ</w:t>
      </w:r>
      <w:r>
        <w:rPr>
          <w:rFonts w:ascii="TimesNewRomanPSMT" w:hAnsi="TimesNewRomanPSMT" w:cs="Helvetica"/>
          <w:kern w:val="1"/>
          <w:sz w:val="24"/>
          <w:szCs w:val="24"/>
        </w:rPr>
        <w:t xml:space="preserve">ished </w:t>
      </w:r>
      <w:r>
        <w:rPr>
          <w:rFonts w:ascii="TimesNewRomanPSMT" w:hAnsi="TimesNewRomanPSMT" w:cs="Helvetica"/>
          <w:i/>
          <w:kern w:val="1"/>
          <w:sz w:val="24"/>
          <w:szCs w:val="24"/>
        </w:rPr>
        <w:t>Thoughts on the Importance of the Manners of the Great to General Society</w:t>
      </w:r>
      <w:r>
        <w:rPr>
          <w:rFonts w:ascii="TimesNewRomanPSMT" w:hAnsi="TimesNewRomanPSMT" w:cs="Helvetica"/>
          <w:kern w:val="1"/>
          <w:sz w:val="24"/>
          <w:szCs w:val="24"/>
        </w:rPr>
        <w:t xml:space="preserve">, as well as </w:t>
      </w:r>
      <w:r>
        <w:rPr>
          <w:rFonts w:ascii="TimesNewRomanPSMT" w:hAnsi="TimesNewRomanPSMT" w:cs="Helvetica"/>
          <w:i/>
          <w:kern w:val="1"/>
          <w:sz w:val="24"/>
          <w:szCs w:val="24"/>
        </w:rPr>
        <w:t>Slavery: A Poem</w:t>
      </w:r>
      <w:r>
        <w:rPr>
          <w:rFonts w:ascii="TimesNewRomanPSMT" w:hAnsi="TimesNewRomanPSMT" w:cs="Helvetica"/>
          <w:kern w:val="1"/>
          <w:sz w:val="24"/>
          <w:szCs w:val="24"/>
        </w:rPr>
        <w:t xml:space="preserve">. More’s first publication in this dissertation’s decade of interest is her 1789 poem, </w:t>
      </w:r>
      <w:r>
        <w:rPr>
          <w:rFonts w:ascii="TimesNewRomanPSMT" w:hAnsi="TimesNewRomanPSMT" w:cs="Helvetica"/>
          <w:i/>
          <w:kern w:val="1"/>
          <w:sz w:val="24"/>
          <w:szCs w:val="24"/>
        </w:rPr>
        <w:t>Bishop Bonner’s Ghost</w:t>
      </w:r>
      <w:r>
        <w:rPr>
          <w:rFonts w:ascii="TimesNewRomanPSMT" w:hAnsi="TimesNewRomanPSMT" w:cs="Helvetica"/>
          <w:kern w:val="1"/>
          <w:sz w:val="24"/>
          <w:szCs w:val="24"/>
        </w:rPr>
        <w:t xml:space="preserve">. In 1790, she published </w:t>
      </w:r>
      <w:r>
        <w:rPr>
          <w:rFonts w:ascii="TimesNewRomanPSMT" w:hAnsi="TimesNewRomanPSMT" w:cs="Helvetica"/>
          <w:i/>
          <w:kern w:val="1"/>
          <w:sz w:val="24"/>
          <w:szCs w:val="24"/>
        </w:rPr>
        <w:t>An Estimate of t</w:t>
      </w:r>
      <w:r>
        <w:rPr>
          <w:rFonts w:ascii="TimesNewRomanPSMT" w:hAnsi="TimesNewRomanPSMT" w:cs="Helvetica"/>
          <w:i/>
          <w:kern w:val="1"/>
          <w:sz w:val="24"/>
          <w:szCs w:val="24"/>
        </w:rPr>
        <w:t>he Religion of the Fashionable Works</w:t>
      </w:r>
      <w:r>
        <w:rPr>
          <w:rFonts w:ascii="TimesNewRomanPSMT" w:hAnsi="TimesNewRomanPSMT" w:cs="Helvetica"/>
          <w:kern w:val="1"/>
          <w:sz w:val="24"/>
          <w:szCs w:val="24"/>
        </w:rPr>
        <w:t xml:space="preserve">. In 1793, she published “Village Politics,” a counter-revolutionary tract for the poor which came to embody the reaction against Thomas Paine. In 1793, she published </w:t>
      </w:r>
      <w:r>
        <w:rPr>
          <w:rFonts w:ascii="TimesNewRomanPSMT" w:hAnsi="TimesNewRomanPSMT" w:cs="Helvetica"/>
          <w:i/>
          <w:kern w:val="1"/>
          <w:sz w:val="24"/>
          <w:szCs w:val="24"/>
        </w:rPr>
        <w:t>Remarks on the Speech of M. Dupont</w:t>
      </w:r>
      <w:r>
        <w:rPr>
          <w:rFonts w:ascii="TimesNewRomanPSMT" w:hAnsi="TimesNewRomanPSMT" w:cs="Helvetica"/>
          <w:kern w:val="1"/>
          <w:sz w:val="24"/>
          <w:szCs w:val="24"/>
        </w:rPr>
        <w:t xml:space="preserve"> in aid of French e</w:t>
      </w:r>
      <w:r>
        <w:rPr>
          <w:rFonts w:ascii="TimesNewRomanPSMT" w:hAnsi="TimesNewRomanPSMT" w:cs="Helvetica"/>
          <w:kern w:val="1"/>
          <w:sz w:val="24"/>
          <w:szCs w:val="24"/>
        </w:rPr>
        <w:t xml:space="preserve">migrant clergy. In 1795 she began the massive undertaking of editing, and largely writing, </w:t>
      </w:r>
      <w:r>
        <w:rPr>
          <w:rFonts w:ascii="TimesNewRomanPSMT" w:hAnsi="TimesNewRomanPSMT" w:cs="Helvetica"/>
          <w:i/>
          <w:kern w:val="1"/>
          <w:sz w:val="24"/>
          <w:szCs w:val="24"/>
        </w:rPr>
        <w:t>The Cheap Repository Tracts</w:t>
      </w:r>
      <w:r>
        <w:rPr>
          <w:rFonts w:ascii="TimesNewRomanPSMT" w:hAnsi="TimesNewRomanPSMT" w:cs="Helvetica"/>
          <w:kern w:val="1"/>
          <w:sz w:val="24"/>
          <w:szCs w:val="24"/>
        </w:rPr>
        <w:t>, the writing for which she is now most known. These tracts were distributed as inexpensive chapbooks from 1795 to 1797. In 1798, she repr</w:t>
      </w:r>
      <w:r>
        <w:rPr>
          <w:rFonts w:ascii="TimesNewRomanPSMT" w:hAnsi="TimesNewRomanPSMT" w:cs="Helvetica"/>
          <w:kern w:val="1"/>
          <w:sz w:val="24"/>
          <w:szCs w:val="24"/>
        </w:rPr>
        <w:t xml:space="preserve">inted many of these tracts in volume form. In 1799 she published, under her own name, </w:t>
      </w:r>
      <w:r>
        <w:rPr>
          <w:rFonts w:ascii="TimesNewRomanPSMT" w:hAnsi="TimesNewRomanPSMT" w:cs="Helvetica"/>
          <w:i/>
          <w:kern w:val="1"/>
          <w:sz w:val="24"/>
          <w:szCs w:val="24"/>
        </w:rPr>
        <w:t>Strictures on the Modern System of Female Education,</w:t>
      </w:r>
      <w:r>
        <w:rPr>
          <w:rFonts w:ascii="TimesNewRomanPSMT" w:hAnsi="TimesNewRomanPSMT" w:cs="Helvetica"/>
          <w:kern w:val="1"/>
          <w:sz w:val="24"/>
          <w:szCs w:val="24"/>
        </w:rPr>
        <w:t xml:space="preserve"> and another volume of Cheap Repository tracts. Unlike Charlotte Smith and Mary Robinson, More had a long career after</w:t>
      </w:r>
      <w:r>
        <w:rPr>
          <w:rFonts w:ascii="TimesNewRomanPSMT" w:hAnsi="TimesNewRomanPSMT" w:cs="Helvetica"/>
          <w:kern w:val="1"/>
          <w:sz w:val="24"/>
          <w:szCs w:val="24"/>
        </w:rPr>
        <w:t xml:space="preserve"> this dissertation’s decade of interest, nearly all in the form of didactic prose. A third volume </w:t>
      </w:r>
      <w:r>
        <w:rPr>
          <w:rFonts w:ascii="TimesNewRomanPSMT" w:hAnsi="TimesNewRomanPSMT" w:cs="Helvetica"/>
          <w:kern w:val="1"/>
          <w:sz w:val="24"/>
          <w:szCs w:val="24"/>
        </w:rPr>
        <w:lastRenderedPageBreak/>
        <w:t>of Cheap Repository tracts was published in 1800. In 1803, she published some patriotic ballads. 1804 saw “The White Slave Trade,” “an attack on the frivolity</w:t>
      </w:r>
      <w:r>
        <w:rPr>
          <w:rFonts w:ascii="TimesNewRomanPSMT" w:hAnsi="TimesNewRomanPSMT" w:cs="Helvetica"/>
          <w:kern w:val="1"/>
          <w:sz w:val="24"/>
          <w:szCs w:val="24"/>
        </w:rPr>
        <w:t xml:space="preserve"> of the fashionable world” (Stott). In 1805, she published, anonymously, </w:t>
      </w:r>
      <w:r>
        <w:rPr>
          <w:rFonts w:ascii="TimesNewRomanPSMT" w:hAnsi="TimesNewRomanPSMT" w:cs="Helvetica"/>
          <w:i/>
          <w:kern w:val="1"/>
          <w:sz w:val="24"/>
          <w:szCs w:val="24"/>
        </w:rPr>
        <w:t>Hints toward forming the Character of a Young Princess</w:t>
      </w:r>
      <w:r>
        <w:rPr>
          <w:rFonts w:ascii="TimesNewRomanPSMT" w:hAnsi="TimesNewRomanPSMT" w:cs="Helvetica"/>
          <w:kern w:val="1"/>
          <w:sz w:val="24"/>
          <w:szCs w:val="24"/>
        </w:rPr>
        <w:t xml:space="preserve">. 1806 saw another edition of tracts in volume form. In 1808 she published her only novel, </w:t>
      </w:r>
      <w:r>
        <w:rPr>
          <w:rFonts w:ascii="TimesNewRomanPSMT" w:hAnsi="TimesNewRomanPSMT" w:cs="Helvetica"/>
          <w:i/>
          <w:kern w:val="1"/>
          <w:sz w:val="24"/>
          <w:szCs w:val="24"/>
        </w:rPr>
        <w:t>Coelebs in Search of a Wife</w:t>
      </w:r>
      <w:r>
        <w:rPr>
          <w:rFonts w:ascii="TimesNewRomanPSMT" w:hAnsi="TimesNewRomanPSMT" w:cs="Helvetica"/>
          <w:kern w:val="1"/>
          <w:sz w:val="24"/>
          <w:szCs w:val="24"/>
        </w:rPr>
        <w:t>. In 1811 s</w:t>
      </w:r>
      <w:r>
        <w:rPr>
          <w:rFonts w:ascii="TimesNewRomanPSMT" w:hAnsi="TimesNewRomanPSMT" w:cs="Helvetica"/>
          <w:kern w:val="1"/>
          <w:sz w:val="24"/>
          <w:szCs w:val="24"/>
        </w:rPr>
        <w:t xml:space="preserve">he published </w:t>
      </w:r>
      <w:r>
        <w:rPr>
          <w:rFonts w:ascii="TimesNewRomanPSMT" w:hAnsi="TimesNewRomanPSMT" w:cs="Helvetica"/>
          <w:i/>
          <w:kern w:val="1"/>
          <w:sz w:val="24"/>
          <w:szCs w:val="24"/>
        </w:rPr>
        <w:t>Practical Piety</w:t>
      </w:r>
      <w:r>
        <w:rPr>
          <w:rFonts w:ascii="TimesNewRomanPSMT" w:hAnsi="TimesNewRomanPSMT" w:cs="Helvetica"/>
          <w:kern w:val="1"/>
          <w:sz w:val="24"/>
          <w:szCs w:val="24"/>
        </w:rPr>
        <w:t xml:space="preserve">. In 1812 she published </w:t>
      </w:r>
      <w:r>
        <w:rPr>
          <w:rFonts w:ascii="TimesNewRomanPSMT" w:hAnsi="TimesNewRomanPSMT" w:cs="Helvetica"/>
          <w:i/>
          <w:kern w:val="1"/>
          <w:sz w:val="24"/>
          <w:szCs w:val="24"/>
        </w:rPr>
        <w:t>Christian Morals</w:t>
      </w:r>
      <w:r>
        <w:rPr>
          <w:rFonts w:ascii="TimesNewRomanPSMT" w:hAnsi="TimesNewRomanPSMT" w:cs="Helvetica"/>
          <w:kern w:val="1"/>
          <w:sz w:val="24"/>
          <w:szCs w:val="24"/>
        </w:rPr>
        <w:t xml:space="preserve">. In 1815 she published </w:t>
      </w:r>
      <w:r>
        <w:rPr>
          <w:rFonts w:ascii="TimesNewRomanPSMT" w:hAnsi="TimesNewRomanPSMT" w:cs="Helvetica"/>
          <w:i/>
          <w:kern w:val="1"/>
          <w:sz w:val="24"/>
          <w:szCs w:val="24"/>
        </w:rPr>
        <w:t>Essay on the Character and Writings of St. Paul</w:t>
      </w:r>
      <w:r>
        <w:rPr>
          <w:rFonts w:ascii="TimesNewRomanPSMT" w:hAnsi="TimesNewRomanPSMT" w:cs="Helvetica"/>
          <w:kern w:val="1"/>
          <w:sz w:val="24"/>
          <w:szCs w:val="24"/>
        </w:rPr>
        <w:t xml:space="preserve">. In 1817, in response to civil unrest, she began republishing the </w:t>
      </w:r>
      <w:r>
        <w:rPr>
          <w:rFonts w:ascii="TimesNewRomanPSMT" w:hAnsi="TimesNewRomanPSMT" w:cs="Helvetica"/>
          <w:i/>
          <w:kern w:val="1"/>
          <w:sz w:val="24"/>
          <w:szCs w:val="24"/>
        </w:rPr>
        <w:t xml:space="preserve">Cheap Repository Tracts </w:t>
      </w:r>
      <w:r>
        <w:rPr>
          <w:rFonts w:ascii="TimesNewRomanPSMT" w:hAnsi="TimesNewRomanPSMT" w:cs="Helvetica"/>
          <w:kern w:val="1"/>
          <w:sz w:val="24"/>
          <w:szCs w:val="24"/>
        </w:rPr>
        <w:t xml:space="preserve">as </w:t>
      </w:r>
      <w:r>
        <w:rPr>
          <w:rFonts w:ascii="TimesNewRomanPSMT" w:hAnsi="TimesNewRomanPSMT" w:cs="Helvetica"/>
          <w:i/>
          <w:kern w:val="1"/>
          <w:sz w:val="24"/>
          <w:szCs w:val="24"/>
        </w:rPr>
        <w:t>Cheap Repository Tracts</w:t>
      </w:r>
      <w:r>
        <w:rPr>
          <w:rFonts w:ascii="TimesNewRomanPSMT" w:hAnsi="TimesNewRomanPSMT" w:cs="Helvetica"/>
          <w:i/>
          <w:kern w:val="1"/>
          <w:sz w:val="24"/>
          <w:szCs w:val="24"/>
        </w:rPr>
        <w:t xml:space="preserve"> Suited to the Present Times</w:t>
      </w:r>
      <w:r>
        <w:rPr>
          <w:rFonts w:ascii="TimesNewRomanPSMT" w:hAnsi="TimesNewRomanPSMT" w:cs="Helvetica"/>
          <w:kern w:val="1"/>
          <w:sz w:val="24"/>
          <w:szCs w:val="24"/>
        </w:rPr>
        <w:t xml:space="preserve">. She reprinted and distributed these from 1817 to 1819, and wrote some new ones. In 1819, she published </w:t>
      </w:r>
      <w:r>
        <w:rPr>
          <w:rFonts w:ascii="TimesNewRomanPSMT" w:hAnsi="TimesNewRomanPSMT" w:cs="Helvetica"/>
          <w:i/>
          <w:kern w:val="1"/>
          <w:sz w:val="24"/>
          <w:szCs w:val="24"/>
        </w:rPr>
        <w:t>Moral Sketches</w:t>
      </w:r>
      <w:r>
        <w:rPr>
          <w:rFonts w:ascii="TimesNewRomanPSMT" w:hAnsi="TimesNewRomanPSMT" w:cs="Helvetica"/>
          <w:kern w:val="1"/>
          <w:sz w:val="24"/>
          <w:szCs w:val="24"/>
        </w:rPr>
        <w:t xml:space="preserve"> and an abolitionist poem. In 1821, she published </w:t>
      </w:r>
      <w:r>
        <w:rPr>
          <w:rFonts w:ascii="TimesNewRomanPSMT" w:hAnsi="TimesNewRomanPSMT" w:cs="Helvetica"/>
          <w:i/>
          <w:kern w:val="1"/>
          <w:sz w:val="24"/>
          <w:szCs w:val="24"/>
        </w:rPr>
        <w:t>Bible Rhymes</w:t>
      </w:r>
      <w:r>
        <w:rPr>
          <w:rFonts w:ascii="TimesNewRomanPSMT" w:hAnsi="TimesNewRomanPSMT" w:cs="Helvetica"/>
          <w:kern w:val="1"/>
          <w:sz w:val="24"/>
          <w:szCs w:val="24"/>
        </w:rPr>
        <w:t xml:space="preserve">. In 1825, she published </w:t>
      </w:r>
      <w:r>
        <w:rPr>
          <w:rFonts w:ascii="TimesNewRomanPSMT" w:hAnsi="TimesNewRomanPSMT" w:cs="Helvetica"/>
          <w:i/>
          <w:kern w:val="1"/>
          <w:sz w:val="24"/>
          <w:szCs w:val="24"/>
        </w:rPr>
        <w:t>The Spirit of Prayer</w:t>
      </w:r>
      <w:r>
        <w:rPr>
          <w:rFonts w:ascii="TimesNewRomanPSMT" w:hAnsi="TimesNewRomanPSMT" w:cs="Helvetica"/>
          <w:kern w:val="1"/>
          <w:sz w:val="24"/>
          <w:szCs w:val="24"/>
        </w:rPr>
        <w:t xml:space="preserve">, </w:t>
      </w:r>
      <w:r>
        <w:rPr>
          <w:rFonts w:ascii="TimesNewRomanPSMT" w:hAnsi="TimesNewRomanPSMT" w:cs="Helvetica"/>
          <w:kern w:val="1"/>
          <w:sz w:val="24"/>
          <w:szCs w:val="24"/>
        </w:rPr>
        <w:t>her last new publication, written at age 80 after more than 50 years of writing. A fifth volume of Cheap Repository tracts appeared in 1827. More died in 1833, age 88.</w:t>
      </w:r>
    </w:p>
    <w:p w14:paraId="77F0319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4AC408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65" w:name="life-3"/>
      <w:r>
        <w:rPr>
          <w:rFonts w:ascii="TimesNewRomanPSMT" w:hAnsi="TimesNewRomanPSMT" w:cs="Helvetica"/>
          <w:kern w:val="1"/>
          <w:sz w:val="24"/>
          <w:szCs w:val="24"/>
        </w:rPr>
        <w:t>More’s</w:t>
      </w:r>
      <w:bookmarkEnd w:id="65"/>
      <w:r>
        <w:rPr>
          <w:rFonts w:ascii="TimesNewRomanPSMT" w:hAnsi="TimesNewRomanPSMT" w:cs="Helvetica"/>
          <w:kern w:val="1"/>
          <w:sz w:val="24"/>
          <w:szCs w:val="24"/>
        </w:rPr>
        <w:t xml:space="preserve"> biography differs strongly from Smith’s and Robinson’s in that she never married</w:t>
      </w:r>
      <w:r>
        <w:rPr>
          <w:rFonts w:ascii="TimesNewRomanPSMT" w:hAnsi="TimesNewRomanPSMT" w:cs="Helvetica"/>
          <w:kern w:val="1"/>
          <w:sz w:val="24"/>
          <w:szCs w:val="24"/>
        </w:rPr>
        <w:t xml:space="preserve">. Instead, much of More’s personal life centred around educational ventures. In 1758, when More was thirteen, her eldest sister Mary More opened a girls’ boarding school, which Hannah More would soon assist in running. In 1762, this school moved to larger </w:t>
      </w:r>
      <w:r>
        <w:rPr>
          <w:rFonts w:ascii="TimesNewRomanPSMT" w:hAnsi="TimesNewRomanPSMT" w:cs="Helvetica"/>
          <w:kern w:val="1"/>
          <w:sz w:val="24"/>
          <w:szCs w:val="24"/>
        </w:rPr>
        <w:t>premises. In 1767, More accepted a proposal of marriage from William Turner, though this did not end in marriage: “After a rather humiliating six-year courtship (during which the pending marriage was postponed three times by the gentleman), a settlement wa</w:t>
      </w:r>
      <w:r>
        <w:rPr>
          <w:rFonts w:ascii="TimesNewRomanPSMT" w:hAnsi="TimesNewRomanPSMT" w:cs="Helvetica"/>
          <w:kern w:val="1"/>
          <w:sz w:val="24"/>
          <w:szCs w:val="24"/>
        </w:rPr>
        <w:t>s reached on behalf of More by her family, resulting in an annuity that granted her enough financial independence to embark on a literary career” (Prior). When the engagement was finally broken in 1773, More made her first visit to London, and her life’s f</w:t>
      </w:r>
      <w:r>
        <w:rPr>
          <w:rFonts w:ascii="TimesNewRomanPSMT" w:hAnsi="TimesNewRomanPSMT" w:cs="Helvetica"/>
          <w:kern w:val="1"/>
          <w:sz w:val="24"/>
          <w:szCs w:val="24"/>
        </w:rPr>
        <w:t xml:space="preserve">ocus shifted from education to literature. She moved in literary circles, joined the </w:t>
      </w:r>
      <w:r>
        <w:rPr>
          <w:rFonts w:ascii="TimesNewRomanPSMT" w:hAnsi="TimesNewRomanPSMT" w:cs="Helvetica"/>
          <w:kern w:val="1"/>
          <w:sz w:val="24"/>
          <w:szCs w:val="24"/>
        </w:rPr>
        <w:lastRenderedPageBreak/>
        <w:t>Bluestockings, and particularly befriended the famous actor David Garrick. However, after Garrick’s death and the failure of her third play, both in 1779, More’s focus shi</w:t>
      </w:r>
      <w:r>
        <w:rPr>
          <w:rFonts w:ascii="TimesNewRomanPSMT" w:hAnsi="TimesNewRomanPSMT" w:cs="Helvetica"/>
          <w:kern w:val="1"/>
          <w:sz w:val="24"/>
          <w:szCs w:val="24"/>
        </w:rPr>
        <w:t>fted again, from London literary life to religious life. Her interest in the growing movement of Evangelicals ultimately brought her to the Clapham Sect, whose foremost cause was the abolition of the slave trade (Prior). She returned to Somerset, buying he</w:t>
      </w:r>
      <w:r>
        <w:rPr>
          <w:rFonts w:ascii="TimesNewRomanPSMT" w:hAnsi="TimesNewRomanPSMT" w:cs="Helvetica"/>
          <w:kern w:val="1"/>
          <w:sz w:val="24"/>
          <w:szCs w:val="24"/>
        </w:rPr>
        <w:t>r own house, Cowslip Green, in 1785, and religion brought her back to education. She and her sister Patty More founded the first of the Mendip Schools at Cheddar, Somerset in 1789. “With the encouragement and support of the Clapham Evangelicals … More unde</w:t>
      </w:r>
      <w:r>
        <w:rPr>
          <w:rFonts w:ascii="TimesNewRomanPSMT" w:hAnsi="TimesNewRomanPSMT" w:cs="Helvetica"/>
          <w:kern w:val="1"/>
          <w:sz w:val="24"/>
          <w:szCs w:val="24"/>
        </w:rPr>
        <w:t>rtook opening and operating Sunday Schools … in order to teach the children of the laboring classes to read and write, to learn the catechism, and to lead moral lives informed by Christian teaching. Though the effort was clouded by political and theologica</w:t>
      </w:r>
      <w:r>
        <w:rPr>
          <w:rFonts w:ascii="TimesNewRomanPSMT" w:hAnsi="TimesNewRomanPSMT" w:cs="Helvetica"/>
          <w:kern w:val="1"/>
          <w:sz w:val="24"/>
          <w:szCs w:val="24"/>
        </w:rPr>
        <w:t>l controversy from various sides, More eventually opened sixteen schools that taught hundreds of students.” (Prior). In 1790, the More sisters hand over the Park Street school to Selina Mills. In 1792, she founds women’s benefit clubs at Cheddar and Shipha</w:t>
      </w:r>
      <w:r>
        <w:rPr>
          <w:rFonts w:ascii="TimesNewRomanPSMT" w:hAnsi="TimesNewRomanPSMT" w:cs="Helvetica"/>
          <w:kern w:val="1"/>
          <w:sz w:val="24"/>
          <w:szCs w:val="24"/>
        </w:rPr>
        <w:t>m. 1799 marks the beginning of the “Blagdon controversy”: “one of More's teachers is accused of Methodism; the accusation widens into a series of attacks on More for alleged religious and political subversion; as a result she suffers depression and nervous</w:t>
      </w:r>
      <w:r>
        <w:rPr>
          <w:rFonts w:ascii="TimesNewRomanPSMT" w:hAnsi="TimesNewRomanPSMT" w:cs="Helvetica"/>
          <w:kern w:val="1"/>
          <w:sz w:val="24"/>
          <w:szCs w:val="24"/>
        </w:rPr>
        <w:t xml:space="preserve"> collapse and for a while is unable to write,” until 1802 (Stott). In 1801, More retired— somewhat. She moved to a new home, Barley Wood, outside the village of Wrington, where she maintained a voluminous correspondence and continued to receive and advise </w:t>
      </w:r>
      <w:r>
        <w:rPr>
          <w:rFonts w:ascii="TimesNewRomanPSMT" w:hAnsi="TimesNewRomanPSMT" w:cs="Helvetica"/>
          <w:kern w:val="1"/>
          <w:sz w:val="24"/>
          <w:szCs w:val="24"/>
        </w:rPr>
        <w:t>many visitors (Prior). In 1813 she founded an auxiliary Bible Society at Wrington. “She continued to support generously efforts at poverty-relief until her death. More died September 7, 1833, having survived all of her sisters and most of the members of he</w:t>
      </w:r>
      <w:r>
        <w:rPr>
          <w:rFonts w:ascii="TimesNewRomanPSMT" w:hAnsi="TimesNewRomanPSMT" w:cs="Helvetica"/>
          <w:kern w:val="1"/>
          <w:sz w:val="24"/>
          <w:szCs w:val="24"/>
        </w:rPr>
        <w:t>r London circle of friends” (Prior).</w:t>
      </w:r>
    </w:p>
    <w:p w14:paraId="6F347BD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B7FF08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66" w:name="scholarship-3"/>
      <w:r>
        <w:rPr>
          <w:rFonts w:ascii="TimesNewRomanPSMT" w:hAnsi="TimesNewRomanPSMT" w:cs="Helvetica"/>
          <w:kern w:val="1"/>
          <w:sz w:val="24"/>
          <w:szCs w:val="24"/>
        </w:rPr>
        <w:lastRenderedPageBreak/>
        <w:t>As</w:t>
      </w:r>
      <w:bookmarkEnd w:id="66"/>
      <w:r>
        <w:rPr>
          <w:rFonts w:ascii="TimesNewRomanPSMT" w:hAnsi="TimesNewRomanPSMT" w:cs="Helvetica"/>
          <w:kern w:val="1"/>
          <w:sz w:val="24"/>
          <w:szCs w:val="24"/>
        </w:rPr>
        <w:t xml:space="preserve"> with Robinson and Smith, More has presented scholars a challenge in the quantity and range of writing produced during her lifetime. “With a lifetime that spanned the Augustan age to the Victorian age, and a writing </w:t>
      </w:r>
      <w:r>
        <w:rPr>
          <w:rFonts w:ascii="TimesNewRomanPSMT" w:hAnsi="TimesNewRomanPSMT" w:cs="Helvetica"/>
          <w:kern w:val="1"/>
          <w:sz w:val="24"/>
          <w:szCs w:val="24"/>
        </w:rPr>
        <w:t xml:space="preserve">career nearly as long, Hannah More can be considered at once both the intellectual child of the Age of Johnson and, in spirit if not quite in chronology, the ‘first Victorian’.” (Prior) More’s “pre-Victorian” evangelical leanings, and especially the Cheap </w:t>
      </w:r>
      <w:r>
        <w:rPr>
          <w:rFonts w:ascii="TimesNewRomanPSMT" w:hAnsi="TimesNewRomanPSMT" w:cs="Helvetica"/>
          <w:kern w:val="1"/>
          <w:sz w:val="24"/>
          <w:szCs w:val="24"/>
        </w:rPr>
        <w:t>Repository Tracts, have typically attracted the most attention. The Cheap Repository Tracts are a bibliographic challenge: it can be difficult to confirm the author, publication date, or circulation of any given tract, and there are at least a hundred trac</w:t>
      </w:r>
      <w:r>
        <w:rPr>
          <w:rFonts w:ascii="TimesNewRomanPSMT" w:hAnsi="TimesNewRomanPSMT" w:cs="Helvetica"/>
          <w:kern w:val="1"/>
          <w:sz w:val="24"/>
          <w:szCs w:val="24"/>
        </w:rPr>
        <w:t>ts. Additionally, since the twentieth century More has presented an additional challenge in her subject matter: as Scheuermann observes, “[t]he problem with More is that while she is a most interesting figure, her ideas are largely repugnant to modern sens</w:t>
      </w:r>
      <w:r>
        <w:rPr>
          <w:rFonts w:ascii="TimesNewRomanPSMT" w:hAnsi="TimesNewRomanPSMT" w:cs="Helvetica"/>
          <w:kern w:val="1"/>
          <w:sz w:val="24"/>
          <w:szCs w:val="24"/>
        </w:rPr>
        <w:t>ibilities. Critics often deal with this inconvenience either by apologizing for their subject or by changing what she says so that she seems closer to us in spirit” (237).</w:t>
      </w:r>
    </w:p>
    <w:p w14:paraId="063B239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5D21D3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More’s literary afterlife began the year after her death, in 1834, with William Rob</w:t>
      </w:r>
      <w:r>
        <w:rPr>
          <w:rFonts w:ascii="TimesNewRomanPSMT" w:hAnsi="TimesNewRomanPSMT" w:cs="Helvetica"/>
          <w:kern w:val="1"/>
          <w:sz w:val="24"/>
          <w:szCs w:val="24"/>
        </w:rPr>
        <w:t xml:space="preserve">erts’ publication of a collection of her letters. Roberts’ editorial choices set the tone for More’s biographers by emphasizing her </w:t>
      </w:r>
      <w:commentRangeStart w:id="67"/>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"scrivcmt://16DB1AA4-F5F6-4E45-8842-956DD2BDD9FD"</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conservatism</w:t>
      </w:r>
      <w:r>
        <w:rPr>
          <w:rFonts w:ascii="TimesNewRomanPSMT" w:hAnsi="TimesNewRomanPSMT" w:cs="Helvetica"/>
          <w:kern w:val="1"/>
          <w:sz w:val="24"/>
          <w:szCs w:val="24"/>
        </w:rPr>
        <w:fldChar w:fldCharType="end"/>
      </w:r>
      <w:commentRangeEnd w:id="67"/>
      <w:r>
        <w:rPr>
          <w:rFonts w:ascii="TimesNewRomanPSMT" w:hAnsi="TimesNewRomanPSMT" w:cs="Helvetica"/>
          <w:kern w:val="1"/>
          <w:sz w:val="24"/>
          <w:szCs w:val="24"/>
        </w:rPr>
        <w:commentReference w:id="67"/>
      </w:r>
      <w:r>
        <w:rPr>
          <w:rFonts w:ascii="TimesNewRomanPSMT" w:hAnsi="TimesNewRomanPSMT" w:cs="Helvetica"/>
          <w:kern w:val="1"/>
          <w:sz w:val="24"/>
          <w:szCs w:val="24"/>
        </w:rPr>
        <w:t xml:space="preserve">. His omissions may have improved More’s </w:t>
      </w:r>
      <w:r>
        <w:rPr>
          <w:rFonts w:ascii="TimesNewRomanPSMT" w:hAnsi="TimesNewRomanPSMT" w:cs="Helvetica"/>
          <w:kern w:val="1"/>
          <w:sz w:val="24"/>
          <w:szCs w:val="24"/>
        </w:rPr>
        <w:t xml:space="preserve">standing in the nineteenth century, but by 1952 historian M. G. Jones already acknowledges “the unsympathetic portrait of her which has been handed down to posterity” (Jones 152) due to her approach to social reform. “Unable to refute these charges, Jones </w:t>
      </w:r>
      <w:r>
        <w:rPr>
          <w:rFonts w:ascii="TimesNewRomanPSMT" w:hAnsi="TimesNewRomanPSMT" w:cs="Helvetica"/>
          <w:kern w:val="1"/>
          <w:sz w:val="24"/>
          <w:szCs w:val="24"/>
        </w:rPr>
        <w:t>can offer only the partial excuse that More’s attitudes were typical of her time” (Nardin 268). Unlike Smith and Robinson, More’s reputation did not necessarily improve when she came to the attention of feminist scholars in the 1980s and 1990s, though work</w:t>
      </w:r>
      <w:r>
        <w:rPr>
          <w:rFonts w:ascii="TimesNewRomanPSMT" w:hAnsi="TimesNewRomanPSMT" w:cs="Helvetica"/>
          <w:kern w:val="1"/>
          <w:sz w:val="24"/>
          <w:szCs w:val="24"/>
        </w:rPr>
        <w:t xml:space="preserve"> on More did increase. When Pederson writes </w:t>
      </w:r>
      <w:r>
        <w:rPr>
          <w:rFonts w:ascii="TimesNewRomanPSMT" w:hAnsi="TimesNewRomanPSMT" w:cs="Helvetica"/>
          <w:kern w:val="1"/>
          <w:sz w:val="24"/>
          <w:szCs w:val="24"/>
        </w:rPr>
        <w:lastRenderedPageBreak/>
        <w:t>about More in 1986, the previous scholarship that she cites is all historical: More matters to historians of 1790s politics, and to historians of the evangelical movement (Pederson 85), but Pederson sees little p</w:t>
      </w:r>
      <w:r>
        <w:rPr>
          <w:rFonts w:ascii="TimesNewRomanPSMT" w:hAnsi="TimesNewRomanPSMT" w:cs="Helvetica"/>
          <w:kern w:val="1"/>
          <w:sz w:val="24"/>
          <w:szCs w:val="24"/>
        </w:rPr>
        <w:t>recedent for her own discussion of More’s writing as having literary, rather than historical, importance. Pederson argues that “only by examining the Cheap Repository within the context of popular literature can we understand the tracts for what they were:</w:t>
      </w:r>
      <w:r>
        <w:rPr>
          <w:rFonts w:ascii="TimesNewRomanPSMT" w:hAnsi="TimesNewRomanPSMT" w:cs="Helvetica"/>
          <w:kern w:val="1"/>
          <w:sz w:val="24"/>
          <w:szCs w:val="24"/>
        </w:rPr>
        <w:t xml:space="preserve"> a broad evangelical assault on late eighteenth-century popular culture” (88).</w:t>
      </w:r>
    </w:p>
    <w:p w14:paraId="08B6D4D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91109FC" w14:textId="77777777" w:rsidR="002F0BEE" w:rsidRDefault="00B67DD8">
      <w:pPr>
        <w:pStyle w:val="Paragraph"/>
        <w:rPr>
          <w:rFonts w:cs="Helvetica"/>
          <w:szCs w:val="24"/>
        </w:rPr>
      </w:pPr>
      <w:r>
        <w:rPr>
          <w:rFonts w:cs="Helvetica"/>
          <w:kern w:val="1"/>
          <w:szCs w:val="24"/>
        </w:rPr>
        <w:t>Pederson’s attention to More’s literary contexts is shared by other scholars of the 1980s, though only Mitzi Meyers, who in 1986 contextualizes More’s didacticism alongside chi</w:t>
      </w:r>
      <w:r>
        <w:rPr>
          <w:rFonts w:cs="Helvetica"/>
          <w:kern w:val="1"/>
          <w:szCs w:val="24"/>
        </w:rPr>
        <w:t>ldren’s literature more generally, seems to form a positive opinion of More. “Mitzi Myers, delighted to have found a female eighteenth-century writer who was clearly successful, largely rewrites More so that her ‘didactic’ works ‘scarcely stand second to t</w:t>
      </w:r>
      <w:r>
        <w:rPr>
          <w:rFonts w:cs="Helvetica"/>
          <w:kern w:val="1"/>
          <w:szCs w:val="24"/>
        </w:rPr>
        <w:t xml:space="preserve">he canonical novel in interest and importance’ in terms of ‘what they reveal about women’” (Scheuermann 238). Elizabeth Kowaleski-Wallace’s 1991 monograph, </w:t>
      </w:r>
      <w:r>
        <w:rPr>
          <w:rFonts w:cs="Helvetica"/>
          <w:i/>
          <w:kern w:val="1"/>
          <w:szCs w:val="24"/>
        </w:rPr>
        <w:t>Their Fathers' Daughters: Hannah More, Maria Edgeworth, and Patriarchal Complicity</w:t>
      </w:r>
      <w:r>
        <w:rPr>
          <w:rFonts w:cs="Helvetica"/>
          <w:kern w:val="1"/>
          <w:szCs w:val="24"/>
        </w:rPr>
        <w:t>, better sums up t</w:t>
      </w:r>
      <w:r>
        <w:rPr>
          <w:rFonts w:cs="Helvetica"/>
          <w:kern w:val="1"/>
          <w:szCs w:val="24"/>
        </w:rPr>
        <w:t>he consensus on More: complicit in patriarchy. Blanch’s assessment is that “[d]espite the contemporary criticism that More was usurping roles that had traditionally been reserved for men, feminist critics such as Kowaleski-Wallace, Ellen Jordan, Mona Scheu</w:t>
      </w:r>
      <w:r>
        <w:rPr>
          <w:rFonts w:cs="Helvetica"/>
          <w:kern w:val="1"/>
          <w:szCs w:val="24"/>
        </w:rPr>
        <w:t xml:space="preserve">rmann, and Eleanor Ty have maligned More as antithetical to the course of social reform and have dismissed her as a passive agent of the patriarchy” (Blanch 87). More’s next biographer, Patricia Demers, continues this assessment in her 1996 biography </w:t>
      </w:r>
      <w:r>
        <w:rPr>
          <w:rFonts w:cs="Helvetica"/>
          <w:i/>
          <w:kern w:val="1"/>
          <w:szCs w:val="24"/>
        </w:rPr>
        <w:t>The W</w:t>
      </w:r>
      <w:r>
        <w:rPr>
          <w:rFonts w:cs="Helvetica"/>
          <w:i/>
          <w:kern w:val="1"/>
          <w:szCs w:val="24"/>
        </w:rPr>
        <w:t>orld of Hannah More</w:t>
      </w:r>
      <w:r>
        <w:rPr>
          <w:rFonts w:cs="Helvetica"/>
          <w:kern w:val="1"/>
          <w:szCs w:val="24"/>
        </w:rPr>
        <w:t>. “Patricia Demers argues in a recent study that More’s “belief in a natural hierarchical social order,” a belief which Demers finds “angering in its condescension and immobility,” prevented More from doing anything significant to improv</w:t>
      </w:r>
      <w:r>
        <w:rPr>
          <w:rFonts w:cs="Helvetica"/>
          <w:kern w:val="1"/>
          <w:szCs w:val="24"/>
        </w:rPr>
        <w:t xml:space="preserve">e conditions among the poor (Demers, 2)” (Nardin 268). The emphasis on More’s politics also begins to shift attention away from literary interpretation. </w:t>
      </w:r>
      <w:r>
        <w:rPr>
          <w:rFonts w:cs="Helvetica"/>
          <w:szCs w:val="24"/>
        </w:rPr>
        <w:t>“Writing for More is primarily a mode of instruction, whether in poetry, drama, essay, or tract, convey</w:t>
      </w:r>
      <w:r>
        <w:rPr>
          <w:rFonts w:cs="Helvetica"/>
          <w:szCs w:val="24"/>
        </w:rPr>
        <w:t>ing either a female or a male voice of authority.” (Demers 109)</w:t>
      </w:r>
    </w:p>
    <w:p w14:paraId="4DB8F15F" w14:textId="77777777" w:rsidR="002F0BEE" w:rsidRDefault="002F0BEE">
      <w:pPr>
        <w:pStyle w:val="Paragraph"/>
        <w:rPr>
          <w:rFonts w:cs="Helvetica"/>
          <w:szCs w:val="24"/>
        </w:rPr>
      </w:pPr>
    </w:p>
    <w:p w14:paraId="4B10A7C5" w14:textId="77777777" w:rsidR="002F0BEE" w:rsidRDefault="00B67DD8">
      <w:pPr>
        <w:pStyle w:val="Paragraph"/>
        <w:rPr>
          <w:rFonts w:cs="Helvetica"/>
          <w:kern w:val="1"/>
          <w:szCs w:val="24"/>
        </w:rPr>
      </w:pPr>
      <w:r>
        <w:rPr>
          <w:rFonts w:cs="Helvetica"/>
          <w:szCs w:val="24"/>
        </w:rPr>
        <w:t xml:space="preserve">In the early 2000s, scholarship emerges that is more ready to find merit or sympathetic politics in More. Scheuermann describes this phenomenon as critics “changing what she says so that she </w:t>
      </w:r>
      <w:r>
        <w:rPr>
          <w:rFonts w:cs="Helvetica"/>
          <w:szCs w:val="24"/>
        </w:rPr>
        <w:t>seems closer to us in spirit” (237); Scheuermann herself presents More as reprehensible propagandist. But it is work like Jane Nardin’s — which argues that “</w:t>
      </w:r>
      <w:r>
        <w:rPr>
          <w:rFonts w:cs="Helvetica"/>
          <w:kern w:val="1"/>
          <w:szCs w:val="24"/>
        </w:rPr>
        <w:t>although More was a less enthusiastic believer in the ‘hierarchical social order’ than most scholar</w:t>
      </w:r>
      <w:r>
        <w:rPr>
          <w:rFonts w:cs="Helvetica"/>
          <w:kern w:val="1"/>
          <w:szCs w:val="24"/>
        </w:rPr>
        <w:t xml:space="preserve">s have argued, the evasions and compromises she engaged in as a practical reformer helped to damage her reputation with posterity” (269) — which takes the more common stance. This is the More who </w:t>
      </w:r>
      <w:r>
        <w:rPr>
          <w:rFonts w:cs="Helvetica"/>
          <w:kern w:val="1"/>
          <w:szCs w:val="24"/>
        </w:rPr>
        <w:lastRenderedPageBreak/>
        <w:t>can be inspiring in her importance and innovation, as sugges</w:t>
      </w:r>
      <w:r>
        <w:rPr>
          <w:rFonts w:cs="Helvetica"/>
          <w:kern w:val="1"/>
          <w:szCs w:val="24"/>
        </w:rPr>
        <w:t xml:space="preserve">ted by titles like Kevin Gilmartin’s “Hannah More and the Invention of Conservative Culture in Britain” and Anne Stott’s </w:t>
      </w:r>
      <w:r>
        <w:rPr>
          <w:rFonts w:cs="Helvetica"/>
          <w:i/>
          <w:kern w:val="1"/>
          <w:szCs w:val="24"/>
        </w:rPr>
        <w:t>Hannah More: The First Victorian</w:t>
      </w:r>
      <w:r>
        <w:rPr>
          <w:rFonts w:cs="Helvetica"/>
          <w:kern w:val="1"/>
          <w:szCs w:val="24"/>
        </w:rPr>
        <w:t>, both published in 2003.</w:t>
      </w:r>
    </w:p>
    <w:p w14:paraId="59011DBC" w14:textId="77777777" w:rsidR="002F0BEE" w:rsidRDefault="002F0BEE">
      <w:pPr>
        <w:pStyle w:val="Paragraph"/>
        <w:rPr>
          <w:rFonts w:cs="Helvetica"/>
          <w:kern w:val="1"/>
          <w:szCs w:val="24"/>
        </w:rPr>
      </w:pPr>
    </w:p>
    <w:p w14:paraId="1ADEA817" w14:textId="77777777" w:rsidR="002F0BEE" w:rsidRDefault="00B67DD8">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kern w:val="1"/>
          <w:sz w:val="22"/>
          <w:szCs w:val="24"/>
        </w:rPr>
      </w:pPr>
      <w:r>
        <w:rPr>
          <w:rFonts w:ascii="Georgia" w:hAnsi="Georgia" w:cs="Helvetica"/>
          <w:kern w:val="1"/>
          <w:sz w:val="22"/>
          <w:szCs w:val="24"/>
        </w:rPr>
        <w:t xml:space="preserve">Throughout this history of struggling with More’s conservatism, More has been almost synonymous with the Cheap Repository Tracts. </w:t>
      </w:r>
      <w:r>
        <w:rPr>
          <w:rFonts w:ascii="Georgia" w:hAnsi="Georgia" w:cs="Helvetica"/>
          <w:sz w:val="22"/>
          <w:szCs w:val="24"/>
        </w:rPr>
        <w:t>“At the time of the Repository’s conception in 1794, More’s public profile was that of a playwright and a controversial politi</w:t>
      </w:r>
      <w:r>
        <w:rPr>
          <w:rFonts w:ascii="Georgia" w:hAnsi="Georgia" w:cs="Helvetica"/>
          <w:sz w:val="22"/>
          <w:szCs w:val="24"/>
        </w:rPr>
        <w:t>cal commentator, yet, the annals of literary history emphasize her contributions as an educator and religious writer … Indeed, the ‘sublime and immortal’ Cheap Repository is the primary reason she is considered by some to have been the most prominent woman</w:t>
      </w:r>
      <w:r>
        <w:rPr>
          <w:rFonts w:ascii="Georgia" w:hAnsi="Georgia" w:cs="Helvetica"/>
          <w:sz w:val="22"/>
          <w:szCs w:val="24"/>
        </w:rPr>
        <w:t xml:space="preserve"> evangelical campaigner in England between 1780 and 1810” (Blanch 1).</w:t>
      </w:r>
      <w:r>
        <w:rPr>
          <w:rFonts w:ascii="Georgia" w:hAnsi="Georgia" w:cs="Helvetica"/>
          <w:kern w:val="1"/>
          <w:sz w:val="22"/>
          <w:szCs w:val="24"/>
        </w:rPr>
        <w:t xml:space="preserve"> The history of these tracts begins with G.H. Spinney’s 1939 bibliography of extant Cheap Repository tracts held by the British Library. Spinney’s work filled an important need — “Scholar</w:t>
      </w:r>
      <w:r>
        <w:rPr>
          <w:rFonts w:ascii="Georgia" w:hAnsi="Georgia" w:cs="Helvetica"/>
          <w:kern w:val="1"/>
          <w:sz w:val="22"/>
          <w:szCs w:val="24"/>
        </w:rPr>
        <w:t>ly recognition of the lack of clarity regarding the Cheap Repository bibliography, including authorship, dates back to Augustus De Morgan in 1864 (241-45)” (Blanch 11) — and has remained, eighty years after its publication, an invaluable source. It is perh</w:t>
      </w:r>
      <w:r>
        <w:rPr>
          <w:rFonts w:ascii="Georgia" w:hAnsi="Georgia" w:cs="Helvetica"/>
          <w:kern w:val="1"/>
          <w:sz w:val="22"/>
          <w:szCs w:val="24"/>
        </w:rPr>
        <w:t xml:space="preserve">aps only surpassed by Anna Maree Blanch’s 2009 thesis, </w:t>
      </w:r>
      <w:r>
        <w:rPr>
          <w:rFonts w:ascii="Georgia" w:hAnsi="Georgia" w:cs="Helvetica"/>
          <w:i/>
          <w:kern w:val="1"/>
          <w:sz w:val="22"/>
          <w:szCs w:val="24"/>
        </w:rPr>
        <w:t>A Reassessment of the Authorship of the Cheap Repository Tracts</w:t>
      </w:r>
      <w:r>
        <w:rPr>
          <w:rFonts w:ascii="Georgia" w:hAnsi="Georgia" w:cs="Helvetica"/>
          <w:kern w:val="1"/>
          <w:sz w:val="22"/>
          <w:szCs w:val="24"/>
        </w:rPr>
        <w:t xml:space="preserve">. Blanch makes the case that “[s]tatements describing Hannah More’s contributions have been repeated by generation after generation of </w:t>
      </w:r>
      <w:r>
        <w:rPr>
          <w:rFonts w:ascii="Georgia" w:hAnsi="Georgia" w:cs="Helvetica"/>
          <w:kern w:val="1"/>
          <w:sz w:val="22"/>
          <w:szCs w:val="24"/>
        </w:rPr>
        <w:t>scholars uncontested” (12), and describes with evident frustration several works which appear at first not to have based their claims on Spinney, but which, when traced, have their origin in the same single paragraph. Blanch herself has carried out new ori</w:t>
      </w:r>
      <w:r>
        <w:rPr>
          <w:rFonts w:ascii="Georgia" w:hAnsi="Georgia" w:cs="Helvetica"/>
          <w:kern w:val="1"/>
          <w:sz w:val="22"/>
          <w:szCs w:val="24"/>
        </w:rPr>
        <w:t>ginal research. Blanch identifies 127 tracts in the original run of the Cheap Repository Tracts, of which “58 tracts are either conclusively or tentatively attributed to More and 17 to others, while 52 tracts are described as being yet unattributable to an</w:t>
      </w:r>
      <w:r>
        <w:rPr>
          <w:rFonts w:ascii="Georgia" w:hAnsi="Georgia" w:cs="Helvetica"/>
          <w:kern w:val="1"/>
          <w:sz w:val="22"/>
          <w:szCs w:val="24"/>
        </w:rPr>
        <w:t>y particular author” (Blanch 85).</w:t>
      </w:r>
    </w:p>
    <w:p w14:paraId="6AE33852" w14:textId="77777777" w:rsidR="002F0BEE" w:rsidRDefault="002F0BEE">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Helvetica"/>
          <w:kern w:val="1"/>
          <w:sz w:val="22"/>
          <w:szCs w:val="24"/>
        </w:rPr>
      </w:pPr>
    </w:p>
    <w:p w14:paraId="29F483F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68" w:name="ch_summary-3"/>
      <w:r>
        <w:rPr>
          <w:rFonts w:ascii="TimesNewRomanPSMT" w:hAnsi="TimesNewRomanPSMT" w:cs="Helvetica"/>
          <w:kern w:val="1"/>
          <w:sz w:val="24"/>
          <w:szCs w:val="24"/>
        </w:rPr>
        <w:t>Chapter</w:t>
      </w:r>
      <w:bookmarkEnd w:id="68"/>
      <w:r>
        <w:rPr>
          <w:rFonts w:ascii="TimesNewRomanPSMT" w:hAnsi="TimesNewRomanPSMT" w:cs="Helvetica"/>
          <w:kern w:val="1"/>
          <w:sz w:val="24"/>
          <w:szCs w:val="24"/>
        </w:rPr>
        <w:t xml:space="preserve"> five takes the complex methodologies developed in the preceding three chapters, and stress-tests them on More’s difficult publication history. The many Cheap Repository Tracts are difficult to comprehensively iden</w:t>
      </w:r>
      <w:r>
        <w:rPr>
          <w:rFonts w:ascii="TimesNewRomanPSMT" w:hAnsi="TimesNewRomanPSMT" w:cs="Helvetica"/>
          <w:kern w:val="1"/>
          <w:sz w:val="24"/>
          <w:szCs w:val="24"/>
        </w:rPr>
        <w:t>tify and attribute authorship to: how have digital resources dealt with these challenges? I am particularly interested in examining publication details which More might have exaggerated for promotional purposes: what grounds can be identified for her claim</w:t>
      </w:r>
      <w:r>
        <w:rPr>
          <w:rFonts w:ascii="TimesNewRomanPSMT" w:hAnsi="TimesNewRomanPSMT" w:cs="Helvetica"/>
          <w:kern w:val="1"/>
          <w:sz w:val="24"/>
          <w:szCs w:val="24"/>
        </w:rPr>
        <w:t>s of exceptional circulation rates? Of particular interest is the fact that More reprinted some Cheap Repository Tracts in different formats for different price points and audiences. Can these differences be captured in the databases I examine? Examining M</w:t>
      </w:r>
      <w:r>
        <w:rPr>
          <w:rFonts w:ascii="TimesNewRomanPSMT" w:hAnsi="TimesNewRomanPSMT" w:cs="Helvetica"/>
          <w:kern w:val="1"/>
          <w:sz w:val="24"/>
          <w:szCs w:val="24"/>
        </w:rPr>
        <w:t xml:space="preserve">ore’s oeuvre also raises questions of literariness: if, as I expect, the Cheap Repository Tracts are excluded from more </w:t>
      </w:r>
      <w:r>
        <w:rPr>
          <w:rFonts w:ascii="TimesNewRomanPSMT" w:hAnsi="TimesNewRomanPSMT" w:cs="Helvetica"/>
          <w:kern w:val="1"/>
          <w:sz w:val="24"/>
          <w:szCs w:val="24"/>
        </w:rPr>
        <w:lastRenderedPageBreak/>
        <w:t>selective databases, is this appropriate? What kinds of “non-literary” writing is included in each database? This question brings my bib</w:t>
      </w:r>
      <w:r>
        <w:rPr>
          <w:rFonts w:ascii="TimesNewRomanPSMT" w:hAnsi="TimesNewRomanPSMT" w:cs="Helvetica"/>
          <w:kern w:val="1"/>
          <w:sz w:val="24"/>
          <w:szCs w:val="24"/>
        </w:rPr>
        <w:t xml:space="preserve">liographic research back home to the core questions about canon-building which drive my inquiry. To this point, I have sought ways to evaluate authors’ </w:t>
      </w:r>
      <w:r>
        <w:rPr>
          <w:rFonts w:ascii="TimesNewRomanPSMT" w:hAnsi="TimesNewRomanPSMT" w:cs="Helvetica"/>
          <w:i/>
          <w:kern w:val="1"/>
          <w:sz w:val="24"/>
          <w:szCs w:val="24"/>
        </w:rPr>
        <w:t>popularity</w:t>
      </w:r>
      <w:r>
        <w:rPr>
          <w:rFonts w:ascii="TimesNewRomanPSMT" w:hAnsi="TimesNewRomanPSMT" w:cs="Helvetica"/>
          <w:kern w:val="1"/>
          <w:sz w:val="24"/>
          <w:szCs w:val="24"/>
        </w:rPr>
        <w:t xml:space="preserve"> and their </w:t>
      </w:r>
      <w:r>
        <w:rPr>
          <w:rFonts w:ascii="TimesNewRomanPSMT" w:hAnsi="TimesNewRomanPSMT" w:cs="Helvetica"/>
          <w:i/>
          <w:kern w:val="1"/>
          <w:sz w:val="24"/>
          <w:szCs w:val="24"/>
        </w:rPr>
        <w:t>importance</w:t>
      </w:r>
      <w:r>
        <w:rPr>
          <w:rFonts w:ascii="TimesNewRomanPSMT" w:hAnsi="TimesNewRomanPSMT" w:cs="Helvetica"/>
          <w:kern w:val="1"/>
          <w:sz w:val="24"/>
          <w:szCs w:val="24"/>
        </w:rPr>
        <w:t xml:space="preserve"> in the print marketplace, as related metrics which underly the authors’ </w:t>
      </w:r>
      <w:r>
        <w:rPr>
          <w:rFonts w:ascii="TimesNewRomanPSMT" w:hAnsi="TimesNewRomanPSMT" w:cs="Helvetica"/>
          <w:kern w:val="1"/>
          <w:sz w:val="24"/>
          <w:szCs w:val="24"/>
        </w:rPr>
        <w:t xml:space="preserve">reputations. With More, I explore directly the use of </w:t>
      </w:r>
      <w:r>
        <w:rPr>
          <w:rFonts w:ascii="TimesNewRomanPSMT" w:hAnsi="TimesNewRomanPSMT" w:cs="Helvetica"/>
          <w:i/>
          <w:kern w:val="1"/>
          <w:sz w:val="24"/>
          <w:szCs w:val="24"/>
        </w:rPr>
        <w:t>literariness</w:t>
      </w:r>
      <w:r>
        <w:rPr>
          <w:rFonts w:ascii="TimesNewRomanPSMT" w:hAnsi="TimesNewRomanPSMT" w:cs="Helvetica"/>
          <w:kern w:val="1"/>
          <w:sz w:val="24"/>
          <w:szCs w:val="24"/>
        </w:rPr>
        <w:t xml:space="preserve"> as an inherently unquantifiable metric of selection.</w:t>
      </w:r>
    </w:p>
    <w:p w14:paraId="2476B2F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8BC24E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69" w:name="conclusion_dissertation_map"/>
      <w:r>
        <w:rPr>
          <w:rFonts w:ascii="TimesNewRomanPSMT" w:hAnsi="TimesNewRomanPSMT" w:cs="Helvetica"/>
          <w:kern w:val="1"/>
          <w:sz w:val="24"/>
          <w:szCs w:val="24"/>
        </w:rPr>
        <w:t>In</w:t>
      </w:r>
      <w:bookmarkEnd w:id="69"/>
      <w:r>
        <w:rPr>
          <w:rFonts w:ascii="TimesNewRomanPSMT" w:hAnsi="TimesNewRomanPSMT" w:cs="Helvetica"/>
          <w:kern w:val="1"/>
          <w:sz w:val="24"/>
          <w:szCs w:val="24"/>
        </w:rPr>
        <w:t xml:space="preserve"> the following chapters, this dissertation weaves together an exploration of 1790s literature with an exploration of contemporary dig</w:t>
      </w:r>
      <w:r>
        <w:rPr>
          <w:rFonts w:ascii="TimesNewRomanPSMT" w:hAnsi="TimesNewRomanPSMT" w:cs="Helvetica"/>
          <w:kern w:val="1"/>
          <w:sz w:val="24"/>
          <w:szCs w:val="24"/>
        </w:rPr>
        <w:t>ital resources. As described in more detail above, chapter two uses Charlotte Smith to introduce the core differences between the databases under consideration, and to examine our conceptions of editions and reprinting. Chapter three uses Mary Robinson, wh</w:t>
      </w:r>
      <w:r>
        <w:rPr>
          <w:rFonts w:ascii="TimesNewRomanPSMT" w:hAnsi="TimesNewRomanPSMT" w:cs="Helvetica"/>
          <w:kern w:val="1"/>
          <w:sz w:val="24"/>
          <w:szCs w:val="24"/>
        </w:rPr>
        <w:t>ose printed output is expected to be largely similar in bibliographic terms to Smith’s (that is, they both consist of a large number of publications in a wide range of genres, which were successful enough to sustain a career as a writer), to examine questi</w:t>
      </w:r>
      <w:r>
        <w:rPr>
          <w:rFonts w:ascii="TimesNewRomanPSMT" w:hAnsi="TimesNewRomanPSMT" w:cs="Helvetica"/>
          <w:kern w:val="1"/>
          <w:sz w:val="24"/>
          <w:szCs w:val="24"/>
        </w:rPr>
        <w:t>ons about authorship and reception. Chapter four introduces an author who provides a contrast to both Smith and Robinson by producing a small number of titles in only one genre, Ann Radcliffe, prompting deeper inquiry into print runs and reviews, to develo</w:t>
      </w:r>
      <w:r>
        <w:rPr>
          <w:rFonts w:ascii="TimesNewRomanPSMT" w:hAnsi="TimesNewRomanPSMT" w:cs="Helvetica"/>
          <w:kern w:val="1"/>
          <w:sz w:val="24"/>
          <w:szCs w:val="24"/>
        </w:rPr>
        <w:t>p richer metrics for “popularity” or “importance.” Chapter five introduces another contrasting author, of the opposing type, Hannah More, whose large number of publications at varied price points presents a technical challenge for the tools I have develope</w:t>
      </w:r>
      <w:r>
        <w:rPr>
          <w:rFonts w:ascii="TimesNewRomanPSMT" w:hAnsi="TimesNewRomanPSMT" w:cs="Helvetica"/>
          <w:kern w:val="1"/>
          <w:sz w:val="24"/>
          <w:szCs w:val="24"/>
        </w:rPr>
        <w:t>d, and also a theoretical challenge for the concepts of literature I explore. A brief conclusion synthesizes my findings on these four authors, and presents my assessment of how they relate to 1790s literature as a whole.</w:t>
      </w:r>
    </w:p>
    <w:p w14:paraId="64E0080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1A10695"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kern w:val="1"/>
          <w:sz w:val="40"/>
          <w:szCs w:val="24"/>
        </w:rPr>
      </w:pPr>
      <w:bookmarkStart w:id="70" w:name="ch_2_archives"/>
      <w:r>
        <w:rPr>
          <w:rFonts w:ascii="Helvetica" w:hAnsi="Helvetica" w:cs="Helvetica"/>
          <w:b/>
          <w:kern w:val="1"/>
          <w:sz w:val="40"/>
          <w:szCs w:val="24"/>
        </w:rPr>
        <w:lastRenderedPageBreak/>
        <w:t>ch 2 - archives</w:t>
      </w:r>
      <w:bookmarkEnd w:id="70"/>
    </w:p>
    <w:p w14:paraId="19863648"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kern w:val="1"/>
          <w:sz w:val="40"/>
          <w:szCs w:val="24"/>
        </w:rPr>
      </w:pPr>
    </w:p>
    <w:p w14:paraId="4CDD2BD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1" w:name="estc_comment"/>
      <w:r>
        <w:rPr>
          <w:rFonts w:ascii="TimesNewRomanPSMT" w:hAnsi="TimesNewRomanPSMT" w:cs="Helvetica"/>
          <w:kern w:val="1"/>
          <w:sz w:val="24"/>
          <w:szCs w:val="24"/>
        </w:rPr>
        <w:t>As</w:t>
      </w:r>
      <w:bookmarkEnd w:id="71"/>
      <w:r>
        <w:rPr>
          <w:rFonts w:ascii="TimesNewRomanPSMT" w:hAnsi="TimesNewRomanPSMT" w:cs="Helvetica"/>
          <w:kern w:val="1"/>
          <w:sz w:val="24"/>
          <w:szCs w:val="24"/>
        </w:rPr>
        <w:t xml:space="preserve"> Suarez notes,</w:t>
      </w:r>
      <w:r>
        <w:rPr>
          <w:rFonts w:ascii="TimesNewRomanPSMT" w:hAnsi="TimesNewRomanPSMT" w:cs="Helvetica"/>
          <w:kern w:val="1"/>
          <w:sz w:val="24"/>
          <w:szCs w:val="24"/>
        </w:rPr>
        <w:t xml:space="preserve"> the ESTC is a unique resource for pre-19thC works: “Regrettably, although this volume of The Cambridge history of the book in Britain ends in 1830, it is not possible to perform a similarly comprehensive analysis for the first decades of the nineteenth ce</w:t>
      </w:r>
      <w:r>
        <w:rPr>
          <w:rFonts w:ascii="TimesNewRomanPSMT" w:hAnsi="TimesNewRomanPSMT" w:cs="Helvetica"/>
          <w:kern w:val="1"/>
          <w:sz w:val="24"/>
          <w:szCs w:val="24"/>
        </w:rPr>
        <w:t>ntury because we have no equivalent bibliographical control for this period” (Suarez 40).</w:t>
      </w:r>
    </w:p>
    <w:p w14:paraId="5BE6D71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1D66D9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2" w:name="proposal"/>
      <w:r>
        <w:rPr>
          <w:rFonts w:ascii="TimesNewRomanPSMT" w:hAnsi="TimesNewRomanPSMT" w:cs="Helvetica"/>
          <w:kern w:val="1"/>
          <w:sz w:val="24"/>
          <w:szCs w:val="24"/>
        </w:rPr>
        <w:t>Chapter</w:t>
      </w:r>
      <w:bookmarkEnd w:id="72"/>
      <w:r>
        <w:rPr>
          <w:rFonts w:ascii="TimesNewRomanPSMT" w:hAnsi="TimesNewRomanPSMT" w:cs="Helvetica"/>
          <w:kern w:val="1"/>
          <w:sz w:val="24"/>
          <w:szCs w:val="24"/>
        </w:rPr>
        <w:t xml:space="preserve"> two takes up contemporary digital archives directly, examining corpora of eighteenth-century literature through the same critical lens by which anthologies a</w:t>
      </w:r>
      <w:r>
        <w:rPr>
          <w:rFonts w:ascii="TimesNewRomanPSMT" w:hAnsi="TimesNewRomanPSMT" w:cs="Helvetica"/>
          <w:kern w:val="1"/>
          <w:sz w:val="24"/>
          <w:szCs w:val="24"/>
        </w:rPr>
        <w:t>nd classroom teaching are often scrutinized. It makes the case that digital archives can implicitly shape scholarly research, and begins the process of revealing and interrogating their invisible assumptions. The chapter begins with a task somewhere betwee</w:t>
      </w:r>
      <w:r>
        <w:rPr>
          <w:rFonts w:ascii="TimesNewRomanPSMT" w:hAnsi="TimesNewRomanPSMT" w:cs="Helvetica"/>
          <w:kern w:val="1"/>
          <w:sz w:val="24"/>
          <w:szCs w:val="24"/>
        </w:rPr>
        <w:t>n a literature review and a scientific meta-analysis. My first goal will be to survey as broadly as possible the accessible mass holdings of eighteenth-century texts (all those containing at least 100 works from the 1790s): simply putting all of this infor</w:t>
      </w:r>
      <w:r>
        <w:rPr>
          <w:rFonts w:ascii="TimesNewRomanPSMT" w:hAnsi="TimesNewRomanPSMT" w:cs="Helvetica"/>
          <w:kern w:val="1"/>
          <w:sz w:val="24"/>
          <w:szCs w:val="24"/>
        </w:rPr>
        <w:t>mation in one place will be a useful way to review it. Adding a discussion of each archive’s selection criteria will bring it into the realm of a meta-analysis. I expect to find systematic exclusions where archives are investing more labour in their holdin</w:t>
      </w:r>
      <w:r>
        <w:rPr>
          <w:rFonts w:ascii="TimesNewRomanPSMT" w:hAnsi="TimesNewRomanPSMT" w:cs="Helvetica"/>
          <w:kern w:val="1"/>
          <w:sz w:val="24"/>
          <w:szCs w:val="24"/>
        </w:rPr>
        <w:t>gs, with narrower selections as they move from bibliographic data to facsimiles to scholarly transcripts. To contextualize these decisions about inclusion, I will research the history of how each corpus was formed. I will discuss and theorize the difficult</w:t>
      </w:r>
      <w:r>
        <w:rPr>
          <w:rFonts w:ascii="TimesNewRomanPSMT" w:hAnsi="TimesNewRomanPSMT" w:cs="Helvetica"/>
          <w:kern w:val="1"/>
          <w:sz w:val="24"/>
          <w:szCs w:val="24"/>
        </w:rPr>
        <w:t xml:space="preserve">ies involved in researching these histories: drawing on, for example, my experience with HathiTrust’s codebase, I will critique the assumption that digital resources make all information transparent and </w:t>
      </w:r>
      <w:r>
        <w:rPr>
          <w:rFonts w:ascii="TimesNewRomanPSMT" w:hAnsi="TimesNewRomanPSMT" w:cs="Helvetica"/>
          <w:kern w:val="1"/>
          <w:sz w:val="24"/>
          <w:szCs w:val="24"/>
        </w:rPr>
        <w:lastRenderedPageBreak/>
        <w:t xml:space="preserve">accessible. Returning to the actual contents of each </w:t>
      </w:r>
      <w:r>
        <w:rPr>
          <w:rFonts w:ascii="TimesNewRomanPSMT" w:hAnsi="TimesNewRomanPSMT" w:cs="Helvetica"/>
          <w:kern w:val="1"/>
          <w:sz w:val="24"/>
          <w:szCs w:val="24"/>
        </w:rPr>
        <w:t xml:space="preserve">archive, I will discuss the nature of their exclusions, and consider paths to greater inclusivity. Then I will synthesize these disparate sources of texts and metadata, a substantial technical challenge, to see how the task may be accomplished, and to see </w:t>
      </w:r>
      <w:r>
        <w:rPr>
          <w:rFonts w:ascii="TimesNewRomanPSMT" w:hAnsi="TimesNewRomanPSMT" w:cs="Helvetica"/>
          <w:kern w:val="1"/>
          <w:sz w:val="24"/>
          <w:szCs w:val="24"/>
        </w:rPr>
        <w:t>what correlations between archives might illuminate the decade. I am particularly curious whether even one text will appear in all corpora, and, if so, which one it will be. Whichever texts appear most persistently will form the basis of my “case study” in</w:t>
      </w:r>
      <w:r>
        <w:rPr>
          <w:rFonts w:ascii="TimesNewRomanPSMT" w:hAnsi="TimesNewRomanPSMT" w:cs="Helvetica"/>
          <w:kern w:val="1"/>
          <w:sz w:val="24"/>
          <w:szCs w:val="24"/>
        </w:rPr>
        <w:t xml:space="preserve"> this chapter. The second chapter thus establishes the corpora which will drive my argument in chapter three, and will shape the later phases of my research in chapters four and five.</w:t>
      </w:r>
    </w:p>
    <w:p w14:paraId="5A360FD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70AA5D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3" w:name="Lesser_Farmer_debate"/>
      <w:r>
        <w:rPr>
          <w:rFonts w:ascii="TimesNewRomanPSMT" w:hAnsi="TimesNewRomanPSMT" w:cs="Helvetica"/>
          <w:kern w:val="1"/>
          <w:sz w:val="24"/>
          <w:szCs w:val="24"/>
        </w:rPr>
        <w:t>A</w:t>
      </w:r>
      <w:bookmarkEnd w:id="73"/>
      <w:r>
        <w:rPr>
          <w:rFonts w:ascii="TimesNewRomanPSMT" w:hAnsi="TimesNewRomanPSMT" w:cs="Helvetica"/>
          <w:kern w:val="1"/>
          <w:sz w:val="24"/>
          <w:szCs w:val="24"/>
        </w:rPr>
        <w:t xml:space="preserve"> model for my work can be found in a methodological debate within the </w:t>
      </w:r>
      <w:r>
        <w:rPr>
          <w:rFonts w:ascii="TimesNewRomanPSMT" w:hAnsi="TimesNewRomanPSMT" w:cs="Helvetica"/>
          <w:kern w:val="1"/>
          <w:sz w:val="24"/>
          <w:szCs w:val="24"/>
        </w:rPr>
        <w:t>study of Early Modern drama, when Farmer &amp; Lesser introduced revisions to Blayney’s field-changing 1997 essay “The Publication of Playbooks.”</w:t>
      </w:r>
    </w:p>
    <w:p w14:paraId="1E88F0D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68B2EE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4926D5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079894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Blayney believes that Lesser &amp; Farmer attempt to disprove his “one inescapable fact about printed plays—namely,</w:t>
      </w:r>
      <w:r>
        <w:rPr>
          <w:rFonts w:ascii="TimesNewRomanPSMT" w:hAnsi="TimesNewRomanPSMT" w:cs="Helvetica"/>
          <w:kern w:val="1"/>
          <w:sz w:val="24"/>
          <w:szCs w:val="24"/>
        </w:rPr>
        <w:t xml:space="preserve"> that they were not the best-selling moneyspinners that so many commentators have evidently believed they should have been” (7). But what really matters to him about identifying the “best-selling moneyspinners” of the day is not the ‘moneyspinning’ — the q</w:t>
      </w:r>
      <w:r>
        <w:rPr>
          <w:rFonts w:ascii="TimesNewRomanPSMT" w:hAnsi="TimesNewRomanPSMT" w:cs="Helvetica"/>
          <w:kern w:val="1"/>
          <w:sz w:val="24"/>
          <w:szCs w:val="24"/>
        </w:rPr>
        <w:t xml:space="preserve">uestion of whether, when a publisher bought a play, he was making a sound financial decision — but about the cultural centrality of ‘bestsellers’. The total market share of religious texts matters, not because it meant that publishers turned their highest </w:t>
      </w:r>
      <w:r>
        <w:rPr>
          <w:rFonts w:ascii="TimesNewRomanPSMT" w:hAnsi="TimesNewRomanPSMT" w:cs="Helvetica"/>
          <w:kern w:val="1"/>
          <w:sz w:val="24"/>
          <w:szCs w:val="24"/>
        </w:rPr>
        <w:t xml:space="preserve">profits off of religious texts, but because “[c]ustomers in early modern bookshops chose to spend far more of their </w:t>
      </w:r>
      <w:r>
        <w:rPr>
          <w:rFonts w:ascii="TimesNewRomanPSMT" w:hAnsi="TimesNewRomanPSMT" w:cs="Helvetica"/>
          <w:kern w:val="1"/>
          <w:sz w:val="24"/>
          <w:szCs w:val="24"/>
        </w:rPr>
        <w:lastRenderedPageBreak/>
        <w:t>money on religious books than they did on playbooks and other ‘literary’ publications,” evidence of “just how massively important godly book</w:t>
      </w:r>
      <w:r>
        <w:rPr>
          <w:rFonts w:ascii="TimesNewRomanPSMT" w:hAnsi="TimesNewRomanPSMT" w:cs="Helvetica"/>
          <w:kern w:val="1"/>
          <w:sz w:val="24"/>
          <w:szCs w:val="24"/>
        </w:rPr>
        <w:t>s were to early modern readers” (7). Lesser and Farmer do not contradict the importance of religious texts to readers. But, in setting out “not merely to measure comparative popularity but also to explain why and how different kinds of books were published</w:t>
      </w:r>
      <w:r>
        <w:rPr>
          <w:rFonts w:ascii="TimesNewRomanPSMT" w:hAnsi="TimesNewRomanPSMT" w:cs="Helvetica"/>
          <w:kern w:val="1"/>
          <w:sz w:val="24"/>
          <w:szCs w:val="24"/>
        </w:rPr>
        <w:t>.” (F&amp;L 213), they make the case that books with low market share, books that are not “best-selling,” could nonetheless be “moneyspinners.” Their rebuttal states that “...books could be in high demand even though their reprint rate was low. Likewise, books</w:t>
      </w:r>
      <w:r>
        <w:rPr>
          <w:rFonts w:ascii="TimesNewRomanPSMT" w:hAnsi="TimesNewRomanPSMT" w:cs="Helvetica"/>
          <w:kern w:val="1"/>
          <w:sz w:val="24"/>
          <w:szCs w:val="24"/>
        </w:rPr>
        <w:t xml:space="preserve"> (such as ballads) could be in high demand even though their profitability per copy was low. And, as seems to have been the case with plays, books could be in high demand even though their market share was low” (F&amp;L 213), but what they leave somewhat unsta</w:t>
      </w:r>
      <w:r>
        <w:rPr>
          <w:rFonts w:ascii="TimesNewRomanPSMT" w:hAnsi="TimesNewRomanPSMT" w:cs="Helvetica"/>
          <w:kern w:val="1"/>
          <w:sz w:val="24"/>
          <w:szCs w:val="24"/>
        </w:rPr>
        <w:t xml:space="preserve">ted is: “in high demand” </w:t>
      </w:r>
      <w:r>
        <w:rPr>
          <w:rFonts w:ascii="TimesNewRomanPSMT" w:hAnsi="TimesNewRomanPSMT" w:cs="Helvetica"/>
          <w:i/>
          <w:kern w:val="1"/>
          <w:sz w:val="24"/>
          <w:szCs w:val="24"/>
        </w:rPr>
        <w:t>with whom</w:t>
      </w:r>
      <w:r>
        <w:rPr>
          <w:rFonts w:ascii="TimesNewRomanPSMT" w:hAnsi="TimesNewRomanPSMT" w:cs="Helvetica"/>
          <w:kern w:val="1"/>
          <w:sz w:val="24"/>
          <w:szCs w:val="24"/>
        </w:rPr>
        <w:t>?</w:t>
      </w:r>
    </w:p>
    <w:p w14:paraId="71937CF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22E27A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FB54C7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944A1D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My own work seeks to examine reprints, but in a more limited fashion than Farmer &amp; Lesser were able to do. Rather than determine the reprint rate of various kinds of fiction, I carry out a Blayney-style examination of pure market share. I seek to identify </w:t>
      </w:r>
      <w:r>
        <w:rPr>
          <w:rFonts w:ascii="TimesNewRomanPSMT" w:hAnsi="TimesNewRomanPSMT" w:cs="Helvetica"/>
          <w:kern w:val="1"/>
          <w:sz w:val="24"/>
          <w:szCs w:val="24"/>
        </w:rPr>
        <w:t xml:space="preserve">reprints in order to determine the market share of new versus reprinted material in any given year. </w:t>
      </w:r>
    </w:p>
    <w:p w14:paraId="090293B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2E8E988"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(Reprinting)</w:t>
      </w:r>
      <w:r>
        <w:rPr>
          <w:rFonts w:ascii="TimesNewRomanPSMT" w:hAnsi="TimesNewRomanPSMT" w:cs="Helvetica"/>
          <w:kern w:val="1"/>
          <w:sz w:val="24"/>
          <w:szCs w:val="24"/>
        </w:rPr>
        <w:t xml:space="preserve"> Simon Bainbridge: best-selling, most-reprinted, most-adapted</w:t>
      </w:r>
    </w:p>
    <w:p w14:paraId="7C53E663"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39BA57F4"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(Assertion)</w:t>
      </w:r>
      <w:r>
        <w:rPr>
          <w:rFonts w:ascii="TimesNewRomanPSMT" w:hAnsi="TimesNewRomanPSMT" w:cs="Helvetica"/>
          <w:kern w:val="1"/>
          <w:sz w:val="24"/>
          <w:szCs w:val="24"/>
        </w:rPr>
        <w:t xml:space="preserve"> George Taylor: simply asserts that some things are popular</w:t>
      </w:r>
    </w:p>
    <w:p w14:paraId="3CCD0C60"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21608576"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lastRenderedPageBreak/>
        <w:t>(Assertion)</w:t>
      </w:r>
      <w:r>
        <w:rPr>
          <w:rFonts w:ascii="TimesNewRomanPSMT" w:hAnsi="TimesNewRomanPSMT" w:cs="Helvetica"/>
          <w:kern w:val="1"/>
          <w:sz w:val="24"/>
          <w:szCs w:val="24"/>
        </w:rPr>
        <w:t xml:space="preserve"> Peter Murphy: despite promising that his study “examines the tension between the material, economic pressures motivating poetry as an occupation, and traditional notions of the forces of literary history,” Murphy says NOTHING AT ALL about how w</w:t>
      </w:r>
      <w:r>
        <w:rPr>
          <w:rFonts w:ascii="TimesNewRomanPSMT" w:hAnsi="TimesNewRomanPSMT" w:cs="Helvetica"/>
          <w:kern w:val="1"/>
          <w:sz w:val="24"/>
          <w:szCs w:val="24"/>
        </w:rPr>
        <w:t>ell, to whom, for how much, etc etc things were sold.</w:t>
      </w:r>
    </w:p>
    <w:p w14:paraId="0EECB764"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2A4441A9"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(Performances)</w:t>
      </w:r>
      <w:r>
        <w:rPr>
          <w:rFonts w:ascii="TimesNewRomanPSMT" w:hAnsi="TimesNewRomanPSMT" w:cs="Helvetica"/>
          <w:kern w:val="1"/>
          <w:sz w:val="24"/>
          <w:szCs w:val="24"/>
        </w:rPr>
        <w:t xml:space="preserve"> Emmet Kennedy, Marie-Laurence Netter, et al.: number of performances per play (</w:t>
      </w:r>
      <w:r>
        <w:rPr>
          <w:rFonts w:ascii="TimesNewRomanPSMT" w:hAnsi="TimesNewRomanPSMT" w:cs="Helvetica"/>
          <w:i/>
          <w:kern w:val="1"/>
          <w:sz w:val="24"/>
          <w:szCs w:val="24"/>
        </w:rPr>
        <w:t>Theatre, Opera, and Audience in Revolutionary Paris: Analysis and Repertory</w:t>
      </w:r>
      <w:r>
        <w:rPr>
          <w:rFonts w:ascii="TimesNewRomanPSMT" w:hAnsi="TimesNewRomanPSMT" w:cs="Helvetica"/>
          <w:kern w:val="1"/>
          <w:sz w:val="24"/>
          <w:szCs w:val="24"/>
        </w:rPr>
        <w:t>)</w:t>
      </w:r>
    </w:p>
    <w:p w14:paraId="1797AB11"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308A6745"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 xml:space="preserve">(Book history) </w:t>
      </w:r>
      <w:r>
        <w:rPr>
          <w:rFonts w:ascii="TimesNewRomanPSMT" w:hAnsi="TimesNewRomanPSMT" w:cs="Helvetica"/>
          <w:kern w:val="1"/>
          <w:sz w:val="24"/>
          <w:szCs w:val="24"/>
        </w:rPr>
        <w:t>Cronin: mostly</w:t>
      </w:r>
      <w:r>
        <w:rPr>
          <w:rFonts w:ascii="TimesNewRomanPSMT" w:hAnsi="TimesNewRomanPSMT" w:cs="Helvetica"/>
          <w:kern w:val="1"/>
          <w:sz w:val="24"/>
          <w:szCs w:val="24"/>
        </w:rPr>
        <w:t xml:space="preserve"> asserts that people are “popular” or “celebrated”; with Erasmus Darwin, supports this by saying that the book The Botanic Garden is beautiful &amp; expensive</w:t>
      </w:r>
    </w:p>
    <w:p w14:paraId="48A88F78"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0594BA6D"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 xml:space="preserve">(Editions, reprints, market share, profitability) </w:t>
      </w:r>
      <w:r>
        <w:rPr>
          <w:rFonts w:ascii="TimesNewRomanPSMT" w:hAnsi="TimesNewRomanPSMT" w:cs="Helvetica"/>
          <w:kern w:val="1"/>
          <w:sz w:val="24"/>
          <w:szCs w:val="24"/>
        </w:rPr>
        <w:t>Lesser &amp; Farmer, Structures of Popularity in the E</w:t>
      </w:r>
      <w:r>
        <w:rPr>
          <w:rFonts w:ascii="TimesNewRomanPSMT" w:hAnsi="TimesNewRomanPSMT" w:cs="Helvetica"/>
          <w:kern w:val="1"/>
          <w:sz w:val="24"/>
          <w:szCs w:val="24"/>
        </w:rPr>
        <w:t>arly Modern Book Trade</w:t>
      </w:r>
      <w:r>
        <w:rPr>
          <w:rFonts w:ascii="TimesNewRomanPSMT" w:hAnsi="TimesNewRomanPSMT" w:cs="Helvetica"/>
          <w:b/>
          <w:kern w:val="1"/>
          <w:sz w:val="24"/>
          <w:szCs w:val="24"/>
        </w:rPr>
        <w:t xml:space="preserve"> - </w:t>
      </w:r>
      <w:r>
        <w:rPr>
          <w:rFonts w:ascii="TimesNewRomanPSMT" w:hAnsi="TimesNewRomanPSMT" w:cs="Helvetica"/>
          <w:kern w:val="1"/>
          <w:sz w:val="24"/>
          <w:szCs w:val="24"/>
        </w:rPr>
        <w:t>“we need to consider both total number of editions and frequency of reprinting, as well as market share and profitability. No single one of these four measurements by itself equates directly to popularity in the book trade; each ad</w:t>
      </w:r>
      <w:r>
        <w:rPr>
          <w:rFonts w:ascii="TimesNewRomanPSMT" w:hAnsi="TimesNewRomanPSMT" w:cs="Helvetica"/>
          <w:kern w:val="1"/>
          <w:sz w:val="24"/>
          <w:szCs w:val="24"/>
        </w:rPr>
        <w:t>dresses different questions about the market performance of books, and each points to a different aspect of both supply and demand.” (208)</w:t>
      </w:r>
    </w:p>
    <w:p w14:paraId="35C0942E"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38018579"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(Market share)</w:t>
      </w:r>
      <w:r>
        <w:rPr>
          <w:rFonts w:ascii="TimesNewRomanPSMT" w:hAnsi="TimesNewRomanPSMT" w:cs="Helvetica"/>
          <w:kern w:val="1"/>
          <w:sz w:val="24"/>
          <w:szCs w:val="24"/>
        </w:rPr>
        <w:t xml:space="preserve"> Blayney</w:t>
      </w:r>
    </w:p>
    <w:p w14:paraId="2D6A47DA"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61534851"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(Title counts)</w:t>
      </w:r>
      <w:r>
        <w:rPr>
          <w:rFonts w:ascii="TimesNewRomanPSMT" w:hAnsi="TimesNewRomanPSMT" w:cs="Helvetica"/>
          <w:kern w:val="1"/>
          <w:sz w:val="24"/>
          <w:szCs w:val="24"/>
        </w:rPr>
        <w:t xml:space="preserve"> MacLeod on the Minerva press — evaluates most popular authors &amp; subgenres bas</w:t>
      </w:r>
      <w:r>
        <w:rPr>
          <w:rFonts w:ascii="TimesNewRomanPSMT" w:hAnsi="TimesNewRomanPSMT" w:cs="Helvetica"/>
          <w:kern w:val="1"/>
          <w:sz w:val="24"/>
          <w:szCs w:val="24"/>
        </w:rPr>
        <w:t xml:space="preserve">ed on the number of “works published” or “titles” (unclear if this includes </w:t>
      </w:r>
      <w:r>
        <w:rPr>
          <w:rFonts w:ascii="TimesNewRomanPSMT" w:hAnsi="TimesNewRomanPSMT" w:cs="Helvetica"/>
          <w:kern w:val="1"/>
          <w:sz w:val="24"/>
          <w:szCs w:val="24"/>
        </w:rPr>
        <w:lastRenderedPageBreak/>
        <w:t>reprints)</w:t>
      </w:r>
    </w:p>
    <w:p w14:paraId="530A2843"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47B76E34"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 xml:space="preserve">(Reprints, anthologizing, “influence”) </w:t>
      </w:r>
      <w:r>
        <w:rPr>
          <w:rFonts w:ascii="TimesNewRomanPSMT" w:hAnsi="TimesNewRomanPSMT" w:cs="Helvetica"/>
          <w:kern w:val="1"/>
          <w:sz w:val="24"/>
          <w:szCs w:val="24"/>
        </w:rPr>
        <w:t>p 193: assessing Smith’s importance based on page counts anthologized in 1833 Specimens of English Sonnets and Specimens of Britis</w:t>
      </w:r>
      <w:r>
        <w:rPr>
          <w:rFonts w:ascii="TimesNewRomanPSMT" w:hAnsi="TimesNewRomanPSMT" w:cs="Helvetica"/>
          <w:kern w:val="1"/>
          <w:sz w:val="24"/>
          <w:szCs w:val="24"/>
        </w:rPr>
        <w:t>h Poetesses. “it is clear from sonnets like Bowles’s, Coleridge’s, Wordsworth’s, Opie’s, Hanson’s, Dark’s, Keats’s, and even Anna Seward’s that her influence was wide, formative, and powerful, just as it was in prose fiction for novelists like Austen, Radc</w:t>
      </w:r>
      <w:r>
        <w:rPr>
          <w:rFonts w:ascii="TimesNewRomanPSMT" w:hAnsi="TimesNewRomanPSMT" w:cs="Helvetica"/>
          <w:kern w:val="1"/>
          <w:sz w:val="24"/>
          <w:szCs w:val="24"/>
        </w:rPr>
        <w:t>liffe, Opie, Scott and others. Judith Stanton undoubtedly exaggerates matters, therefore, when she observes sadly of Smith that ‘already waning in her later years, the popularity of her works ended with her death,’ for, as noted earlier, her poetry continu</w:t>
      </w:r>
      <w:r>
        <w:rPr>
          <w:rFonts w:ascii="TimesNewRomanPSMT" w:hAnsi="TimesNewRomanPSMT" w:cs="Helvetica"/>
          <w:kern w:val="1"/>
          <w:sz w:val="24"/>
          <w:szCs w:val="24"/>
        </w:rPr>
        <w:t>ed to be reprinted through mid-century (including in Frederic Rowton’s notorious 1848 Female Poets of Great Britain)” (Behrendt 201).</w:t>
      </w:r>
    </w:p>
    <w:p w14:paraId="630B8EE4"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4D759E0A" w14:textId="77777777" w:rsidR="002F0BEE" w:rsidRDefault="00B67DD8">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b/>
          <w:kern w:val="1"/>
          <w:sz w:val="24"/>
          <w:szCs w:val="24"/>
        </w:rPr>
        <w:t>(Reprints, “emulation”)</w:t>
      </w:r>
      <w:r>
        <w:rPr>
          <w:rFonts w:ascii="TimesNewRomanPSMT" w:hAnsi="TimesNewRomanPSMT" w:cs="Helvetica"/>
          <w:kern w:val="1"/>
          <w:sz w:val="24"/>
          <w:szCs w:val="24"/>
        </w:rPr>
        <w:t xml:space="preserve"> “During her lifetime Charlotte Smith was a literary celebrity: her Elegiac Sonnets and Other Poem</w:t>
      </w:r>
      <w:r>
        <w:rPr>
          <w:rFonts w:ascii="TimesNewRomanPSMT" w:hAnsi="TimesNewRomanPSMT" w:cs="Helvetica"/>
          <w:kern w:val="1"/>
          <w:sz w:val="24"/>
          <w:szCs w:val="24"/>
        </w:rPr>
        <w:t>s (1784) were continuously reprinted and wifely emulated.” (Duckling 203)</w:t>
      </w:r>
    </w:p>
    <w:p w14:paraId="343CBDF9"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1950D938"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4DA9F210" w14:textId="77777777" w:rsidR="002F0BEE" w:rsidRDefault="002F0BEE">
      <w:pPr>
        <w:numPr>
          <w:ilvl w:val="0"/>
          <w:numId w:val="1"/>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0BB83CE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4" w:name="popularity_is_actually_impossi"/>
      <w:r>
        <w:rPr>
          <w:rFonts w:ascii="TimesNewRomanPSMT" w:hAnsi="TimesNewRomanPSMT" w:cs="Helvetica"/>
          <w:kern w:val="1"/>
          <w:sz w:val="24"/>
          <w:szCs w:val="24"/>
        </w:rPr>
        <w:t>It</w:t>
      </w:r>
      <w:bookmarkEnd w:id="74"/>
      <w:r>
        <w:rPr>
          <w:rFonts w:ascii="TimesNewRomanPSMT" w:hAnsi="TimesNewRomanPSMT" w:cs="Helvetica"/>
          <w:kern w:val="1"/>
          <w:sz w:val="24"/>
          <w:szCs w:val="24"/>
        </w:rPr>
        <w:t xml:space="preserve"> is not, in fact, possible to calculate </w:t>
      </w:r>
    </w:p>
    <w:p w14:paraId="36057C1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B76D9E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99207F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248B6D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lastRenderedPageBreak/>
        <w:t xml:space="preserve">Without [certain kinds of evidence], as F&amp;L note, “we will never be able to ascertain precisely the “popularity” of various kinds of </w:t>
      </w:r>
      <w:r>
        <w:rPr>
          <w:rFonts w:ascii="TimesNewRomanPSMT" w:hAnsi="TimesNewRomanPSMT" w:cs="Helvetica"/>
          <w:kern w:val="1"/>
          <w:sz w:val="24"/>
          <w:szCs w:val="24"/>
        </w:rPr>
        <w:t>books… if by popularity we mean something like the modern best-seller lists” (F&amp;L 16)</w:t>
      </w:r>
    </w:p>
    <w:p w14:paraId="5A9C539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A3EB14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Would need size of print runs and cost to produce, as well as sale price, and quantity sold.</w:t>
      </w:r>
    </w:p>
    <w:p w14:paraId="1222BA5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953907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[So it’s a little nonsense when people just say that something is popular]</w:t>
      </w:r>
    </w:p>
    <w:p w14:paraId="75DB196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16A3FE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5" w:name="selection_criteria"/>
      <w:r>
        <w:rPr>
          <w:rFonts w:ascii="TimesNewRomanPSMT" w:hAnsi="TimesNewRomanPSMT" w:cs="Helvetica"/>
          <w:kern w:val="1"/>
          <w:sz w:val="24"/>
          <w:szCs w:val="24"/>
        </w:rPr>
        <w:t>The</w:t>
      </w:r>
      <w:bookmarkEnd w:id="75"/>
      <w:r>
        <w:rPr>
          <w:rFonts w:ascii="TimesNewRomanPSMT" w:hAnsi="TimesNewRomanPSMT" w:cs="Helvetica"/>
          <w:kern w:val="1"/>
          <w:sz w:val="24"/>
          <w:szCs w:val="24"/>
        </w:rPr>
        <w:t xml:space="preserve"> full scope of my project is to grapple with every online database which contains at least 100 texts meeting my criteria: printed, in England, between the years 1789-99. </w:t>
      </w:r>
    </w:p>
    <w:p w14:paraId="1422B02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1CD82C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I exclude databases of diaries or correspondence, since they are not </w:t>
      </w:r>
      <w:r>
        <w:rPr>
          <w:rFonts w:ascii="TimesNewRomanPSMT" w:hAnsi="TimesNewRomanPSMT" w:cs="Helvetica"/>
          <w:i/>
          <w:kern w:val="1"/>
          <w:sz w:val="24"/>
          <w:szCs w:val="24"/>
        </w:rPr>
        <w:t>printed</w:t>
      </w:r>
      <w:r>
        <w:rPr>
          <w:rFonts w:ascii="TimesNewRomanPSMT" w:hAnsi="TimesNewRomanPSMT" w:cs="Helvetica"/>
          <w:kern w:val="1"/>
          <w:sz w:val="24"/>
          <w:szCs w:val="24"/>
        </w:rPr>
        <w:t>. Th</w:t>
      </w:r>
      <w:r>
        <w:rPr>
          <w:rFonts w:ascii="TimesNewRomanPSMT" w:hAnsi="TimesNewRomanPSMT" w:cs="Helvetica"/>
          <w:kern w:val="1"/>
          <w:sz w:val="24"/>
          <w:szCs w:val="24"/>
        </w:rPr>
        <w:t>is has the effect of excluding single-author databases.</w:t>
      </w:r>
    </w:p>
    <w:p w14:paraId="141F746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5C2227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6" w:name="womens_archives"/>
      <w:r>
        <w:rPr>
          <w:rFonts w:ascii="TimesNewRomanPSMT" w:hAnsi="TimesNewRomanPSMT" w:cs="Helvetica"/>
          <w:kern w:val="1"/>
          <w:sz w:val="24"/>
          <w:szCs w:val="24"/>
        </w:rPr>
        <w:t>I</w:t>
      </w:r>
      <w:bookmarkEnd w:id="76"/>
      <w:r>
        <w:rPr>
          <w:rFonts w:ascii="TimesNewRomanPSMT" w:hAnsi="TimesNewRomanPSMT" w:cs="Helvetica"/>
          <w:kern w:val="1"/>
          <w:sz w:val="24"/>
          <w:szCs w:val="24"/>
        </w:rPr>
        <w:t xml:space="preserve"> make an exception for archives which specifically seek to address gaps in archival holdings due to systemic bias, that is, three archives focused on women’s writing: Orlando, Chawton, and [I though</w:t>
      </w:r>
      <w:r>
        <w:rPr>
          <w:rFonts w:ascii="TimesNewRomanPSMT" w:hAnsi="TimesNewRomanPSMT" w:cs="Helvetica"/>
          <w:kern w:val="1"/>
          <w:sz w:val="24"/>
          <w:szCs w:val="24"/>
        </w:rPr>
        <w:t>t there was a third one].</w:t>
      </w:r>
    </w:p>
    <w:p w14:paraId="53AFD5F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BAF3B5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For the most part archives are either comprehensive and have significantly more than 100 texts, or they are single-author / single-researcher focused, and thus have significantly less than 100. These kinds of reparative projects </w:t>
      </w:r>
      <w:r>
        <w:rPr>
          <w:rFonts w:ascii="TimesNewRomanPSMT" w:hAnsi="TimesNewRomanPSMT" w:cs="Helvetica"/>
          <w:kern w:val="1"/>
          <w:sz w:val="24"/>
          <w:szCs w:val="24"/>
        </w:rPr>
        <w:t>occupy the middle space.</w:t>
      </w:r>
    </w:p>
    <w:p w14:paraId="2C83782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AA649D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7" w:name="selected_corpora"/>
      <w:r>
        <w:rPr>
          <w:rFonts w:ascii="TimesNewRomanPSMT" w:hAnsi="TimesNewRomanPSMT" w:cs="Helvetica"/>
          <w:kern w:val="1"/>
          <w:sz w:val="24"/>
          <w:szCs w:val="24"/>
        </w:rPr>
        <w:t>ESTC</w:t>
      </w:r>
      <w:bookmarkEnd w:id="77"/>
    </w:p>
    <w:p w14:paraId="686A86E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9C5492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ECCO</w:t>
      </w:r>
    </w:p>
    <w:p w14:paraId="0094D1E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844AE1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ECCO-TCP</w:t>
      </w:r>
    </w:p>
    <w:p w14:paraId="2DD7337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3DD7D3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319C14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E17DAB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HathiTrust</w:t>
      </w:r>
    </w:p>
    <w:p w14:paraId="142F75B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BC43E1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ProQuest</w:t>
      </w:r>
    </w:p>
    <w:p w14:paraId="328E797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ED7330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BL 19thC</w:t>
      </w:r>
    </w:p>
    <w:p w14:paraId="40CDA17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BB7E06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82842D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B98AB7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END</w:t>
      </w:r>
    </w:p>
    <w:p w14:paraId="3AF5BB2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019D4B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WWO+Chawton combo</w:t>
      </w:r>
    </w:p>
    <w:p w14:paraId="7A02022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A19DA0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Corvey</w:t>
      </w:r>
    </w:p>
    <w:p w14:paraId="0CCD2A4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5DB144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0A5834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8AAA11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lastRenderedPageBreak/>
        <w:t>Gutenberg</w:t>
      </w:r>
    </w:p>
    <w:p w14:paraId="24F40A0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131EB1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Google Books</w:t>
      </w:r>
    </w:p>
    <w:p w14:paraId="33139EF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2C5BDD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Internet Archive</w:t>
      </w:r>
    </w:p>
    <w:p w14:paraId="4710108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E580DA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8" w:name="these_are_all_databases"/>
      <w:r>
        <w:rPr>
          <w:rFonts w:ascii="TimesNewRomanPSMT" w:hAnsi="TimesNewRomanPSMT" w:cs="Helvetica"/>
          <w:kern w:val="1"/>
          <w:sz w:val="24"/>
          <w:szCs w:val="24"/>
        </w:rPr>
        <w:t>The</w:t>
      </w:r>
      <w:bookmarkEnd w:id="78"/>
      <w:r>
        <w:rPr>
          <w:rFonts w:ascii="TimesNewRomanPSMT" w:hAnsi="TimesNewRomanPSMT" w:cs="Helvetica"/>
          <w:kern w:val="1"/>
          <w:sz w:val="24"/>
          <w:szCs w:val="24"/>
        </w:rPr>
        <w:t xml:space="preserve"> primary methodological challenge to the questions I would like to pose is the standard makeup of these academic resources: self-contained databases, which are searchable for individual materials but not queryable for overall statistics. (I'd love to know </w:t>
      </w:r>
      <w:r>
        <w:rPr>
          <w:rFonts w:ascii="TimesNewRomanPSMT" w:hAnsi="TimesNewRomanPSMT" w:cs="Helvetica"/>
          <w:kern w:val="1"/>
          <w:sz w:val="24"/>
          <w:szCs w:val="24"/>
        </w:rPr>
        <w:t>the distribution-by-year of everything in the databases as a whole, but that may be beyond my scope.)</w:t>
      </w:r>
    </w:p>
    <w:p w14:paraId="2311638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D23853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6BB372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7406DD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What I'm trying to do, essentially, is to forcibly "join" all of those databases -- the ESTC is my best bet so far, it looks like, for unique keys.</w:t>
      </w:r>
    </w:p>
    <w:p w14:paraId="5DC3EA8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008900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A </w:t>
      </w:r>
      <w:r>
        <w:rPr>
          <w:rFonts w:ascii="TimesNewRomanPSMT" w:hAnsi="TimesNewRomanPSMT" w:cs="Helvetica"/>
          <w:kern w:val="1"/>
          <w:sz w:val="24"/>
          <w:szCs w:val="24"/>
        </w:rPr>
        <w:t>true "standard" is probably both unfeasible and undesirable. So what can be usefully done with things that follow different standards? I think the answer might be OpenRefine, which I haven't seen extolled enough.</w:t>
      </w:r>
    </w:p>
    <w:p w14:paraId="2389969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061D31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Another approach is to ignore the categori</w:t>
      </w:r>
      <w:r>
        <w:rPr>
          <w:rFonts w:ascii="TimesNewRomanPSMT" w:hAnsi="TimesNewRomanPSMT" w:cs="Helvetica"/>
          <w:kern w:val="1"/>
          <w:sz w:val="24"/>
          <w:szCs w:val="24"/>
        </w:rPr>
        <w:t>es and use things like topic modelling; relies on a more intimate knowledge of the information being studies (i.e., humanities expertise)</w:t>
      </w:r>
    </w:p>
    <w:p w14:paraId="73ED510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24A9B0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79" w:name="so_what"/>
      <w:r>
        <w:rPr>
          <w:rFonts w:ascii="TimesNewRomanPSMT" w:hAnsi="TimesNewRomanPSMT" w:cs="Helvetica"/>
          <w:kern w:val="1"/>
          <w:sz w:val="24"/>
          <w:szCs w:val="24"/>
        </w:rPr>
        <w:lastRenderedPageBreak/>
        <w:t>These</w:t>
      </w:r>
      <w:bookmarkEnd w:id="79"/>
      <w:r>
        <w:rPr>
          <w:rFonts w:ascii="TimesNewRomanPSMT" w:hAnsi="TimesNewRomanPSMT" w:cs="Helvetica"/>
          <w:kern w:val="1"/>
          <w:sz w:val="24"/>
          <w:szCs w:val="24"/>
        </w:rPr>
        <w:t xml:space="preserve"> basic factual questions, about what is in the various eighteenth century digital corpora that represent “mass” </w:t>
      </w:r>
      <w:r>
        <w:rPr>
          <w:rFonts w:ascii="TimesNewRomanPSMT" w:hAnsi="TimesNewRomanPSMT" w:cs="Helvetica"/>
          <w:kern w:val="1"/>
          <w:sz w:val="24"/>
          <w:szCs w:val="24"/>
        </w:rPr>
        <w:t>18thC holdings for scholars, matter because []. Even though the specific numbers are likely to change as these digital holdings are continuously updated, my investigation of an archive “snapshot” matters because [</w:t>
      </w:r>
      <w:r>
        <w:rPr>
          <w:rFonts w:ascii="TimesNewRomanPSMT" w:hAnsi="TimesNewRomanPSMT" w:cs="Helvetica"/>
          <w:kern w:val="1"/>
          <w:sz w:val="24"/>
          <w:szCs w:val="24"/>
          <w:highlight w:val="magenta"/>
        </w:rPr>
        <w:t>they show how questions of fact can (and ca</w:t>
      </w:r>
      <w:r>
        <w:rPr>
          <w:rFonts w:ascii="TimesNewRomanPSMT" w:hAnsi="TimesNewRomanPSMT" w:cs="Helvetica"/>
          <w:kern w:val="1"/>
          <w:sz w:val="24"/>
          <w:szCs w:val="24"/>
          <w:highlight w:val="magenta"/>
        </w:rPr>
        <w:t>nnot) be answered?</w:t>
      </w:r>
      <w:r>
        <w:rPr>
          <w:rFonts w:ascii="TimesNewRomanPSMT" w:hAnsi="TimesNewRomanPSMT" w:cs="Helvetica"/>
          <w:kern w:val="1"/>
          <w:sz w:val="24"/>
          <w:szCs w:val="24"/>
        </w:rPr>
        <w:t>]</w:t>
      </w:r>
    </w:p>
    <w:p w14:paraId="3329ACB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0D3AE3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80" w:name="chooses_to_be_bad"/>
      <w:r>
        <w:rPr>
          <w:rFonts w:ascii="TimesNewRomanPSMT" w:hAnsi="TimesNewRomanPSMT" w:cs="Helvetica"/>
          <w:kern w:val="1"/>
          <w:sz w:val="24"/>
          <w:szCs w:val="24"/>
        </w:rPr>
        <w:t>Google</w:t>
      </w:r>
      <w:bookmarkEnd w:id="80"/>
      <w:r>
        <w:rPr>
          <w:rFonts w:ascii="TimesNewRomanPSMT" w:hAnsi="TimesNewRomanPSMT" w:cs="Helvetica"/>
          <w:kern w:val="1"/>
          <w:sz w:val="24"/>
          <w:szCs w:val="24"/>
        </w:rPr>
        <w:t xml:space="preserve"> Books prioritizes low-quality information over </w:t>
      </w:r>
      <w:r>
        <w:rPr>
          <w:rFonts w:ascii="TimesNewRomanPSMT" w:hAnsi="TimesNewRomanPSMT" w:cs="Helvetica"/>
          <w:i/>
          <w:kern w:val="1"/>
          <w:sz w:val="24"/>
          <w:szCs w:val="24"/>
        </w:rPr>
        <w:t>no</w:t>
      </w:r>
      <w:r>
        <w:rPr>
          <w:rFonts w:ascii="TimesNewRomanPSMT" w:hAnsi="TimesNewRomanPSMT" w:cs="Helvetica"/>
          <w:kern w:val="1"/>
          <w:sz w:val="24"/>
          <w:szCs w:val="24"/>
        </w:rPr>
        <w:t xml:space="preserve"> information. The algorithmic extraction of publication dates from title pages, for example, can never be perfect. But algorithms give their predictions with certainty estimates: </w:t>
      </w:r>
      <w:r>
        <w:rPr>
          <w:rFonts w:ascii="TimesNewRomanPSMT" w:hAnsi="TimesNewRomanPSMT" w:cs="Helvetica"/>
          <w:kern w:val="1"/>
          <w:sz w:val="24"/>
          <w:szCs w:val="24"/>
        </w:rPr>
        <w:t>if accuracy was a higher priority, Google Books could calibrate the algorithm to simply provide no answer when none of the possibilities cross a given certainty threshold.</w:t>
      </w:r>
    </w:p>
    <w:p w14:paraId="33D0381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605CE8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7D220D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3437AC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Per </w:t>
      </w:r>
      <w:hyperlink r:id="rId10" w:history="1">
        <w:r>
          <w:rPr>
            <w:rFonts w:ascii="TimesNewRomanPSMT" w:hAnsi="TimesNewRomanPSMT" w:cs="Helvetica"/>
            <w:color w:val="0000FF"/>
            <w:kern w:val="1"/>
            <w:sz w:val="24"/>
            <w:szCs w:val="24"/>
            <w:u w:val="single"/>
          </w:rPr>
          <w:t>http://languagelog.ld</w:t>
        </w:r>
        <w:r>
          <w:rPr>
            <w:rFonts w:ascii="TimesNewRomanPSMT" w:hAnsi="TimesNewRomanPSMT" w:cs="Helvetica"/>
            <w:color w:val="0000FF"/>
            <w:kern w:val="1"/>
            <w:sz w:val="24"/>
            <w:szCs w:val="24"/>
            <w:u w:val="single"/>
          </w:rPr>
          <w:t>c.upenn.edu/nll/?p=1701</w:t>
        </w:r>
      </w:hyperlink>
      <w:r>
        <w:rPr>
          <w:rFonts w:ascii="TimesNewRomanPSMT" w:hAnsi="TimesNewRomanPSMT" w:cs="Helvetica"/>
          <w:kern w:val="1"/>
          <w:sz w:val="24"/>
          <w:szCs w:val="24"/>
        </w:rPr>
        <w:t xml:space="preserve"> , they actually OVERWRITE metadata provided by partners with their algorithmic information!! They could very easily </w:t>
      </w:r>
      <w:r>
        <w:rPr>
          <w:rFonts w:ascii="TimesNewRomanPSMT" w:hAnsi="TimesNewRomanPSMT" w:cs="Helvetica"/>
          <w:i/>
          <w:kern w:val="1"/>
          <w:sz w:val="24"/>
          <w:szCs w:val="24"/>
        </w:rPr>
        <w:t>not</w:t>
      </w:r>
      <w:r>
        <w:rPr>
          <w:rFonts w:ascii="TimesNewRomanPSMT" w:hAnsi="TimesNewRomanPSMT" w:cs="Helvetica"/>
          <w:kern w:val="1"/>
          <w:sz w:val="24"/>
          <w:szCs w:val="24"/>
        </w:rPr>
        <w:t>.</w:t>
      </w:r>
    </w:p>
    <w:p w14:paraId="1EC907F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14478D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81" w:name="timeline_history"/>
      <w:r>
        <w:rPr>
          <w:rFonts w:ascii="TimesNewRomanPSMT" w:hAnsi="TimesNewRomanPSMT" w:cs="Helvetica"/>
          <w:kern w:val="1"/>
          <w:sz w:val="24"/>
          <w:szCs w:val="24"/>
          <w:highlight w:val="magenta"/>
        </w:rPr>
        <w:t>Research</w:t>
      </w:r>
      <w:bookmarkEnd w:id="81"/>
      <w:r>
        <w:rPr>
          <w:rFonts w:ascii="TimesNewRomanPSMT" w:hAnsi="TimesNewRomanPSMT" w:cs="Helvetica"/>
          <w:kern w:val="1"/>
          <w:sz w:val="24"/>
          <w:szCs w:val="24"/>
          <w:highlight w:val="magenta"/>
        </w:rPr>
        <w:t xml:space="preserve"> the EEBO thread of ESTC/ECCO</w:t>
      </w:r>
    </w:p>
    <w:p w14:paraId="5ADD64B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A6E982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FD0D74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9E0A6F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The history of the English Short-Title Catalog is long, as befits </w:t>
      </w:r>
      <w:r>
        <w:rPr>
          <w:rFonts w:ascii="TimesNewRomanPSMT" w:hAnsi="TimesNewRomanPSMT" w:cs="Helvetica"/>
          <w:kern w:val="1"/>
          <w:sz w:val="24"/>
          <w:szCs w:val="24"/>
        </w:rPr>
        <w:t xml:space="preserve">its enormous scope. “The English Short-Title Catalog (ESTC) is a vast database designed to include a bibliographic record, </w:t>
      </w:r>
      <w:r>
        <w:rPr>
          <w:rFonts w:ascii="TimesNewRomanPSMT" w:hAnsi="TimesNewRomanPSMT" w:cs="Helvetica"/>
          <w:kern w:val="1"/>
          <w:sz w:val="24"/>
          <w:szCs w:val="24"/>
        </w:rPr>
        <w:lastRenderedPageBreak/>
        <w:t>with holdings, of every surviving copy of letterpress produced in Great Britain or any of its dependencies, in any language, worldwid</w:t>
      </w:r>
      <w:r>
        <w:rPr>
          <w:rFonts w:ascii="TimesNewRomanPSMT" w:hAnsi="TimesNewRomanPSMT" w:cs="Helvetica"/>
          <w:kern w:val="1"/>
          <w:sz w:val="24"/>
          <w:szCs w:val="24"/>
        </w:rPr>
        <w:t xml:space="preserve">e, from 1473-1800” </w:t>
      </w:r>
      <w:commentRangeStart w:id="82"/>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"scrivcmt://AF564E5D-130F-49D1-9E95-D16D4491745A"</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(CBSR)</w:t>
      </w:r>
      <w:r>
        <w:rPr>
          <w:rFonts w:ascii="TimesNewRomanPSMT" w:hAnsi="TimesNewRomanPSMT" w:cs="Helvetica"/>
          <w:kern w:val="1"/>
          <w:sz w:val="24"/>
          <w:szCs w:val="24"/>
        </w:rPr>
        <w:fldChar w:fldCharType="end"/>
      </w:r>
      <w:commentRangeEnd w:id="82"/>
      <w:r>
        <w:rPr>
          <w:rFonts w:ascii="TimesNewRomanPSMT" w:hAnsi="TimesNewRomanPSMT" w:cs="Helvetica"/>
          <w:kern w:val="1"/>
          <w:sz w:val="24"/>
          <w:szCs w:val="24"/>
        </w:rPr>
        <w:commentReference w:id="82"/>
      </w:r>
      <w:r>
        <w:rPr>
          <w:rFonts w:ascii="TimesNewRomanPSMT" w:hAnsi="TimesNewRomanPSMT" w:cs="Helvetica"/>
          <w:kern w:val="1"/>
          <w:sz w:val="24"/>
          <w:szCs w:val="24"/>
        </w:rPr>
        <w:t xml:space="preserve">. Today, “The English Short-Title Catalogue is the most comprehensive record of what has appeared in print in Britain and the English-speaking world for all branches </w:t>
      </w:r>
      <w:r>
        <w:rPr>
          <w:rFonts w:ascii="TimesNewRomanPSMT" w:hAnsi="TimesNewRomanPSMT" w:cs="Helvetica"/>
          <w:kern w:val="1"/>
          <w:sz w:val="24"/>
          <w:szCs w:val="24"/>
        </w:rPr>
        <w:t>of human experience from the last quarter of the fifteenth century to the start of the nineteenth. More specialized studies exist for fields and eras within that span, but no other resource matches ESTC’s dependability over such a broad range” (Vander Meul</w:t>
      </w:r>
      <w:r>
        <w:rPr>
          <w:rFonts w:ascii="TimesNewRomanPSMT" w:hAnsi="TimesNewRomanPSMT" w:cs="Helvetica"/>
          <w:kern w:val="1"/>
          <w:sz w:val="24"/>
          <w:szCs w:val="24"/>
        </w:rPr>
        <w:t>en 265).</w:t>
      </w:r>
    </w:p>
    <w:p w14:paraId="0A727DF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558437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It began as the Eighteenth Century Short Title Catalogue in the 1970s, operating in a similar line as the original Pollard and Redgrave Short-Title Catalogue for 1476–1640, which first appeared in 1926, and Donald Wing’s catalogue for 1641–1700, </w:t>
      </w:r>
      <w:r>
        <w:rPr>
          <w:rFonts w:ascii="TimesNewRomanPSMT" w:hAnsi="TimesNewRomanPSMT" w:cs="Helvetica"/>
          <w:kern w:val="1"/>
          <w:sz w:val="24"/>
          <w:szCs w:val="24"/>
        </w:rPr>
        <w:t xml:space="preserve">which appeared in 1951. These catalogues established the ambitious simplicity of the ESTC: to accurately describe every edition of every printed work in English or from the United Kingdom. After the completion of Wing’s STC, “[e]xploratory studies, poorly </w:t>
      </w:r>
      <w:r>
        <w:rPr>
          <w:rFonts w:ascii="TimesNewRomanPSMT" w:hAnsi="TimesNewRomanPSMT" w:cs="Helvetica"/>
          <w:kern w:val="1"/>
          <w:sz w:val="24"/>
          <w:szCs w:val="24"/>
        </w:rPr>
        <w:t>funded and inadequate though they were” (Korshin 209) throughout the 1950s and 60s pursued the feasibility of systematically accounting for the much larger body of printed work produced in the eighteenth century. The Eighteenth Century Short Title Catalogu</w:t>
      </w:r>
      <w:r>
        <w:rPr>
          <w:rFonts w:ascii="TimesNewRomanPSMT" w:hAnsi="TimesNewRomanPSMT" w:cs="Helvetica"/>
          <w:kern w:val="1"/>
          <w:sz w:val="24"/>
          <w:szCs w:val="24"/>
        </w:rPr>
        <w:t>e began properly in 1976, at a conference jointly sponsored by the British Library and the American Society for Eighteenth Century Studies (Crump 106). Here, “bibliographers and librarians attempted both to arrive at a consensus of the size of the task and</w:t>
      </w:r>
      <w:r>
        <w:rPr>
          <w:rFonts w:ascii="TimesNewRomanPSMT" w:hAnsi="TimesNewRomanPSMT" w:cs="Helvetica"/>
          <w:kern w:val="1"/>
          <w:sz w:val="24"/>
          <w:szCs w:val="24"/>
        </w:rPr>
        <w:t xml:space="preserve"> the methodology that would have to be adopted to achieve a union catalogue. However, until the works were catalogued, it would not be possible to answer basic questions (such as the potential number of extant items) which would predetermine working method</w:t>
      </w:r>
      <w:r>
        <w:rPr>
          <w:rFonts w:ascii="TimesNewRomanPSMT" w:hAnsi="TimesNewRomanPSMT" w:cs="Helvetica"/>
          <w:kern w:val="1"/>
          <w:sz w:val="24"/>
          <w:szCs w:val="24"/>
        </w:rPr>
        <w:t xml:space="preserve">s. The very fact that they found it difficult to agree for want of sound and accepted figures indicated the need for ESTC.” (Crump </w:t>
      </w:r>
      <w:r>
        <w:rPr>
          <w:rFonts w:ascii="TimesNewRomanPSMT" w:hAnsi="TimesNewRomanPSMT" w:cs="Helvetica"/>
          <w:kern w:val="1"/>
          <w:sz w:val="24"/>
          <w:szCs w:val="24"/>
        </w:rPr>
        <w:lastRenderedPageBreak/>
        <w:t>105). A pilot project began at the British Library in 1977, under the direction of Robin Alston (Crump 105).</w:t>
      </w:r>
    </w:p>
    <w:p w14:paraId="06208C3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9B0C47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Unlike earlier </w:t>
      </w:r>
      <w:r>
        <w:rPr>
          <w:rFonts w:ascii="TimesNewRomanPSMT" w:hAnsi="TimesNewRomanPSMT" w:cs="Helvetica"/>
          <w:kern w:val="1"/>
          <w:sz w:val="24"/>
          <w:szCs w:val="24"/>
        </w:rPr>
        <w:t xml:space="preserve">Short-Title Catalogues, which appeared as lengthly print publication, the Eighteenth-Century Short Title Catalogue was conceived as digital from the beginning — a decision which, as Karian notes, “exhibited considerable foresight” (283) in the 1970s. As a </w:t>
      </w:r>
      <w:r>
        <w:rPr>
          <w:rFonts w:ascii="TimesNewRomanPSMT" w:hAnsi="TimesNewRomanPSMT" w:cs="Helvetica"/>
          <w:kern w:val="1"/>
          <w:sz w:val="24"/>
          <w:szCs w:val="24"/>
        </w:rPr>
        <w:t>result, “ESTC records existed in digital form long before many humanists saw computer technology as central to their work” (Karian 283).  Robin Alston and Mervyn Jannetta developed their own cataloguing rules, distinct from the Library of Congress MARC and</w:t>
      </w:r>
      <w:r>
        <w:rPr>
          <w:rFonts w:ascii="TimesNewRomanPSMT" w:hAnsi="TimesNewRomanPSMT" w:cs="Helvetica"/>
          <w:kern w:val="1"/>
          <w:sz w:val="24"/>
          <w:szCs w:val="24"/>
        </w:rPr>
        <w:t xml:space="preserve"> UK MARC standards (Korshin 211). Once these standards were established, the British Library began to re-catalogue its own holdings, and in 1979 libraries in the United States, Germany, and Australia undertook to supplement them. In these international col</w:t>
      </w:r>
      <w:r>
        <w:rPr>
          <w:rFonts w:ascii="TimesNewRomanPSMT" w:hAnsi="TimesNewRomanPSMT" w:cs="Helvetica"/>
          <w:kern w:val="1"/>
          <w:sz w:val="24"/>
          <w:szCs w:val="24"/>
        </w:rPr>
        <w:t>laborations, “Where ESTC records already existed, these were adopted as the [new] record and only those works not held in the ESTC base file were catalogued again” (Crump 105). “One implication of the publication history of short-title catalogues is that t</w:t>
      </w:r>
      <w:r>
        <w:rPr>
          <w:rFonts w:ascii="TimesNewRomanPSMT" w:hAnsi="TimesNewRomanPSMT" w:cs="Helvetica"/>
          <w:kern w:val="1"/>
          <w:sz w:val="24"/>
          <w:szCs w:val="24"/>
        </w:rPr>
        <w:t>hey have been deemed functional and valuable even before they were complete. (That estimation is crucial, for their full completion is for all practical purposes impossible.) Judging that even a preliminary form of the records was useful to scholars, the p</w:t>
      </w:r>
      <w:r>
        <w:rPr>
          <w:rFonts w:ascii="TimesNewRomanPSMT" w:hAnsi="TimesNewRomanPSMT" w:cs="Helvetica"/>
          <w:kern w:val="1"/>
          <w:sz w:val="24"/>
          <w:szCs w:val="24"/>
        </w:rPr>
        <w:t>lanners of ESTC determined to conduct its development ‘in full public view’ and to make the incomplete file available ‘warts and all’ (in the words of Henry Snyder and Michael Crump, responding to criticism by Peter Blayney)” (Vander Meulen 270). According</w:t>
      </w:r>
      <w:r>
        <w:rPr>
          <w:rFonts w:ascii="TimesNewRomanPSMT" w:hAnsi="TimesNewRomanPSMT" w:cs="Helvetica"/>
          <w:kern w:val="1"/>
          <w:sz w:val="24"/>
          <w:szCs w:val="24"/>
        </w:rPr>
        <w:t>ly, the in-progress database “was soon available online, from 1980 via the British Library BLAISE [British LibraryAutomated Information SErvice] system and from 1981 in the US Research Libraries Group RLIN [Research Libraries Information Network] system” (</w:t>
      </w:r>
      <w:r>
        <w:rPr>
          <w:rFonts w:ascii="TimesNewRomanPSMT" w:hAnsi="TimesNewRomanPSMT" w:cs="Helvetica"/>
          <w:kern w:val="1"/>
          <w:sz w:val="24"/>
          <w:szCs w:val="24"/>
        </w:rPr>
        <w:t xml:space="preserve">Norman). Each of these </w:t>
      </w:r>
      <w:r>
        <w:rPr>
          <w:rFonts w:ascii="TimesNewRomanPSMT" w:hAnsi="TimesNewRomanPSMT" w:cs="Helvetica"/>
          <w:kern w:val="1"/>
          <w:sz w:val="24"/>
          <w:szCs w:val="24"/>
        </w:rPr>
        <w:lastRenderedPageBreak/>
        <w:t>databases was worked on locally by researchers, and then updated and reconciled with each other weekly.</w:t>
      </w:r>
    </w:p>
    <w:p w14:paraId="7D6F08C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7B1004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To supplement these databases, accessible almost exclusively to librarians with specialized training in operating them and prima</w:t>
      </w:r>
      <w:r>
        <w:rPr>
          <w:rFonts w:ascii="TimesNewRomanPSMT" w:hAnsi="TimesNewRomanPSMT" w:cs="Helvetica"/>
          <w:kern w:val="1"/>
          <w:sz w:val="24"/>
          <w:szCs w:val="24"/>
        </w:rPr>
        <w:t>rily used by the scholars compiling the file, the ESTC intended to publish editions at particular milestones of completeness, intended for the use of non-librarian scholars. Their “first step, a fiche catalogue of [the British Library’s] holdings, together</w:t>
      </w:r>
      <w:r>
        <w:rPr>
          <w:rFonts w:ascii="TimesNewRomanPSMT" w:hAnsi="TimesNewRomanPSMT" w:cs="Helvetica"/>
          <w:kern w:val="1"/>
          <w:sz w:val="24"/>
          <w:szCs w:val="24"/>
        </w:rPr>
        <w:t xml:space="preserve"> with indexes, generated by the computer” (Crump 105) was published in a microform “snapshot” in 1983, but other milestones did not occur according to schedule. The “joint Anglo-American interim publication of the ESTC file ” (Korshin 212) which was expect</w:t>
      </w:r>
      <w:r>
        <w:rPr>
          <w:rFonts w:ascii="TimesNewRomanPSMT" w:hAnsi="TimesNewRomanPSMT" w:cs="Helvetica"/>
          <w:kern w:val="1"/>
          <w:sz w:val="24"/>
          <w:szCs w:val="24"/>
        </w:rPr>
        <w:t xml:space="preserve">ed to follow on microform in 1984 (Korshin 212) did not appear. Alston attributed the delays partly to the immensity of the task, and partly to the impact of short-term cost-cutting decisions, like the reduction of early-stage proofreading or of in-person </w:t>
      </w:r>
      <w:r>
        <w:rPr>
          <w:rFonts w:ascii="TimesNewRomanPSMT" w:hAnsi="TimesNewRomanPSMT" w:cs="Helvetica"/>
          <w:kern w:val="1"/>
          <w:sz w:val="24"/>
          <w:szCs w:val="24"/>
        </w:rPr>
        <w:t>examination of books, which dramatically increased the labour of verifying the resulting database record. Although he consistently warned “how easily strategic decisions based exclusively on cost usually lead to greater, not less, eventual costs” (Alston),</w:t>
      </w:r>
      <w:r>
        <w:rPr>
          <w:rFonts w:ascii="TimesNewRomanPSMT" w:hAnsi="TimesNewRomanPSMT" w:cs="Helvetica"/>
          <w:kern w:val="1"/>
          <w:sz w:val="24"/>
          <w:szCs w:val="24"/>
        </w:rPr>
        <w:t xml:space="preserve"> the ESTC each year seemed to be facing a new budget struggle, and important maintenance labour was several times deferred. This created something like a paradox for the ESTC: funding bodies wanted to commit less money to a project which was behind schedul</w:t>
      </w:r>
      <w:r>
        <w:rPr>
          <w:rFonts w:ascii="TimesNewRomanPSMT" w:hAnsi="TimesNewRomanPSMT" w:cs="Helvetica"/>
          <w:kern w:val="1"/>
          <w:sz w:val="24"/>
          <w:szCs w:val="24"/>
        </w:rPr>
        <w:t xml:space="preserve">e, but the project would remain behind schedule unless it was funded to complete the work required. </w:t>
      </w:r>
    </w:p>
    <w:p w14:paraId="4C63938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320958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Nonetheless, work continued, and in 1985, the online databases in RLIN and BLAISE were upgraded to allow dynamic updates to a single shared file (Crump 10</w:t>
      </w:r>
      <w:r>
        <w:rPr>
          <w:rFonts w:ascii="TimesNewRomanPSMT" w:hAnsi="TimesNewRomanPSMT" w:cs="Helvetica"/>
          <w:kern w:val="1"/>
          <w:sz w:val="24"/>
          <w:szCs w:val="24"/>
        </w:rPr>
        <w:t xml:space="preserve">6), which for the first time </w:t>
      </w:r>
      <w:r>
        <w:rPr>
          <w:rFonts w:ascii="TimesNewRomanPSMT" w:hAnsi="TimesNewRomanPSMT" w:cs="Helvetica"/>
          <w:kern w:val="1"/>
          <w:sz w:val="24"/>
          <w:szCs w:val="24"/>
        </w:rPr>
        <w:lastRenderedPageBreak/>
        <w:t>allowed continuous access to a shared record, rather than the constant exchange and messy merging of individual partially-overlapping records. “Until the file was dynamically available online on RLIN in 1985 batch processing wa</w:t>
      </w:r>
      <w:r>
        <w:rPr>
          <w:rFonts w:ascii="TimesNewRomanPSMT" w:hAnsi="TimesNewRomanPSMT" w:cs="Helvetica"/>
          <w:kern w:val="1"/>
          <w:sz w:val="24"/>
          <w:szCs w:val="24"/>
        </w:rPr>
        <w:t>s a weekly nightmare” (Alston). At this time, it was hoped that the new RLIN file would “result in a more complete and coherent ‘first edition’ of ESTC” to be published in 1989 (Crump 106), though this deadline, too, was not met. In the mean time “the ESTC</w:t>
      </w:r>
      <w:r>
        <w:rPr>
          <w:rFonts w:ascii="TimesNewRomanPSMT" w:hAnsi="TimesNewRomanPSMT" w:cs="Helvetica"/>
          <w:kern w:val="1"/>
          <w:sz w:val="24"/>
          <w:szCs w:val="24"/>
        </w:rPr>
        <w:t xml:space="preserve"> file [was] available to scholars on both BLAISE-LINE and on RLIN.” (Crump 106). To facilitate its use, the ESTC distributed “[a] simplified manual for searching the file on-line” (Crump 106). Crump took the opportunity of the update to rhapsodize on the d</w:t>
      </w:r>
      <w:r>
        <w:rPr>
          <w:rFonts w:ascii="TimesNewRomanPSMT" w:hAnsi="TimesNewRomanPSMT" w:cs="Helvetica"/>
          <w:kern w:val="1"/>
          <w:sz w:val="24"/>
          <w:szCs w:val="24"/>
        </w:rPr>
        <w:t>atabase’s potential usefulness for other scholars: “No longer is the scholar limited in access to the data by the fixity of the printed page” (106). This valuable resource was not without cost. Although the manual on how to formulate search queries was fre</w:t>
      </w:r>
      <w:r>
        <w:rPr>
          <w:rFonts w:ascii="TimesNewRomanPSMT" w:hAnsi="TimesNewRomanPSMT" w:cs="Helvetica"/>
          <w:kern w:val="1"/>
          <w:sz w:val="24"/>
          <w:szCs w:val="24"/>
        </w:rPr>
        <w:t>e, use of the ESTC itself was notably not. Institutions or individuals paid to subscribe to the ESTC itself, paid per query for searches to be run, paid per minute for being connected to the database, and often paid for access to the computers they must us</w:t>
      </w:r>
      <w:r>
        <w:rPr>
          <w:rFonts w:ascii="TimesNewRomanPSMT" w:hAnsi="TimesNewRomanPSMT" w:cs="Helvetica"/>
          <w:kern w:val="1"/>
          <w:sz w:val="24"/>
          <w:szCs w:val="24"/>
        </w:rPr>
        <w:t>e in their own libraries. Tabor says “the ongoing expense of consulting ESTC was the cyber-equivalent of the hefty up-front payment needed to acquire its printed predecessors, STC and Wing” (367).</w:t>
      </w:r>
    </w:p>
    <w:p w14:paraId="341598A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B8D865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“In 1987, with the agreement of the Bibliographical Societ</w:t>
      </w:r>
      <w:r>
        <w:rPr>
          <w:rFonts w:ascii="TimesNewRomanPSMT" w:hAnsi="TimesNewRomanPSMT" w:cs="Helvetica"/>
          <w:kern w:val="1"/>
          <w:sz w:val="24"/>
          <w:szCs w:val="24"/>
        </w:rPr>
        <w:t>y and the Modern Language Association of America, the International Committee approved the extension of the database to cover the period from the beginning of printing in the British Isles (ca. 1472) to 1700. The file changed its name to the 'English Short</w:t>
      </w:r>
      <w:r>
        <w:rPr>
          <w:rFonts w:ascii="TimesNewRomanPSMT" w:hAnsi="TimesNewRomanPSMT" w:cs="Helvetica"/>
          <w:kern w:val="1"/>
          <w:sz w:val="24"/>
          <w:szCs w:val="24"/>
        </w:rPr>
        <w:t xml:space="preserve"> Title Catalogue', thereby keeping its well-known acronym. The USA team began cataloguing pre-1701 material in 1989, joined in the mid-1990s by the British Library team, and the resulting records were made available in the RLIN file from </w:t>
      </w:r>
      <w:r>
        <w:rPr>
          <w:rFonts w:ascii="TimesNewRomanPSMT" w:hAnsi="TimesNewRomanPSMT" w:cs="Helvetica"/>
          <w:kern w:val="1"/>
          <w:sz w:val="24"/>
          <w:szCs w:val="24"/>
        </w:rPr>
        <w:lastRenderedPageBreak/>
        <w:t>1994.” (Norman). “</w:t>
      </w:r>
      <w:r>
        <w:rPr>
          <w:rFonts w:ascii="TimesNewRomanPSMT" w:hAnsi="TimesNewRomanPSMT" w:cs="Helvetica"/>
          <w:kern w:val="1"/>
          <w:sz w:val="24"/>
          <w:szCs w:val="24"/>
        </w:rPr>
        <w:t xml:space="preserve">In 1992, IESTC approved a further extension of the file to include serial publications. The USA team began work in 1994 on the cataloguing of serials within the scope of ESTC” (Norman). </w:t>
      </w:r>
    </w:p>
    <w:p w14:paraId="3F66E13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8DAC44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Concurrently with the development of the ESTC, Wing’s seventeenth-ce</w:t>
      </w:r>
      <w:r>
        <w:rPr>
          <w:rFonts w:ascii="TimesNewRomanPSMT" w:hAnsi="TimesNewRomanPSMT" w:cs="Helvetica"/>
          <w:kern w:val="1"/>
          <w:sz w:val="24"/>
          <w:szCs w:val="24"/>
        </w:rPr>
        <w:t>ntury STC was undergoing redevelopment into a second edition, overseen by Katharine Pantzer. The second edition of Wing’s STC was published in two volumes in 1976 and 1986, followed by a set of exhaustive indexes in 1991. This second edition “represented a</w:t>
      </w:r>
      <w:r>
        <w:rPr>
          <w:rFonts w:ascii="TimesNewRomanPSMT" w:hAnsi="TimesNewRomanPSMT" w:cs="Helvetica"/>
          <w:kern w:val="1"/>
          <w:sz w:val="24"/>
          <w:szCs w:val="24"/>
        </w:rPr>
        <w:t xml:space="preserve"> vast development of the original” (Vander Meulen 268), incorporating thousands of new entries, expanding the titles, and adding explanatory notes and headnotes. Its completion in 1991 also marked the end of the ability of its publisher and sponsor, the Bi</w:t>
      </w:r>
      <w:r>
        <w:rPr>
          <w:rFonts w:ascii="TimesNewRomanPSMT" w:hAnsi="TimesNewRomanPSMT" w:cs="Helvetica"/>
          <w:kern w:val="1"/>
          <w:sz w:val="24"/>
          <w:szCs w:val="24"/>
        </w:rPr>
        <w:t>bliographical Society, to support it (Vander Meulen 269). “Accordingly, in 1999 the Society made an agreement with ESTC whereby the latter… would assume official responsibility for receiving new STC data” (Vander Meulen 270). The ESTC continued to research</w:t>
      </w:r>
      <w:r>
        <w:rPr>
          <w:rFonts w:ascii="TimesNewRomanPSMT" w:hAnsi="TimesNewRomanPSMT" w:cs="Helvetica"/>
          <w:kern w:val="1"/>
          <w:sz w:val="24"/>
          <w:szCs w:val="24"/>
        </w:rPr>
        <w:t xml:space="preserve"> new entries and improve existing ones, releasing a second edition of the file on CD-ROM in 1998 and a third edition in 2003 (Norman).</w:t>
      </w:r>
    </w:p>
    <w:p w14:paraId="2BA80A8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8A945E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In 2006, almost thirty years after the commencement of the project, the ESTC underwent another major shift: the database</w:t>
      </w:r>
      <w:r>
        <w:rPr>
          <w:rFonts w:ascii="TimesNewRomanPSMT" w:hAnsi="TimesNewRomanPSMT" w:cs="Helvetica"/>
          <w:kern w:val="1"/>
          <w:sz w:val="24"/>
          <w:szCs w:val="24"/>
        </w:rPr>
        <w:t xml:space="preserve"> was made publicly available to be searched for free online. This inspired more rhapsodizing, this time from Tabor: “The freeing of ESTC … now places in one location, for the consultation of anyone with internet access, the fullest and most up-to-date bibl</w:t>
      </w:r>
      <w:r>
        <w:rPr>
          <w:rFonts w:ascii="TimesNewRomanPSMT" w:hAnsi="TimesNewRomanPSMT" w:cs="Helvetica"/>
          <w:kern w:val="1"/>
          <w:sz w:val="24"/>
          <w:szCs w:val="24"/>
        </w:rPr>
        <w:t>iographical account of ‘English’ printing” (367). At the same time, the ESTC began a project “to provide full title and imprint transcriptions for the eighteenth-century records” (Tabor 370). Vander Meulen says that “The history of ESTC is in fact the reco</w:t>
      </w:r>
      <w:r>
        <w:rPr>
          <w:rFonts w:ascii="TimesNewRomanPSMT" w:hAnsi="TimesNewRomanPSMT" w:cs="Helvetica"/>
          <w:kern w:val="1"/>
          <w:sz w:val="24"/>
          <w:szCs w:val="24"/>
        </w:rPr>
        <w:t xml:space="preserve">rd of steady developments. </w:t>
      </w:r>
      <w:r>
        <w:rPr>
          <w:rFonts w:ascii="TimesNewRomanPSMT" w:hAnsi="TimesNewRomanPSMT" w:cs="Helvetica"/>
          <w:kern w:val="1"/>
          <w:sz w:val="24"/>
          <w:szCs w:val="24"/>
        </w:rPr>
        <w:lastRenderedPageBreak/>
        <w:t>Some have been conspicuous—for instance, the physical progression from a printed prototype to microfiche, CD, online access via the vendors Blaise Line and RLIN, and universal online availability through the British Library.” (Va</w:t>
      </w:r>
      <w:r>
        <w:rPr>
          <w:rFonts w:ascii="TimesNewRomanPSMT" w:hAnsi="TimesNewRomanPSMT" w:cs="Helvetica"/>
          <w:kern w:val="1"/>
          <w:sz w:val="24"/>
          <w:szCs w:val="24"/>
        </w:rPr>
        <w:t xml:space="preserve">nder Meulen 270) Many more have been less visible, in constant improvements to the accuracy and detail of the records. In 2011, the Center for Bibliographical Studies and Research at the University of California Riverside was awarded a planning grant from </w:t>
      </w:r>
      <w:r>
        <w:rPr>
          <w:rFonts w:ascii="TimesNewRomanPSMT" w:hAnsi="TimesNewRomanPSMT" w:cs="Helvetica"/>
          <w:kern w:val="1"/>
          <w:sz w:val="24"/>
          <w:szCs w:val="24"/>
        </w:rPr>
        <w:t>the Andrew W. Mellon Foundation to “redesign the ESTC as a 21st century research tool”</w:t>
      </w:r>
      <w:commentRangeStart w:id="83"/>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"scrivcmt://AC9F42C2-0006-4897-96BA-25E6C0DFFAAB"</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 xml:space="preserve"> (“Planning Grant”)</w:t>
      </w:r>
      <w:r>
        <w:rPr>
          <w:rFonts w:ascii="TimesNewRomanPSMT" w:hAnsi="TimesNewRomanPSMT" w:cs="Helvetica"/>
          <w:kern w:val="1"/>
          <w:sz w:val="24"/>
          <w:szCs w:val="24"/>
        </w:rPr>
        <w:fldChar w:fldCharType="end"/>
      </w:r>
      <w:commentRangeEnd w:id="83"/>
      <w:r>
        <w:rPr>
          <w:rFonts w:ascii="TimesNewRomanPSMT" w:hAnsi="TimesNewRomanPSMT" w:cs="Helvetica"/>
          <w:kern w:val="1"/>
          <w:sz w:val="24"/>
          <w:szCs w:val="24"/>
        </w:rPr>
        <w:commentReference w:id="83"/>
      </w:r>
      <w:r>
        <w:rPr>
          <w:rFonts w:ascii="TimesNewRomanPSMT" w:hAnsi="TimesNewRomanPSMT" w:cs="Helvetica"/>
          <w:kern w:val="1"/>
          <w:sz w:val="24"/>
          <w:szCs w:val="24"/>
        </w:rPr>
        <w:t>, which was followed in 2013 by a larger two-year grant to execute software improvemen</w:t>
      </w:r>
      <w:r>
        <w:rPr>
          <w:rFonts w:ascii="TimesNewRomanPSMT" w:hAnsi="TimesNewRomanPSMT" w:cs="Helvetica"/>
          <w:kern w:val="1"/>
          <w:sz w:val="24"/>
          <w:szCs w:val="24"/>
        </w:rPr>
        <w:t>ts to the ESTC.</w:t>
      </w:r>
    </w:p>
    <w:p w14:paraId="40EC36E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1029F9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CB1711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E4C8E9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A0828A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60B6B2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F1B6A2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9C4149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t>
      </w:r>
      <w:bookmarkStart w:id="84" w:name="database_structure"/>
      <w:r>
        <w:rPr>
          <w:rFonts w:ascii="TimesNewRomanPSMT" w:hAnsi="TimesNewRomanPSMT" w:cs="Helvetica"/>
          <w:kern w:val="1"/>
          <w:sz w:val="24"/>
          <w:szCs w:val="24"/>
        </w:rPr>
        <w:t>ESTC’s</w:t>
      </w:r>
      <w:bookmarkEnd w:id="84"/>
      <w:r>
        <w:rPr>
          <w:rFonts w:ascii="TimesNewRomanPSMT" w:hAnsi="TimesNewRomanPSMT" w:cs="Helvetica"/>
          <w:kern w:val="1"/>
          <w:sz w:val="24"/>
          <w:szCs w:val="24"/>
        </w:rPr>
        <w:t xml:space="preserve"> most basic bibliographical function is to provide, for each edition, a description of the ideal copy, meaning the most complete and correct manifestation of that edition as the printer and publisher intended it” (Tabor 369).</w:t>
      </w:r>
    </w:p>
    <w:p w14:paraId="3257989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5858C4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F628AA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26F12B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“The Project staff found that many eighteenth-century books in hundreds of libraries around the world have never been / catalogued at all, or are described in a group heading,” especially for </w:t>
      </w:r>
      <w:r>
        <w:rPr>
          <w:rFonts w:ascii="TimesNewRomanPSMT" w:hAnsi="TimesNewRomanPSMT" w:cs="Helvetica"/>
          <w:kern w:val="1"/>
          <w:sz w:val="24"/>
          <w:szCs w:val="24"/>
        </w:rPr>
        <w:lastRenderedPageBreak/>
        <w:t xml:space="preserve">single-sheet items (Korshin 210-211). “Panizzis ‘Rules' lead </w:t>
      </w:r>
      <w:r>
        <w:rPr>
          <w:rFonts w:ascii="TimesNewRomanPSMT" w:hAnsi="TimesNewRomanPSMT" w:cs="Helvetica"/>
          <w:kern w:val="1"/>
          <w:sz w:val="24"/>
          <w:szCs w:val="24"/>
        </w:rPr>
        <w:t>to confusing entries and filing for anonymous entries or for items with corporate authorship. For these, and many other related reasons, Alston and Jannetta decided to write their own cataloguing rules, allowing their entries eventually to be converted int</w:t>
      </w:r>
      <w:r>
        <w:rPr>
          <w:rFonts w:ascii="TimesNewRomanPSMT" w:hAnsi="TimesNewRomanPSMT" w:cs="Helvetica"/>
          <w:kern w:val="1"/>
          <w:sz w:val="24"/>
          <w:szCs w:val="24"/>
        </w:rPr>
        <w:t>o machine-readable form, but differing slightly from the standards for machine-readable cataloguing devised in this country (Library of Congress MARC) and in the United Kingdom (UK MARC). Modern machine-readable cataloguing has been devised to deal with ca</w:t>
      </w:r>
      <w:r>
        <w:rPr>
          <w:rFonts w:ascii="TimesNewRomanPSMT" w:hAnsi="TimesNewRomanPSMT" w:cs="Helvetica"/>
          <w:kern w:val="1"/>
          <w:sz w:val="24"/>
          <w:szCs w:val="24"/>
        </w:rPr>
        <w:t>taloguing new books and serials; the ESTC's cataloguing rules have been devised in such a way that a scholar anywhere in the world can tell, from the ESTC entry, whether the copy of the book inhis or her library is the same or different from the one listed</w:t>
      </w:r>
      <w:r>
        <w:rPr>
          <w:rFonts w:ascii="TimesNewRomanPSMT" w:hAnsi="TimesNewRomanPSMT" w:cs="Helvetica"/>
          <w:kern w:val="1"/>
          <w:sz w:val="24"/>
          <w:szCs w:val="24"/>
        </w:rPr>
        <w:t xml:space="preserve"> in ESTC.” (Korshin 211)</w:t>
      </w:r>
    </w:p>
    <w:p w14:paraId="4A2E110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4513BB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B6D08C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0F70C6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“Because the ESTC was formed from three different projects over many decades, the existence of subject headings varies. For books that are from the periods 1475-1640 (from the original Short-Title Catalogue created by Pollard </w:t>
      </w:r>
      <w:r>
        <w:rPr>
          <w:rFonts w:ascii="TimesNewRomanPSMT" w:hAnsi="TimesNewRomanPSMT" w:cs="Helvetica"/>
          <w:kern w:val="1"/>
          <w:sz w:val="24"/>
          <w:szCs w:val="24"/>
        </w:rPr>
        <w:t>and Redgrave) and 1641-1700 (from Donald Wing’s short-title catalogue), subject headings exist. But subject headings were not initially created for the eighteenth-century records in the ESTC, and so subject headings rarely occur for the items in ECCO.” (Ka</w:t>
      </w:r>
      <w:r>
        <w:rPr>
          <w:rFonts w:ascii="TimesNewRomanPSMT" w:hAnsi="TimesNewRomanPSMT" w:cs="Helvetica"/>
          <w:kern w:val="1"/>
          <w:sz w:val="24"/>
          <w:szCs w:val="24"/>
        </w:rPr>
        <w:t>rian, “Guide” 3)</w:t>
      </w:r>
    </w:p>
    <w:p w14:paraId="60A33E7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19FD81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C3185B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2E32FC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An Edition:</w:t>
      </w:r>
    </w:p>
    <w:p w14:paraId="50AC693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14C415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“Because ESTC is a bibliographical database rather than a catalogue, strictly speaking, its records describe groups of copies,” such as editions, “rather than specific copies,” such as the Exeter Book (Tabor 369). The ESTC </w:t>
      </w:r>
      <w:r>
        <w:rPr>
          <w:rFonts w:ascii="TimesNewRomanPSMT" w:hAnsi="TimesNewRomanPSMT" w:cs="Helvetica"/>
          <w:kern w:val="1"/>
          <w:sz w:val="24"/>
          <w:szCs w:val="24"/>
        </w:rPr>
        <w:t>sometimes has separate entries for groups within an edition “when certain separately planned marketing units can be identified within the edition, such as reissues, imprint variants, and large versus regular-paper copies” (Tabor 369). Or, in “the later eig</w:t>
      </w:r>
      <w:r>
        <w:rPr>
          <w:rFonts w:ascii="TimesNewRomanPSMT" w:hAnsi="TimesNewRomanPSMT" w:cs="Helvetica"/>
          <w:kern w:val="1"/>
          <w:sz w:val="24"/>
          <w:szCs w:val="24"/>
        </w:rPr>
        <w:t>hteenth century, when reprints from standing type became more common, ESTC cataloguers have occasionally granularized down to the level of individual impressions” (Tabor 369). Tabor and I both deem the term “edition” a sufficient umbrella term “[f]or the p</w:t>
      </w:r>
      <w:r>
        <w:rPr>
          <w:rFonts w:ascii="TimesNewRomanPSMT" w:hAnsi="TimesNewRomanPSMT" w:cs="Helvetica"/>
          <w:kern w:val="1"/>
          <w:sz w:val="24"/>
          <w:szCs w:val="24"/>
        </w:rPr>
        <w:t>urpose of this discussion” (Tabor 369).</w:t>
      </w:r>
    </w:p>
    <w:p w14:paraId="657447F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8FA2EB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“The first problem relates to the unit of classification. A clearly defined unit is necessary to ensure that a study of change over time is reliable and based on consistent terms. What is the unit that the ESTC uses</w:t>
      </w:r>
      <w:r>
        <w:rPr>
          <w:rFonts w:ascii="TimesNewRomanPSMT" w:hAnsi="TimesNewRomanPSMT" w:cs="Helvetica"/>
          <w:kern w:val="1"/>
          <w:sz w:val="24"/>
          <w:szCs w:val="24"/>
        </w:rPr>
        <w:t>? Scholars sometimes answer by using the terms “edition,” “issue,” or “title” interchangeably. But since the ESTC does not rely in a consistent manner on any of these terms for its unit of classification, one should refer instead only to the ESTC record, a</w:t>
      </w:r>
      <w:r>
        <w:rPr>
          <w:rFonts w:ascii="TimesNewRomanPSMT" w:hAnsi="TimesNewRomanPSMT" w:cs="Helvetica"/>
          <w:kern w:val="1"/>
          <w:sz w:val="24"/>
          <w:szCs w:val="24"/>
        </w:rPr>
        <w:t xml:space="preserve"> unit created by the ESTC and having no meaning outside the ESTC.” (Karian 289)</w:t>
      </w:r>
    </w:p>
    <w:p w14:paraId="70DE1EA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44BE60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“For the most part, the ESTC contains a record for each issue” (Karian 289) “Sometimes the ESTC contains additional records if there are multiple </w:t>
      </w:r>
      <w:r>
        <w:rPr>
          <w:rFonts w:ascii="TimesNewRomanPSMT" w:hAnsi="TimesNewRomanPSMT" w:cs="Helvetica"/>
          <w:i/>
          <w:kern w:val="1"/>
          <w:sz w:val="24"/>
          <w:szCs w:val="24"/>
        </w:rPr>
        <w:t>states</w:t>
      </w:r>
      <w:r>
        <w:rPr>
          <w:rFonts w:ascii="TimesNewRomanPSMT" w:hAnsi="TimesNewRomanPSMT" w:cs="Helvetica"/>
          <w:kern w:val="1"/>
          <w:sz w:val="24"/>
          <w:szCs w:val="24"/>
        </w:rPr>
        <w:t xml:space="preserve"> of an edition (a diffe</w:t>
      </w:r>
      <w:r>
        <w:rPr>
          <w:rFonts w:ascii="TimesNewRomanPSMT" w:hAnsi="TimesNewRomanPSMT" w:cs="Helvetica"/>
          <w:kern w:val="1"/>
          <w:sz w:val="24"/>
          <w:szCs w:val="24"/>
        </w:rPr>
        <w:t>rent state results from cancels or minor changes to the setting of type).” (Karian 289)</w:t>
      </w:r>
    </w:p>
    <w:p w14:paraId="3EC3AAA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377816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AACC62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13AAFB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An Ideal Copy:</w:t>
      </w:r>
    </w:p>
    <w:p w14:paraId="2374E33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63E857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“As additional reports of copies arrive, it may be that the ideal description must change in response. For instance, the existence of a half-title ma</w:t>
      </w:r>
      <w:r>
        <w:rPr>
          <w:rFonts w:ascii="TimesNewRomanPSMT" w:hAnsi="TimesNewRomanPSMT" w:cs="Helvetica"/>
          <w:kern w:val="1"/>
          <w:sz w:val="24"/>
          <w:szCs w:val="24"/>
        </w:rPr>
        <w:t>y only emerge on the evidence of the seventh copy reported. A half-title would then be added to the description of the ideal copy, and the six previously matched physical copies will receive notes recording that they are imperfect in this respect” (Tabor 3</w:t>
      </w:r>
      <w:r>
        <w:rPr>
          <w:rFonts w:ascii="TimesNewRomanPSMT" w:hAnsi="TimesNewRomanPSMT" w:cs="Helvetica"/>
          <w:kern w:val="1"/>
          <w:sz w:val="24"/>
          <w:szCs w:val="24"/>
        </w:rPr>
        <w:t>70).</w:t>
      </w:r>
    </w:p>
    <w:p w14:paraId="3793B63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8C269D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“In ESTC the matching process hinges on five points of identity: the title, as far as it is given by ESTC; the edition statement; the imprint, again as far as it is given by ESTC; the pagination; and the format” (Tabor 370).</w:t>
      </w:r>
    </w:p>
    <w:p w14:paraId="1562713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C9DE8E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85" w:name="intended_use"/>
      <w:r>
        <w:rPr>
          <w:rFonts w:ascii="TimesNewRomanPSMT" w:hAnsi="TimesNewRomanPSMT" w:cs="Helvetica"/>
          <w:kern w:val="1"/>
          <w:sz w:val="24"/>
          <w:szCs w:val="24"/>
        </w:rPr>
        <w:t>Using</w:t>
      </w:r>
      <w:bookmarkEnd w:id="85"/>
      <w:r>
        <w:rPr>
          <w:rFonts w:ascii="TimesNewRomanPSMT" w:hAnsi="TimesNewRomanPSMT" w:cs="Helvetica"/>
          <w:kern w:val="1"/>
          <w:sz w:val="24"/>
          <w:szCs w:val="24"/>
        </w:rPr>
        <w:t xml:space="preserve"> the database:</w:t>
      </w:r>
    </w:p>
    <w:p w14:paraId="50FBC56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5D1976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“th</w:t>
      </w:r>
      <w:r>
        <w:rPr>
          <w:rFonts w:ascii="TimesNewRomanPSMT" w:hAnsi="TimesNewRomanPSMT" w:cs="Helvetica"/>
          <w:kern w:val="1"/>
          <w:sz w:val="24"/>
          <w:szCs w:val="24"/>
        </w:rPr>
        <w:t>e needs of the specialist audience that has formed ESTC’s main constituency in the past and may reasonably be expected to continue as such: the explorers in the field who need detailed maps. In my task of mediating between the file and its users, I find th</w:t>
      </w:r>
      <w:r>
        <w:rPr>
          <w:rFonts w:ascii="TimesNewRomanPSMT" w:hAnsi="TimesNewRomanPSMT" w:cs="Helvetica"/>
          <w:kern w:val="1"/>
          <w:sz w:val="24"/>
          <w:szCs w:val="24"/>
        </w:rPr>
        <w:t>at these people approach early books with questions regarding one or both of two broad topics: intellectual content and physical characteristics, the latter including the location of copies,” with most interested in “the physicality of books.” (Tabor 369)</w:t>
      </w:r>
    </w:p>
    <w:p w14:paraId="34A9213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76CA8B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“When everything is working right, as it does in ESTC more often than not, the </w:t>
      </w:r>
      <w:r>
        <w:rPr>
          <w:rFonts w:ascii="TimesNewRomanPSMT" w:hAnsi="TimesNewRomanPSMT" w:cs="Helvetica"/>
          <w:kern w:val="1"/>
          <w:sz w:val="24"/>
          <w:szCs w:val="24"/>
        </w:rPr>
        <w:lastRenderedPageBreak/>
        <w:t xml:space="preserve">bibliographical description is completely accurate as far as it attempts to go, and variations in the matched copies can be reliably determined by the presence or absence of </w:t>
      </w:r>
      <w:r>
        <w:rPr>
          <w:rFonts w:ascii="TimesNewRomanPSMT" w:hAnsi="TimesNewRomanPSMT" w:cs="Helvetica"/>
          <w:kern w:val="1"/>
          <w:sz w:val="24"/>
          <w:szCs w:val="24"/>
        </w:rPr>
        <w:t xml:space="preserve">copy-specific notes. If anything happens to disturb the links between the description and its attached holdings, including errors committed in the course of creating the description, the record gets broken and starts telling lies about physical copies or, </w:t>
      </w:r>
      <w:r>
        <w:rPr>
          <w:rFonts w:ascii="TimesNewRomanPSMT" w:hAnsi="TimesNewRomanPSMT" w:cs="Helvetica"/>
          <w:kern w:val="1"/>
          <w:sz w:val="24"/>
          <w:szCs w:val="24"/>
        </w:rPr>
        <w:t>worse, about the ideal copy” (Tabor 370)</w:t>
      </w:r>
    </w:p>
    <w:p w14:paraId="7E91CEA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AB273E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B16240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B715E6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“the ESTC is one of the best resources to identify relevant printed materials, determine their publishing histories, and find out where they can be examined” (Karian 283)</w:t>
      </w:r>
    </w:p>
    <w:p w14:paraId="573FC6C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4B9719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86" w:name="STAR"/>
      <w:r>
        <w:rPr>
          <w:rFonts w:ascii="TimesNewRomanPSMT" w:hAnsi="TimesNewRomanPSMT" w:cs="Helvetica"/>
          <w:kern w:val="1"/>
          <w:sz w:val="24"/>
          <w:szCs w:val="24"/>
        </w:rPr>
        <w:t>The</w:t>
      </w:r>
      <w:bookmarkEnd w:id="86"/>
      <w:r>
        <w:rPr>
          <w:rFonts w:ascii="TimesNewRomanPSMT" w:hAnsi="TimesNewRomanPSMT" w:cs="Helvetica"/>
          <w:kern w:val="1"/>
          <w:sz w:val="24"/>
          <w:szCs w:val="24"/>
        </w:rPr>
        <w:t xml:space="preserve"> ESTC is not actually only one databa</w:t>
      </w:r>
      <w:r>
        <w:rPr>
          <w:rFonts w:ascii="TimesNewRomanPSMT" w:hAnsi="TimesNewRomanPSMT" w:cs="Helvetica"/>
          <w:kern w:val="1"/>
          <w:sz w:val="24"/>
          <w:szCs w:val="24"/>
        </w:rPr>
        <w:t>se: “</w:t>
      </w:r>
      <w:commentRangeStart w:id="87"/>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"scrivcmt://045962CF-F612-47F1-8F1B-BAC56D01AA64"</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The STAR file</w:t>
      </w:r>
      <w:r>
        <w:rPr>
          <w:rFonts w:ascii="TimesNewRomanPSMT" w:hAnsi="TimesNewRomanPSMT" w:cs="Helvetica"/>
          <w:kern w:val="1"/>
          <w:sz w:val="24"/>
          <w:szCs w:val="24"/>
        </w:rPr>
        <w:fldChar w:fldCharType="end"/>
      </w:r>
      <w:commentRangeEnd w:id="87"/>
      <w:r>
        <w:rPr>
          <w:rFonts w:ascii="TimesNewRomanPSMT" w:hAnsi="TimesNewRomanPSMT" w:cs="Helvetica"/>
          <w:kern w:val="1"/>
          <w:sz w:val="24"/>
          <w:szCs w:val="24"/>
        </w:rPr>
        <w:commentReference w:id="87"/>
      </w:r>
      <w:r>
        <w:rPr>
          <w:rFonts w:ascii="TimesNewRomanPSMT" w:hAnsi="TimesNewRomanPSMT" w:cs="Helvetica"/>
          <w:kern w:val="1"/>
          <w:sz w:val="24"/>
          <w:szCs w:val="24"/>
        </w:rPr>
        <w:t xml:space="preserve">, maintained at the ESTC editorial office in Riverside, California, has been functioning for years as a repository for revisions that are transmitted in periodic updates to </w:t>
      </w:r>
      <w:r>
        <w:rPr>
          <w:rFonts w:ascii="TimesNewRomanPSMT" w:hAnsi="TimesNewRomanPSMT" w:cs="Helvetica"/>
          <w:kern w:val="1"/>
          <w:sz w:val="24"/>
          <w:szCs w:val="24"/>
        </w:rPr>
        <w:t>the publicly accessible file. … In consequence, though invisible and inaccessible to most of ESTC’s users, STAR contains the most up-to-date version of the file.” (Tabor 373) There are two kinds of information, in particular, which the STAR file contains a</w:t>
      </w:r>
      <w:r>
        <w:rPr>
          <w:rFonts w:ascii="TimesNewRomanPSMT" w:hAnsi="TimesNewRomanPSMT" w:cs="Helvetica"/>
          <w:kern w:val="1"/>
          <w:sz w:val="24"/>
          <w:szCs w:val="24"/>
        </w:rPr>
        <w:t>nd which is concealed from ESTC users: the true ‘verified’ status of individual edition matches, and edition-specific notes on known errors.</w:t>
      </w:r>
    </w:p>
    <w:p w14:paraId="1947C1F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0E9E4B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 “match” in the ESTC is a known copy of a book held in a library which serves as a representative of a particular</w:t>
      </w:r>
      <w:r>
        <w:rPr>
          <w:rFonts w:ascii="TimesNewRomanPSMT" w:hAnsi="TimesNewRomanPSMT" w:cs="Helvetica"/>
          <w:kern w:val="1"/>
          <w:sz w:val="24"/>
          <w:szCs w:val="24"/>
        </w:rPr>
        <w:t xml:space="preserve"> edition. A match can be encoded as “verified” when an ESTC staff member consults the book to confirm that it corresponds to the edition in question, or “unverified” when this has not happened. But the STAR copy contains two additional </w:t>
      </w:r>
      <w:r>
        <w:rPr>
          <w:rFonts w:ascii="TimesNewRomanPSMT" w:hAnsi="TimesNewRomanPSMT" w:cs="Helvetica"/>
          <w:kern w:val="1"/>
          <w:sz w:val="24"/>
          <w:szCs w:val="24"/>
        </w:rPr>
        <w:lastRenderedPageBreak/>
        <w:t>verification statuse</w:t>
      </w:r>
      <w:r>
        <w:rPr>
          <w:rFonts w:ascii="TimesNewRomanPSMT" w:hAnsi="TimesNewRomanPSMT" w:cs="Helvetica"/>
          <w:kern w:val="1"/>
          <w:sz w:val="24"/>
          <w:szCs w:val="24"/>
        </w:rPr>
        <w:t xml:space="preserve">s: when a contributor such as a librarian or a scholar submits a match, it is coded as a “web match.” “Because most outside contributors have received no training in the matching process from ESTC, it would be fair to say that these matches occupy a level </w:t>
      </w:r>
      <w:r>
        <w:rPr>
          <w:rFonts w:ascii="TimesNewRomanPSMT" w:hAnsi="TimesNewRomanPSMT" w:cs="Helvetica"/>
          <w:kern w:val="1"/>
          <w:sz w:val="24"/>
          <w:szCs w:val="24"/>
        </w:rPr>
        <w:t>of certainty somewhere between the ‘verified’ and ‘unverified’ levels” (Tabor 374). Automated uploads of various outside databases can also generate new matches, encoded as “catalogue matches;” these “have a comparatively low level of reliability” (Tabor 3</w:t>
      </w:r>
      <w:r>
        <w:rPr>
          <w:rFonts w:ascii="TimesNewRomanPSMT" w:hAnsi="TimesNewRomanPSMT" w:cs="Helvetica"/>
          <w:kern w:val="1"/>
          <w:sz w:val="24"/>
          <w:szCs w:val="24"/>
        </w:rPr>
        <w:t>74). However, in the transition from STAR to ESTC, “The standard holdings display smoothes over these nuances; here both catalogue and web matches are translated to ‘verified’. This forces the file to make categorical statements of certainty even in obviou</w:t>
      </w:r>
      <w:r>
        <w:rPr>
          <w:rFonts w:ascii="TimesNewRomanPSMT" w:hAnsi="TimesNewRomanPSMT" w:cs="Helvetica"/>
          <w:kern w:val="1"/>
          <w:sz w:val="24"/>
          <w:szCs w:val="24"/>
        </w:rPr>
        <w:t>s cases of considerable doubt” (374).</w:t>
      </w:r>
    </w:p>
    <w:p w14:paraId="57F8509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C37AFE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[STAR annotations and DFONOTEs]</w:t>
      </w:r>
    </w:p>
    <w:p w14:paraId="2F6419F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E450C0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88" w:name="errors"/>
      <w:r>
        <w:rPr>
          <w:rFonts w:ascii="TimesNewRomanPSMT" w:hAnsi="TimesNewRomanPSMT" w:cs="Helvetica"/>
          <w:kern w:val="1"/>
          <w:sz w:val="24"/>
          <w:szCs w:val="24"/>
        </w:rPr>
        <w:t>Transcription</w:t>
      </w:r>
      <w:bookmarkEnd w:id="88"/>
      <w:r>
        <w:rPr>
          <w:rFonts w:ascii="TimesNewRomanPSMT" w:hAnsi="TimesNewRomanPSMT" w:cs="Helvetica"/>
          <w:kern w:val="1"/>
          <w:sz w:val="24"/>
          <w:szCs w:val="24"/>
        </w:rPr>
        <w:t xml:space="preserve"> errors</w:t>
      </w:r>
    </w:p>
    <w:p w14:paraId="29EBF0B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B7F6E5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2B88D6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D151F5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Broken records</w:t>
      </w:r>
    </w:p>
    <w:p w14:paraId="6E609A5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B0E8D0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 broken record occurs when information added to a record has not been checked against the copies already listed under that record” (Karian 285</w:t>
      </w:r>
      <w:r>
        <w:rPr>
          <w:rFonts w:ascii="TimesNewRomanPSMT" w:hAnsi="TimesNewRomanPSMT" w:cs="Helvetica"/>
          <w:kern w:val="1"/>
          <w:sz w:val="24"/>
          <w:szCs w:val="24"/>
        </w:rPr>
        <w:t>)</w:t>
      </w:r>
    </w:p>
    <w:p w14:paraId="4844CB5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238956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FC7717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159E50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lastRenderedPageBreak/>
        <w:t>Inaccurate dates</w:t>
      </w:r>
    </w:p>
    <w:p w14:paraId="30B36FB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ED0BDB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‘The ESTC sometimes records the date as questionable, and sometimes records the date within a range. But when one does a large-scale search for records—for example, everything from 1720—there is no easy way to screen out items not de</w:t>
      </w:r>
      <w:r>
        <w:rPr>
          <w:rFonts w:ascii="TimesNewRomanPSMT" w:hAnsi="TimesNewRomanPSMT" w:cs="Helvetica"/>
          <w:kern w:val="1"/>
          <w:sz w:val="24"/>
          <w:szCs w:val="24"/>
        </w:rPr>
        <w:t>finitively dated to 1720” (Karian 291)</w:t>
      </w:r>
    </w:p>
    <w:p w14:paraId="590A8B8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4971AC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3EBE7C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C27140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“only records bibliographic information about surviving books … After a careful study of book advertisements, inventories and bibliographies, it seems to this investigator that, excluding jobbing and newspaper </w:t>
      </w:r>
      <w:r>
        <w:rPr>
          <w:rFonts w:ascii="TimesNewRomanPSMT" w:hAnsi="TimesNewRomanPSMT" w:cs="Helvetica"/>
          <w:kern w:val="1"/>
          <w:sz w:val="24"/>
          <w:szCs w:val="24"/>
        </w:rPr>
        <w:t>printing, as much as 10 per cent of the printed record from 1701–1800 has not been incorporated into the ESTC.11 In other words, for up to 10 per cent of the editions printed in the eighteenth century, not a single copy is known to survive.” (Suarez 40)</w:t>
      </w:r>
    </w:p>
    <w:p w14:paraId="0237675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28473E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M</w:t>
      </w:r>
      <w:r>
        <w:rPr>
          <w:rFonts w:ascii="TimesNewRomanPSMT" w:hAnsi="TimesNewRomanPSMT" w:cs="Helvetica"/>
          <w:kern w:val="1"/>
          <w:sz w:val="24"/>
          <w:szCs w:val="24"/>
        </w:rPr>
        <w:t xml:space="preserve">y own sliver of the ESTC was generously provided to me by the British Library in January 2017. It contains all items matching the query I specified, “(Words= alldocuments and W-year= 1789-&gt;1799 and W-Country of publica= enk),” which requests all documents </w:t>
      </w:r>
      <w:r>
        <w:rPr>
          <w:rFonts w:ascii="TimesNewRomanPSMT" w:hAnsi="TimesNewRomanPSMT" w:cs="Helvetica"/>
          <w:kern w:val="1"/>
          <w:sz w:val="24"/>
          <w:szCs w:val="24"/>
        </w:rPr>
        <w:t>published between 1789 and 1799 (inclusive) with a place of publication encoded as “England.” Running this search on the ESTC website at the time returned 52,001 records. The tools used to create the file, according to the librarian with whom I corresponde</w:t>
      </w:r>
      <w:r>
        <w:rPr>
          <w:rFonts w:ascii="TimesNewRomanPSMT" w:hAnsi="TimesNewRomanPSMT" w:cs="Helvetica"/>
          <w:kern w:val="1"/>
          <w:sz w:val="24"/>
          <w:szCs w:val="24"/>
        </w:rPr>
        <w:t xml:space="preserve">d, returned 51,965 records, 36 records having gone missing; however, the file itself contains only 51,860, another 105 mysteriously lost. These 141 missing records are currently an unsolved mystery. My records come from the British </w:t>
      </w:r>
      <w:r>
        <w:rPr>
          <w:rFonts w:ascii="TimesNewRomanPSMT" w:hAnsi="TimesNewRomanPSMT" w:cs="Helvetica"/>
          <w:kern w:val="1"/>
          <w:sz w:val="24"/>
          <w:szCs w:val="24"/>
        </w:rPr>
        <w:lastRenderedPageBreak/>
        <w:t>Library’s ESTC database,</w:t>
      </w:r>
      <w:r>
        <w:rPr>
          <w:rFonts w:ascii="TimesNewRomanPSMT" w:hAnsi="TimesNewRomanPSMT" w:cs="Helvetica"/>
          <w:kern w:val="1"/>
          <w:sz w:val="24"/>
          <w:szCs w:val="24"/>
        </w:rPr>
        <w:t xml:space="preserve"> rather than the STAR file. The corpus itself consists of a csv file</w:t>
      </w:r>
      <w:r>
        <w:rPr>
          <w:rFonts w:ascii="TimesNewRomanPSMT" w:hAnsi="TimesNewRomanPSMT" w:cs="Helvetica"/>
          <w:kern w:val="1"/>
          <w:sz w:val="24"/>
          <w:szCs w:val="24"/>
          <w:vertAlign w:val="superscript"/>
        </w:rPr>
        <w:footnoteReference w:id="25"/>
      </w:r>
      <w:r>
        <w:rPr>
          <w:rFonts w:ascii="TimesNewRomanPSMT" w:hAnsi="TimesNewRomanPSMT" w:cs="Helvetica"/>
          <w:kern w:val="1"/>
          <w:sz w:val="24"/>
          <w:szCs w:val="24"/>
        </w:rPr>
        <w:t xml:space="preserve"> </w:t>
      </w:r>
      <w:bookmarkStart w:id="89" w:name="my_corpus"/>
      <w:r>
        <w:rPr>
          <w:rFonts w:ascii="TimesNewRomanPSMT" w:hAnsi="TimesNewRomanPSMT" w:cs="Helvetica"/>
          <w:kern w:val="1"/>
          <w:sz w:val="24"/>
          <w:szCs w:val="24"/>
        </w:rPr>
        <w:t>with</w:t>
      </w:r>
      <w:bookmarkEnd w:id="89"/>
      <w:r>
        <w:rPr>
          <w:rFonts w:ascii="TimesNewRomanPSMT" w:hAnsi="TimesNewRomanPSMT" w:cs="Helvetica"/>
          <w:kern w:val="1"/>
          <w:sz w:val="24"/>
          <w:szCs w:val="24"/>
        </w:rPr>
        <w:t xml:space="preserve"> fifteen columns of information. The columns are: “Type of resource” (“Monograph” or “Serial”); “ESTC citation number”; “Name” (e.g., of an author, editor or illustrator); “Dates ass</w:t>
      </w:r>
      <w:r>
        <w:rPr>
          <w:rFonts w:ascii="TimesNewRomanPSMT" w:hAnsi="TimesNewRomanPSMT" w:cs="Helvetica"/>
          <w:kern w:val="1"/>
          <w:sz w:val="24"/>
          <w:szCs w:val="24"/>
        </w:rPr>
        <w:t>ociated with name” (generally, the years they lived); “Type of name” (“meeting/conference,” “organization,” or “person”); “Role” (e.g., “author,” “cartographer,” or “bookseller”), “All names”, “Title”, “Variant titles”, “Place of publication”, “Publisher”,</w:t>
      </w:r>
      <w:r>
        <w:rPr>
          <w:rFonts w:ascii="TimesNewRomanPSMT" w:hAnsi="TimesNewRomanPSMT" w:cs="Helvetica"/>
          <w:kern w:val="1"/>
          <w:sz w:val="24"/>
          <w:szCs w:val="24"/>
        </w:rPr>
        <w:t xml:space="preserve"> “Date of publication” (a single year), “Date of publication (not standardised)” (e.g., a year in roman numerals, or a date which includes a month or day), and “Publication date range” (for serials). In other words, it includes the very basic information o</w:t>
      </w:r>
      <w:r>
        <w:rPr>
          <w:rFonts w:ascii="TimesNewRomanPSMT" w:hAnsi="TimesNewRomanPSMT" w:cs="Helvetica"/>
          <w:kern w:val="1"/>
          <w:sz w:val="24"/>
          <w:szCs w:val="24"/>
        </w:rPr>
        <w:t>f author, title, publisher, and year, in a complex structure which belies the apparent simplicity of these “basics.” Some of the ESTC records included in this corpus do not necessarily match my selection criteria (England, 1789-99), which is inevitably tru</w:t>
      </w:r>
      <w:r>
        <w:rPr>
          <w:rFonts w:ascii="TimesNewRomanPSMT" w:hAnsi="TimesNewRomanPSMT" w:cs="Helvetica"/>
          <w:kern w:val="1"/>
          <w:sz w:val="24"/>
          <w:szCs w:val="24"/>
        </w:rPr>
        <w:t>e of every corpus collected, and which I discuss in more detail in SECTION, Data Cleaning.</w:t>
      </w:r>
    </w:p>
    <w:p w14:paraId="4E5F7C6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03536B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t>
      </w:r>
      <w:bookmarkStart w:id="90" w:name="ESTC_ECCO"/>
      <w:r>
        <w:rPr>
          <w:rFonts w:ascii="TimesNewRomanPSMT" w:hAnsi="TimesNewRomanPSMT" w:cs="Helvetica"/>
          <w:kern w:val="1"/>
          <w:sz w:val="24"/>
          <w:szCs w:val="24"/>
        </w:rPr>
        <w:t>To</w:t>
      </w:r>
      <w:bookmarkEnd w:id="90"/>
      <w:r>
        <w:rPr>
          <w:rFonts w:ascii="TimesNewRomanPSMT" w:hAnsi="TimesNewRomanPSMT" w:cs="Helvetica"/>
          <w:kern w:val="1"/>
          <w:sz w:val="24"/>
          <w:szCs w:val="24"/>
        </w:rPr>
        <w:t xml:space="preserve"> use a metaphor, some people prefer to explore the world through books of photographs with occasional schematic maps. ESTC, on the other hand, provides the equiv</w:t>
      </w:r>
      <w:r>
        <w:rPr>
          <w:rFonts w:ascii="TimesNewRomanPSMT" w:hAnsi="TimesNewRomanPSMT" w:cs="Helvetica"/>
          <w:kern w:val="1"/>
          <w:sz w:val="24"/>
          <w:szCs w:val="24"/>
        </w:rPr>
        <w:t>alent of a detailed topographic map, but no pictures. Such technical tools have limited appeal, even to some specialists; but if you want to thoroughly learn the lie of the land, you will need one, and the more complete and accurate the better.” (Tabor)</w:t>
      </w:r>
    </w:p>
    <w:p w14:paraId="5480F18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1BDD8B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B2F280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B1EE4F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B42A47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6ABF65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t>
      </w:r>
      <w:bookmarkStart w:id="91" w:name="history"/>
      <w:r>
        <w:rPr>
          <w:rFonts w:ascii="TimesNewRomanPSMT" w:hAnsi="TimesNewRomanPSMT" w:cs="Helvetica"/>
          <w:kern w:val="1"/>
          <w:sz w:val="24"/>
          <w:szCs w:val="24"/>
        </w:rPr>
        <w:t>An</w:t>
      </w:r>
      <w:bookmarkEnd w:id="91"/>
      <w:r>
        <w:rPr>
          <w:rFonts w:ascii="TimesNewRomanPSMT" w:hAnsi="TimesNewRomanPSMT" w:cs="Helvetica"/>
          <w:kern w:val="1"/>
          <w:sz w:val="24"/>
          <w:szCs w:val="24"/>
        </w:rPr>
        <w:t xml:space="preserve"> increasingly common trend, I am sorry to report, is that more and more people do not want ESTC at all — they want ECCO or EEBO. The younger generation of scholars in particular, lured by full-text images and ransacking the Web for illustrations for </w:t>
      </w:r>
      <w:r>
        <w:rPr>
          <w:rFonts w:ascii="TimesNewRomanPSMT" w:hAnsi="TimesNewRomanPSMT" w:cs="Helvetica"/>
          <w:kern w:val="1"/>
          <w:sz w:val="24"/>
          <w:szCs w:val="24"/>
        </w:rPr>
        <w:t>their books and articles, are using these utilities as de facto bibliographic databases. They find that the stripped-down records and simplified indexes are good enough for their purposes. To a minority of them, the fact that other works, editions, and cop</w:t>
      </w:r>
      <w:r>
        <w:rPr>
          <w:rFonts w:ascii="TimesNewRomanPSMT" w:hAnsi="TimesNewRomanPSMT" w:cs="Helvetica"/>
          <w:kern w:val="1"/>
          <w:sz w:val="24"/>
          <w:szCs w:val="24"/>
        </w:rPr>
        <w:t>ies exist outside the Web is irrelevant, and perhaps even irritating.” (Tabor 368)</w:t>
      </w:r>
    </w:p>
    <w:p w14:paraId="3E165FB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B62CFE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92" w:name="contents-1"/>
      <w:r>
        <w:rPr>
          <w:rFonts w:ascii="TimesNewRomanPSMT" w:hAnsi="TimesNewRomanPSMT" w:cs="Helvetica"/>
          <w:kern w:val="1"/>
          <w:sz w:val="24"/>
          <w:szCs w:val="24"/>
        </w:rPr>
        <w:t>The</w:t>
      </w:r>
      <w:bookmarkEnd w:id="92"/>
      <w:r>
        <w:rPr>
          <w:rFonts w:ascii="TimesNewRomanPSMT" w:hAnsi="TimesNewRomanPSMT" w:cs="Helvetica"/>
          <w:kern w:val="1"/>
          <w:sz w:val="24"/>
          <w:szCs w:val="24"/>
        </w:rPr>
        <w:t xml:space="preserve"> collection seems to be less well-maintained now that the main creation activity has subsided. </w:t>
      </w:r>
      <w:r>
        <w:rPr>
          <w:rFonts w:ascii="TimesNewRomanPSMT" w:hAnsi="TimesNewRomanPSMT" w:cs="Helvetica"/>
          <w:kern w:val="1"/>
          <w:sz w:val="24"/>
          <w:szCs w:val="24"/>
          <w:highlight w:val="blue"/>
        </w:rPr>
        <w:t>(RESEARCH: since Gale acquired ECCO?)</w:t>
      </w:r>
      <w:r>
        <w:rPr>
          <w:rFonts w:ascii="TimesNewRomanPSMT" w:hAnsi="TimesNewRomanPSMT" w:cs="Helvetica"/>
          <w:kern w:val="1"/>
          <w:sz w:val="24"/>
          <w:szCs w:val="24"/>
        </w:rPr>
        <w:t xml:space="preserve"> The official TCP website provides li</w:t>
      </w:r>
      <w:r>
        <w:rPr>
          <w:rFonts w:ascii="TimesNewRomanPSMT" w:hAnsi="TimesNewRomanPSMT" w:cs="Helvetica"/>
          <w:kern w:val="1"/>
          <w:sz w:val="24"/>
          <w:szCs w:val="24"/>
        </w:rPr>
        <w:t>nks to many places where ECCO-TCP materials are said to be available, but most of these links are dead; Stephen H. Gregg’s unofficial blog post “Finding ECCO-TCP texts” is a much better guide to using these materials.</w:t>
      </w:r>
    </w:p>
    <w:p w14:paraId="18CF151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B688EC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t>
      </w:r>
      <w:bookmarkStart w:id="93" w:name="history-4"/>
      <w:r>
        <w:rPr>
          <w:rFonts w:ascii="TimesNewRomanPSMT" w:hAnsi="TimesNewRomanPSMT" w:cs="Helvetica"/>
          <w:kern w:val="1"/>
          <w:sz w:val="24"/>
          <w:szCs w:val="24"/>
        </w:rPr>
        <w:t>In</w:t>
      </w:r>
      <w:bookmarkEnd w:id="93"/>
      <w:r>
        <w:rPr>
          <w:rFonts w:ascii="TimesNewRomanPSMT" w:hAnsi="TimesNewRomanPSMT" w:cs="Helvetica"/>
          <w:kern w:val="1"/>
          <w:sz w:val="24"/>
          <w:szCs w:val="24"/>
        </w:rPr>
        <w:t xml:space="preserve"> partnership with Microsoft, the B</w:t>
      </w:r>
      <w:r>
        <w:rPr>
          <w:rFonts w:ascii="TimesNewRomanPSMT" w:hAnsi="TimesNewRomanPSMT" w:cs="Helvetica"/>
          <w:kern w:val="1"/>
          <w:sz w:val="24"/>
          <w:szCs w:val="24"/>
        </w:rPr>
        <w:t>ritish Library has digitised, and made freely available under Public Domain Mark, over 60,000 volumes (around 25 million pages) of out of copyright 18th &amp; 19th century texts.”</w:t>
      </w:r>
    </w:p>
    <w:p w14:paraId="553A8BC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21184E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Also in the category of smaller and specialized archives is Project Gutenberg. </w:t>
      </w:r>
      <w:r>
        <w:rPr>
          <w:rFonts w:ascii="TimesNewRomanPSMT" w:hAnsi="TimesNewRomanPSMT" w:cs="Helvetica"/>
          <w:kern w:val="1"/>
          <w:sz w:val="24"/>
          <w:szCs w:val="24"/>
        </w:rPr>
        <w:t>Project Gutenberg makes no claims to scholarly reliability but nonetheless underlies a not-significant amount of scholarly work</w:t>
      </w:r>
      <w:r>
        <w:rPr>
          <w:rFonts w:ascii="TimesNewRomanPSMT" w:hAnsi="TimesNewRomanPSMT" w:cs="Helvetica"/>
          <w:kern w:val="1"/>
          <w:sz w:val="24"/>
          <w:szCs w:val="24"/>
          <w:vertAlign w:val="superscript"/>
        </w:rPr>
        <w:footnoteReference w:id="26"/>
      </w:r>
      <w:r>
        <w:rPr>
          <w:rFonts w:ascii="TimesNewRomanPSMT" w:hAnsi="TimesNewRomanPSMT" w:cs="Helvetica"/>
          <w:kern w:val="1"/>
          <w:sz w:val="24"/>
          <w:szCs w:val="24"/>
        </w:rPr>
        <w:t xml:space="preserve"> — </w:t>
      </w:r>
      <w:bookmarkStart w:id="94" w:name="Gutenberg-1"/>
      <w:r>
        <w:rPr>
          <w:rFonts w:ascii="TimesNewRomanPSMT" w:hAnsi="TimesNewRomanPSMT" w:cs="Helvetica"/>
          <w:kern w:val="1"/>
          <w:sz w:val="24"/>
          <w:szCs w:val="24"/>
        </w:rPr>
        <w:t>its</w:t>
      </w:r>
      <w:bookmarkEnd w:id="94"/>
      <w:r>
        <w:rPr>
          <w:rFonts w:ascii="TimesNewRomanPSMT" w:hAnsi="TimesNewRomanPSMT" w:cs="Helvetica"/>
          <w:kern w:val="1"/>
          <w:sz w:val="24"/>
          <w:szCs w:val="24"/>
        </w:rPr>
        <w:t xml:space="preserve"> cultural capital as a resource lags far behind its use and utility. </w:t>
      </w:r>
      <w:r>
        <w:rPr>
          <w:rFonts w:ascii="TimesNewRomanPSMT" w:hAnsi="TimesNewRomanPSMT" w:cs="Helvetica"/>
          <w:kern w:val="1"/>
          <w:sz w:val="24"/>
          <w:szCs w:val="24"/>
        </w:rPr>
        <w:lastRenderedPageBreak/>
        <w:t>Project Gutenberg is easily conceived of as a haphaza</w:t>
      </w:r>
      <w:r>
        <w:rPr>
          <w:rFonts w:ascii="TimesNewRomanPSMT" w:hAnsi="TimesNewRomanPSMT" w:cs="Helvetica"/>
          <w:kern w:val="1"/>
          <w:sz w:val="24"/>
          <w:szCs w:val="24"/>
        </w:rPr>
        <w:t>rd, ‘unscholarly’ source for materials, but unlike Google Books, Project Gutenberg actually does have selection criteria. Project Gutenberg will only collect public domain works which contemporary audiences might be interested in reading for pleasure. It n</w:t>
      </w:r>
      <w:r>
        <w:rPr>
          <w:rFonts w:ascii="TimesNewRomanPSMT" w:hAnsi="TimesNewRomanPSMT" w:cs="Helvetica"/>
          <w:kern w:val="1"/>
          <w:sz w:val="24"/>
          <w:szCs w:val="24"/>
        </w:rPr>
        <w:t>arrows the field substantially to exclude works which have either ceased to be broadly interesting (as in the case of most forgotten fiction), or which were never particularly interesting (as in the case of almanacs and tax codes). Project Gutenberg includ</w:t>
      </w:r>
      <w:r>
        <w:rPr>
          <w:rFonts w:ascii="TimesNewRomanPSMT" w:hAnsi="TimesNewRomanPSMT" w:cs="Helvetica"/>
          <w:kern w:val="1"/>
          <w:sz w:val="24"/>
          <w:szCs w:val="24"/>
        </w:rPr>
        <w:t>es 57,796 texts: far more than specialized scholarly archives like the Early Novels Database or the Shelley-Godwin Archive, but nonetheless an order of magnitude fewer than its more-voracious potential competitors. And, like smaller specialized scholarly a</w:t>
      </w:r>
      <w:r>
        <w:rPr>
          <w:rFonts w:ascii="TimesNewRomanPSMT" w:hAnsi="TimesNewRomanPSMT" w:cs="Helvetica"/>
          <w:kern w:val="1"/>
          <w:sz w:val="24"/>
          <w:szCs w:val="24"/>
        </w:rPr>
        <w:t>rchives, Project Gutenberg has tailored its holdings to make it easy for readers to read, and quite difficult for its collection to be applied to any other use. By tailoring the structure of the archive itself to its specific materials, these collections a</w:t>
      </w:r>
      <w:r>
        <w:rPr>
          <w:rFonts w:ascii="TimesNewRomanPSMT" w:hAnsi="TimesNewRomanPSMT" w:cs="Helvetica"/>
          <w:kern w:val="1"/>
          <w:sz w:val="24"/>
          <w:szCs w:val="24"/>
        </w:rPr>
        <w:t xml:space="preserve">re able to thoughtfully achieve their aims — but they also make it correspondingly difficult for </w:t>
      </w:r>
      <w:commentRangeStart w:id="95"/>
      <w:r>
        <w:rPr>
          <w:rFonts w:ascii="TimesNewRomanPSMT" w:hAnsi="TimesNewRomanPSMT" w:cs="Helvetica"/>
          <w:kern w:val="1"/>
          <w:sz w:val="24"/>
          <w:szCs w:val="24"/>
        </w:rPr>
        <w:fldChar w:fldCharType="begin"/>
      </w:r>
      <w:r>
        <w:rPr>
          <w:rFonts w:ascii="TimesNewRomanPSMT" w:hAnsi="TimesNewRomanPSMT" w:cs="Helvetica"/>
          <w:kern w:val="1"/>
          <w:sz w:val="24"/>
          <w:szCs w:val="24"/>
        </w:rPr>
        <w:instrText>HYPERLINK "scrivcmt://7CD1CD01-B39E-44F3-A94D-78484DFFDDAB"</w:instrText>
      </w:r>
      <w:r>
        <w:rPr>
          <w:rFonts w:ascii="TimesNewRomanPSMT" w:hAnsi="TimesNewRomanPSMT" w:cs="Helvetica"/>
          <w:kern w:val="1"/>
          <w:sz w:val="24"/>
          <w:szCs w:val="24"/>
        </w:rPr>
        <w:fldChar w:fldCharType="separate"/>
      </w:r>
      <w:r>
        <w:rPr>
          <w:rFonts w:ascii="TimesNewRomanPSMT" w:hAnsi="TimesNewRomanPSMT" w:cs="Helvetica"/>
          <w:kern w:val="1"/>
          <w:sz w:val="24"/>
          <w:szCs w:val="24"/>
        </w:rPr>
        <w:t>users</w:t>
      </w:r>
      <w:r>
        <w:rPr>
          <w:rFonts w:ascii="TimesNewRomanPSMT" w:hAnsi="TimesNewRomanPSMT" w:cs="Helvetica"/>
          <w:kern w:val="1"/>
          <w:sz w:val="24"/>
          <w:szCs w:val="24"/>
        </w:rPr>
        <w:fldChar w:fldCharType="end"/>
      </w:r>
      <w:commentRangeEnd w:id="95"/>
      <w:r>
        <w:rPr>
          <w:rFonts w:ascii="TimesNewRomanPSMT" w:hAnsi="TimesNewRomanPSMT" w:cs="Helvetica"/>
          <w:kern w:val="1"/>
          <w:sz w:val="24"/>
          <w:szCs w:val="24"/>
        </w:rPr>
        <w:commentReference w:id="95"/>
      </w:r>
      <w:r>
        <w:rPr>
          <w:rFonts w:ascii="TimesNewRomanPSMT" w:hAnsi="TimesNewRomanPSMT" w:cs="Helvetica"/>
          <w:kern w:val="1"/>
          <w:sz w:val="24"/>
          <w:szCs w:val="24"/>
        </w:rPr>
        <w:t xml:space="preserve"> to achieve their own, different aims.</w:t>
      </w:r>
    </w:p>
    <w:p w14:paraId="35242E1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8090D9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96" w:name="Untitled_Section"/>
      <w:r>
        <w:rPr>
          <w:rFonts w:ascii="TimesNewRomanPSMT" w:hAnsi="TimesNewRomanPSMT" w:cs="Helvetica"/>
          <w:kern w:val="1"/>
          <w:sz w:val="24"/>
          <w:szCs w:val="24"/>
        </w:rPr>
        <w:t>The</w:t>
      </w:r>
      <w:bookmarkEnd w:id="96"/>
      <w:r>
        <w:rPr>
          <w:rFonts w:ascii="TimesNewRomanPSMT" w:hAnsi="TimesNewRomanPSMT" w:cs="Helvetica"/>
          <w:kern w:val="1"/>
          <w:sz w:val="24"/>
          <w:szCs w:val="24"/>
        </w:rPr>
        <w:t xml:space="preserve"> article ”Quantitative patterns of stylistic influence in the evolution of literature” uses Project Gutenberg — do mathematicians not know what a good source of literature is, or do they know better than us?</w:t>
      </w:r>
    </w:p>
    <w:p w14:paraId="1E5AF62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2A30F8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496F56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E51179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Cite Hammond’s book re: comparing modernists </w:t>
      </w:r>
      <w:r>
        <w:rPr>
          <w:rFonts w:ascii="TimesNewRomanPSMT" w:hAnsi="TimesNewRomanPSMT" w:cs="Helvetica"/>
          <w:kern w:val="1"/>
          <w:sz w:val="24"/>
          <w:szCs w:val="24"/>
        </w:rPr>
        <w:t>to bestsellers — he can’t always find bestsellers, it depends on whether bestsellers were enjoyed enough for someone to bother to type them up</w:t>
      </w:r>
    </w:p>
    <w:p w14:paraId="58036F1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6C8F69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97" w:name="Numbers_to_compare_to"/>
      <w:r>
        <w:rPr>
          <w:rFonts w:ascii="TimesNewRomanPSMT" w:hAnsi="TimesNewRomanPSMT" w:cs="Helvetica"/>
          <w:b/>
          <w:kern w:val="1"/>
          <w:sz w:val="24"/>
          <w:szCs w:val="24"/>
        </w:rPr>
        <w:t>Comedies</w:t>
      </w:r>
      <w:bookmarkEnd w:id="97"/>
      <w:r>
        <w:rPr>
          <w:rFonts w:ascii="TimesNewRomanPSMT" w:hAnsi="TimesNewRomanPSMT" w:cs="Helvetica"/>
          <w:b/>
          <w:kern w:val="1"/>
          <w:sz w:val="24"/>
          <w:szCs w:val="24"/>
        </w:rPr>
        <w:t xml:space="preserve"> vs tragedies performed</w:t>
      </w:r>
      <w:r>
        <w:rPr>
          <w:rFonts w:ascii="TimesNewRomanPSMT" w:hAnsi="TimesNewRomanPSMT" w:cs="Helvetica"/>
          <w:kern w:val="1"/>
          <w:sz w:val="24"/>
          <w:szCs w:val="24"/>
        </w:rPr>
        <w:t>: t</w:t>
      </w:r>
      <w:r>
        <w:rPr>
          <w:rFonts w:ascii="TimesNewRomanPSMT" w:hAnsi="TimesNewRomanPSMT" w:cs="Helvetica"/>
          <w:sz w:val="24"/>
          <w:szCs w:val="24"/>
        </w:rPr>
        <w:t>he ratio of comedies to tragedies performed was an astonishing 14 to 1 in Pari</w:t>
      </w:r>
      <w:r>
        <w:rPr>
          <w:rFonts w:ascii="TimesNewRomanPSMT" w:hAnsi="TimesNewRomanPSMT" w:cs="Helvetica"/>
          <w:sz w:val="24"/>
          <w:szCs w:val="24"/>
        </w:rPr>
        <w:t>s (</w:t>
      </w:r>
      <w:r>
        <w:rPr>
          <w:rFonts w:ascii="TimesNewRomanPSMT" w:hAnsi="TimesNewRomanPSMT" w:cs="Helvetica"/>
          <w:kern w:val="1"/>
          <w:sz w:val="24"/>
          <w:szCs w:val="24"/>
        </w:rPr>
        <w:t>Theatre, Opera, and Audience in Revolutionary Paris: Analysis and Repertory by Emmet Kennedy, Marie-Laurence Netter, James P. McGregor, and Mark V. Olsen)</w:t>
      </w:r>
    </w:p>
    <w:p w14:paraId="36A975D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E19C72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kern w:val="1"/>
          <w:sz w:val="24"/>
          <w:szCs w:val="24"/>
        </w:rPr>
      </w:pPr>
      <w:r>
        <w:rPr>
          <w:rFonts w:ascii="TimesNewRomanPSMT" w:hAnsi="TimesNewRomanPSMT" w:cs="Helvetica"/>
          <w:b/>
          <w:kern w:val="1"/>
          <w:sz w:val="24"/>
          <w:szCs w:val="24"/>
        </w:rPr>
        <w:t>Suarez numbers</w:t>
      </w:r>
    </w:p>
    <w:p w14:paraId="5DF97F5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kern w:val="1"/>
          <w:sz w:val="24"/>
          <w:szCs w:val="24"/>
        </w:rPr>
      </w:pPr>
    </w:p>
    <w:p w14:paraId="4797804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r>
        <w:rPr>
          <w:rFonts w:ascii="TimesNewRomanPSMT" w:hAnsi="TimesNewRomanPSMT" w:cs="Helvetica"/>
          <w:sz w:val="24"/>
          <w:szCs w:val="24"/>
        </w:rPr>
        <w:t>Some Statistics on the Number of Surviving Printed Titles for Great Britain and D</w:t>
      </w:r>
      <w:r>
        <w:rPr>
          <w:rFonts w:ascii="TimesNewRomanPSMT" w:hAnsi="TimesNewRomanPSMT" w:cs="Helvetica"/>
          <w:sz w:val="24"/>
          <w:szCs w:val="24"/>
        </w:rPr>
        <w:t>ependencies from the Beginnings of Print in England to the year 1800, by Alain Veylit.</w:t>
      </w:r>
      <w:r>
        <w:rPr>
          <w:rFonts w:ascii="TimesNewRomanPSMT" w:hAnsi="TimesNewRomanPSMT" w:cs="Helvetica"/>
          <w:sz w:val="24"/>
          <w:szCs w:val="24"/>
          <w:highlight w:val="white"/>
        </w:rPr>
        <w:t> </w:t>
      </w:r>
    </w:p>
    <w:p w14:paraId="1A2102C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7F755899" w14:textId="77777777" w:rsidR="002F0BEE" w:rsidRDefault="00B67DD8">
      <w:pPr>
        <w:numPr>
          <w:ilvl w:val="0"/>
          <w:numId w:val="2"/>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bookmarkStart w:id="98" w:name="men_vs_women_vs_unsigned"/>
      <w:r>
        <w:rPr>
          <w:rFonts w:ascii="TimesNewRomanPSMT" w:hAnsi="TimesNewRomanPSMT" w:cs="Helvetica"/>
          <w:kern w:val="1"/>
          <w:sz w:val="24"/>
          <w:szCs w:val="24"/>
        </w:rPr>
        <w:t>Can</w:t>
      </w:r>
      <w:bookmarkEnd w:id="98"/>
      <w:r>
        <w:rPr>
          <w:rFonts w:ascii="TimesNewRomanPSMT" w:hAnsi="TimesNewRomanPSMT" w:cs="Helvetica"/>
          <w:kern w:val="1"/>
          <w:sz w:val="24"/>
          <w:szCs w:val="24"/>
        </w:rPr>
        <w:t xml:space="preserve"> I identify male/female ratios?</w:t>
      </w:r>
    </w:p>
    <w:p w14:paraId="53D4D586" w14:textId="77777777" w:rsidR="002F0BEE" w:rsidRDefault="002F0BEE">
      <w:pPr>
        <w:numPr>
          <w:ilvl w:val="0"/>
          <w:numId w:val="2"/>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27105DE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99" w:name="sampling"/>
      <w:r>
        <w:rPr>
          <w:rFonts w:ascii="TimesNewRomanPSMT" w:hAnsi="TimesNewRomanPSMT" w:cs="Helvetica"/>
          <w:kern w:val="1"/>
          <w:sz w:val="24"/>
          <w:szCs w:val="24"/>
        </w:rPr>
        <w:t>Other</w:t>
      </w:r>
      <w:bookmarkEnd w:id="99"/>
      <w:r>
        <w:rPr>
          <w:rFonts w:ascii="TimesNewRomanPSMT" w:hAnsi="TimesNewRomanPSMT" w:cs="Helvetica"/>
          <w:kern w:val="1"/>
          <w:sz w:val="24"/>
          <w:szCs w:val="24"/>
        </w:rPr>
        <w:t xml:space="preserve"> work which has used the methodology of sampling includes </w:t>
      </w:r>
    </w:p>
    <w:p w14:paraId="39EF5A2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E62984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779D82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865442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Suarez: “Lacking the resources to conduct a detailed analysis of</w:t>
      </w:r>
      <w:r>
        <w:rPr>
          <w:rFonts w:ascii="TimesNewRomanPSMT" w:hAnsi="TimesNewRomanPSMT" w:cs="Helvetica"/>
          <w:kern w:val="1"/>
          <w:sz w:val="24"/>
          <w:szCs w:val="24"/>
        </w:rPr>
        <w:t xml:space="preserve"> the entire ESTC from 1701 to 1800, I have resorted to sampling. Electing to examine all eighteenth-century records that appear in years ending in three – 1703, 1713, 1723 and so on – I have sought to avoid a number of cohort effects, most especially the c</w:t>
      </w:r>
      <w:r>
        <w:rPr>
          <w:rFonts w:ascii="TimesNewRomanPSMT" w:hAnsi="TimesNewRomanPSMT" w:cs="Helvetica"/>
          <w:kern w:val="1"/>
          <w:sz w:val="24"/>
          <w:szCs w:val="24"/>
        </w:rPr>
        <w:t>umulation of indeterminate records into years ending in ‘0’ or ‘1’ and, to a lesser degree, ‘5’.” (41)</w:t>
      </w:r>
    </w:p>
    <w:p w14:paraId="1FF36D2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8AFF9E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0" w:name="methods-1"/>
      <w:r>
        <w:rPr>
          <w:rFonts w:ascii="TimesNewRomanPSMT" w:hAnsi="TimesNewRomanPSMT" w:cs="Helvetica"/>
          <w:kern w:val="1"/>
          <w:sz w:val="24"/>
          <w:szCs w:val="24"/>
        </w:rPr>
        <w:t>Before</w:t>
      </w:r>
      <w:bookmarkEnd w:id="100"/>
      <w:r>
        <w:rPr>
          <w:rFonts w:ascii="TimesNewRomanPSMT" w:hAnsi="TimesNewRomanPSMT" w:cs="Helvetica"/>
          <w:kern w:val="1"/>
          <w:sz w:val="24"/>
          <w:szCs w:val="24"/>
        </w:rPr>
        <w:t xml:space="preserve"> I develop custom code, I establish some baselines by taking a random sample of 100 </w:t>
      </w:r>
      <w:r>
        <w:rPr>
          <w:rFonts w:ascii="TimesNewRomanPSMT" w:hAnsi="TimesNewRomanPSMT" w:cs="Helvetica"/>
          <w:kern w:val="1"/>
          <w:sz w:val="24"/>
          <w:szCs w:val="24"/>
        </w:rPr>
        <w:lastRenderedPageBreak/>
        <w:t>titles from each of my key corpora. I manually identify the or</w:t>
      </w:r>
      <w:r>
        <w:rPr>
          <w:rFonts w:ascii="TimesNewRomanPSMT" w:hAnsi="TimesNewRomanPSMT" w:cs="Helvetica"/>
          <w:kern w:val="1"/>
          <w:sz w:val="24"/>
          <w:szCs w:val="24"/>
        </w:rPr>
        <w:t>iginal publication date of each title, and whether that title appears reprinted elsewhere in the corpus.</w:t>
      </w:r>
    </w:p>
    <w:p w14:paraId="72126F8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84E584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09C7BF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E4CC87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As I expand to algorithmically examine the full corpora, I start with the simplest/dumbest way to identify a reprint: looking on its title page for </w:t>
      </w:r>
      <w:r>
        <w:rPr>
          <w:rFonts w:ascii="TimesNewRomanPSMT" w:hAnsi="TimesNewRomanPSMT" w:cs="Helvetica"/>
          <w:kern w:val="1"/>
          <w:sz w:val="24"/>
          <w:szCs w:val="24"/>
        </w:rPr>
        <w:t>the words “Xth edition.”</w:t>
      </w:r>
    </w:p>
    <w:p w14:paraId="32B2476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C693FA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If this method achieves an accuracy of 85%+ (as determined by comparison to my random sample) I won’t bother with trying to fuzzy-match titles?</w:t>
      </w:r>
    </w:p>
    <w:p w14:paraId="6CBB989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3DA7E0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Then next step is to identify which of these reprinted works are multi-reprints of </w:t>
      </w:r>
      <w:r>
        <w:rPr>
          <w:rFonts w:ascii="TimesNewRomanPSMT" w:hAnsi="TimesNewRomanPSMT" w:cs="Helvetica"/>
          <w:kern w:val="1"/>
          <w:sz w:val="24"/>
          <w:szCs w:val="24"/>
        </w:rPr>
        <w:t>the same work, which will require some kind of fuzzy title matching… unless it’s small enough for me to do manually (unlikely)</w:t>
      </w:r>
    </w:p>
    <w:p w14:paraId="2022896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7FEBFD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1" w:name="taking_samples"/>
      <w:r>
        <w:rPr>
          <w:rFonts w:ascii="TimesNewRomanPSMT" w:hAnsi="TimesNewRomanPSMT" w:cs="Helvetica"/>
          <w:kern w:val="1"/>
          <w:sz w:val="24"/>
          <w:szCs w:val="24"/>
        </w:rPr>
        <w:t>First</w:t>
      </w:r>
      <w:bookmarkEnd w:id="101"/>
      <w:r>
        <w:rPr>
          <w:rFonts w:ascii="TimesNewRomanPSMT" w:hAnsi="TimesNewRomanPSMT" w:cs="Helvetica"/>
          <w:kern w:val="1"/>
          <w:sz w:val="24"/>
          <w:szCs w:val="24"/>
        </w:rPr>
        <w:t>, I make sure the data is “clean” and comparable to all the others:</w:t>
      </w:r>
    </w:p>
    <w:p w14:paraId="3312592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1F2C99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Jan 1 1789 to Dec 31 1799</w:t>
      </w:r>
    </w:p>
    <w:p w14:paraId="3A2B937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4C4591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ENGLAND ONLY, no Irelan</w:t>
      </w:r>
      <w:r>
        <w:rPr>
          <w:rFonts w:ascii="TimesNewRomanPSMT" w:hAnsi="TimesNewRomanPSMT" w:cs="Helvetica"/>
          <w:kern w:val="1"/>
          <w:sz w:val="24"/>
          <w:szCs w:val="24"/>
        </w:rPr>
        <w:t>d or Scotland</w:t>
      </w:r>
    </w:p>
    <w:p w14:paraId="6B9B085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59CFAC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With ECCO, make sure I don’t have duplicate entries</w:t>
      </w:r>
    </w:p>
    <w:p w14:paraId="624C9AA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FD5B8A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519E38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D3A1AA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 get a count of how many titles are in the corpus.</w:t>
      </w:r>
    </w:p>
    <w:p w14:paraId="791DD22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8153A8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17324C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957016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I use </w:t>
      </w:r>
      <w:hyperlink r:id="rId11" w:history="1">
        <w:r>
          <w:rPr>
            <w:rFonts w:ascii="TimesNewRomanPSMT" w:hAnsi="TimesNewRomanPSMT" w:cs="Helvetica"/>
            <w:color w:val="0000FF"/>
            <w:kern w:val="1"/>
            <w:sz w:val="24"/>
            <w:szCs w:val="24"/>
            <w:u w:val="single"/>
          </w:rPr>
          <w:t>random.org</w:t>
        </w:r>
      </w:hyperlink>
      <w:r>
        <w:rPr>
          <w:rFonts w:ascii="TimesNewRomanPSMT" w:hAnsi="TimesNewRomanPSMT" w:cs="Helvetica"/>
          <w:kern w:val="1"/>
          <w:sz w:val="24"/>
          <w:szCs w:val="24"/>
        </w:rPr>
        <w:t xml:space="preserve"> to get 100 randomly-generated numbers. I use the “sequence” generator, not the “integer” generator.</w:t>
      </w:r>
    </w:p>
    <w:p w14:paraId="09DD596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BBAC85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2" w:name="sample_reprints"/>
      <w:r>
        <w:rPr>
          <w:rFonts w:ascii="TimesNewRomanPSMT" w:hAnsi="TimesNewRomanPSMT" w:cs="Helvetica"/>
          <w:kern w:val="1"/>
          <w:sz w:val="24"/>
          <w:szCs w:val="24"/>
        </w:rPr>
        <w:t>Compare</w:t>
      </w:r>
      <w:bookmarkEnd w:id="102"/>
      <w:r>
        <w:rPr>
          <w:rFonts w:ascii="TimesNewRomanPSMT" w:hAnsi="TimesNewRomanPSMT" w:cs="Helvetica"/>
          <w:kern w:val="1"/>
          <w:sz w:val="24"/>
          <w:szCs w:val="24"/>
        </w:rPr>
        <w:t xml:space="preserve"> most-reprinted texts overall to inclusions in smaller archives</w:t>
      </w:r>
    </w:p>
    <w:p w14:paraId="17A46CE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9F19AD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4CE6FF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EAB321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ESTC</w:t>
      </w:r>
    </w:p>
    <w:p w14:paraId="68ADC63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D9A23B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ECCO</w:t>
      </w:r>
    </w:p>
    <w:p w14:paraId="4D59075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B7C333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ECCO-TCP</w:t>
      </w:r>
    </w:p>
    <w:p w14:paraId="16C5497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9A0A34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2A4284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EAA8EC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HathiTrust</w:t>
      </w:r>
    </w:p>
    <w:p w14:paraId="30333CD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8B286F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lastRenderedPageBreak/>
        <w:t>ProQuest</w:t>
      </w:r>
    </w:p>
    <w:p w14:paraId="33F13AD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86AA33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BL 19thC</w:t>
      </w:r>
    </w:p>
    <w:p w14:paraId="3E046AC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A80CFB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AADC2F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71DB156"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END</w:t>
      </w:r>
    </w:p>
    <w:p w14:paraId="1928F2C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2F6A18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WWO+Chawton combo</w:t>
      </w:r>
    </w:p>
    <w:p w14:paraId="5A9F545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D7466F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59E591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6CC6E8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Gutenberg</w:t>
      </w:r>
    </w:p>
    <w:p w14:paraId="6BB9A44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4BDF690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Google Books</w:t>
      </w:r>
    </w:p>
    <w:p w14:paraId="54CDA89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0C930F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Internet Archive</w:t>
      </w:r>
    </w:p>
    <w:p w14:paraId="7167A56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0424DF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3" w:name="sample_print_runs"/>
      <w:r>
        <w:rPr>
          <w:rFonts w:ascii="TimesNewRomanPSMT" w:hAnsi="TimesNewRomanPSMT" w:cs="Helvetica"/>
          <w:kern w:val="1"/>
          <w:sz w:val="24"/>
          <w:szCs w:val="24"/>
        </w:rPr>
        <w:t>Take</w:t>
      </w:r>
      <w:bookmarkEnd w:id="103"/>
      <w:r>
        <w:rPr>
          <w:rFonts w:ascii="TimesNewRomanPSMT" w:hAnsi="TimesNewRomanPSMT" w:cs="Helvetica"/>
          <w:kern w:val="1"/>
          <w:sz w:val="24"/>
          <w:szCs w:val="24"/>
        </w:rPr>
        <w:t xml:space="preserve"> a random sample for which I attempt to locate size of print run</w:t>
      </w:r>
    </w:p>
    <w:p w14:paraId="7AB6EBC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681123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0A4431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8AF6A6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 xml:space="preserve">Radcliffe doesn’t need many editions because her print runs started out large — take a </w:t>
      </w:r>
      <w:r>
        <w:rPr>
          <w:rFonts w:ascii="TimesNewRomanPSMT" w:hAnsi="TimesNewRomanPSMT" w:cs="Helvetica"/>
          <w:kern w:val="1"/>
          <w:sz w:val="24"/>
          <w:szCs w:val="24"/>
        </w:rPr>
        <w:lastRenderedPageBreak/>
        <w:t>random sample and see if I can find print runs for</w:t>
      </w:r>
      <w:r>
        <w:rPr>
          <w:rFonts w:ascii="TimesNewRomanPSMT" w:hAnsi="TimesNewRomanPSMT" w:cs="Helvetica"/>
          <w:kern w:val="1"/>
          <w:sz w:val="24"/>
          <w:szCs w:val="24"/>
        </w:rPr>
        <w:t xml:space="preserve"> the works</w:t>
      </w:r>
    </w:p>
    <w:p w14:paraId="6C92CEF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71A746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Compare the popularity order produced by raw edition count to the one normalized by print run — what’s the error rate?</w:t>
      </w:r>
    </w:p>
    <w:p w14:paraId="2CF086B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26DA2A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306B28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2FB72D5"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Ask Tom how to find these numbers (it’s not in databases, but I can read a paper book! — This is one of the things that ma</w:t>
      </w:r>
      <w:r>
        <w:rPr>
          <w:rFonts w:ascii="TimesNewRomanPSMT" w:hAnsi="TimesNewRomanPSMT" w:cs="Helvetica"/>
          <w:kern w:val="1"/>
          <w:sz w:val="24"/>
          <w:szCs w:val="24"/>
        </w:rPr>
        <w:t>kes my methodology not 100% DH)</w:t>
      </w:r>
    </w:p>
    <w:p w14:paraId="5371190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34DA6F4C"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4" w:name="whats_normal"/>
      <w:r>
        <w:rPr>
          <w:rFonts w:ascii="TimesNewRomanPSMT" w:hAnsi="TimesNewRomanPSMT" w:cs="Helvetica"/>
          <w:kern w:val="1"/>
          <w:sz w:val="24"/>
          <w:szCs w:val="24"/>
        </w:rPr>
        <w:t>Computationally</w:t>
      </w:r>
      <w:bookmarkEnd w:id="104"/>
      <w:r>
        <w:rPr>
          <w:rFonts w:ascii="TimesNewRomanPSMT" w:hAnsi="TimesNewRomanPSMT" w:cs="Helvetica"/>
          <w:kern w:val="1"/>
          <w:sz w:val="24"/>
          <w:szCs w:val="24"/>
        </w:rPr>
        <w:t xml:space="preserve"> identify reprints in ECCO</w:t>
      </w:r>
    </w:p>
    <w:p w14:paraId="3AEC883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F322BA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Come up with a number that would be a "lot" of reprints vs "not a lot" (to gauge popularity generally)</w:t>
      </w:r>
    </w:p>
    <w:p w14:paraId="62C25E3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55A46F8A"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r>
        <w:rPr>
          <w:rFonts w:ascii="TimesNewRomanPSMT" w:hAnsi="TimesNewRomanPSMT" w:cs="Helvetica"/>
          <w:kern w:val="1"/>
          <w:sz w:val="24"/>
          <w:szCs w:val="24"/>
        </w:rPr>
        <w:t>How old were books, usually? (i.e., how long ago was their first edition)</w:t>
      </w:r>
    </w:p>
    <w:p w14:paraId="2057F6F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9AB63C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5" w:name="close_read_Paine_vs_WW_vs_Blak"/>
      <w:r>
        <w:rPr>
          <w:rFonts w:ascii="TimesNewRomanPSMT" w:hAnsi="TimesNewRomanPSMT" w:cs="Helvetica"/>
          <w:kern w:val="1"/>
          <w:sz w:val="24"/>
          <w:szCs w:val="24"/>
        </w:rPr>
        <w:t>P</w:t>
      </w:r>
      <w:r>
        <w:rPr>
          <w:rFonts w:ascii="TimesNewRomanPSMT" w:hAnsi="TimesNewRomanPSMT" w:cs="Helvetica"/>
          <w:kern w:val="1"/>
          <w:sz w:val="24"/>
          <w:szCs w:val="24"/>
        </w:rPr>
        <w:t>aine</w:t>
      </w:r>
      <w:bookmarkEnd w:id="105"/>
      <w:r>
        <w:rPr>
          <w:rFonts w:ascii="TimesNewRomanPSMT" w:hAnsi="TimesNewRomanPSMT" w:cs="Helvetica"/>
          <w:kern w:val="1"/>
          <w:sz w:val="24"/>
          <w:szCs w:val="24"/>
        </w:rPr>
        <w:t xml:space="preserve"> vs Wordsworth vs Blake? (Vs CSmith and Radcliffe?) How to accord importance to these writers is at the heart of much of this project.</w:t>
      </w:r>
    </w:p>
    <w:p w14:paraId="6F1F027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13AF364D"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6" w:name="close_read_something_old"/>
      <w:r>
        <w:rPr>
          <w:rFonts w:ascii="TimesNewRomanPSMT" w:hAnsi="TimesNewRomanPSMT" w:cs="Helvetica"/>
          <w:kern w:val="1"/>
          <w:sz w:val="24"/>
          <w:szCs w:val="24"/>
        </w:rPr>
        <w:t>Any</w:t>
      </w:r>
      <w:bookmarkEnd w:id="106"/>
      <w:r>
        <w:rPr>
          <w:rFonts w:ascii="TimesNewRomanPSMT" w:hAnsi="TimesNewRomanPSMT" w:cs="Helvetica"/>
          <w:kern w:val="1"/>
          <w:sz w:val="24"/>
          <w:szCs w:val="24"/>
        </w:rPr>
        <w:t xml:space="preserve"> cool “1790s lit” not written in the 1790s? Shakespeare? Goldsmith?</w:t>
      </w:r>
    </w:p>
    <w:p w14:paraId="43C2E72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72A084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7" w:name="methods-2"/>
      <w:r>
        <w:rPr>
          <w:rFonts w:ascii="TimesNewRomanPSMT" w:hAnsi="TimesNewRomanPSMT" w:cs="Helvetica"/>
          <w:kern w:val="1"/>
          <w:sz w:val="24"/>
          <w:szCs w:val="24"/>
        </w:rPr>
        <w:t>Develop</w:t>
      </w:r>
      <w:bookmarkEnd w:id="107"/>
      <w:r>
        <w:rPr>
          <w:rFonts w:ascii="TimesNewRomanPSMT" w:hAnsi="TimesNewRomanPSMT" w:cs="Helvetica"/>
          <w:kern w:val="1"/>
          <w:sz w:val="24"/>
          <w:szCs w:val="24"/>
        </w:rPr>
        <w:t xml:space="preserve"> some kind of ontology of topic that </w:t>
      </w:r>
      <w:r>
        <w:rPr>
          <w:rFonts w:ascii="TimesNewRomanPSMT" w:hAnsi="TimesNewRomanPSMT" w:cs="Helvetica"/>
          <w:kern w:val="1"/>
          <w:sz w:val="24"/>
          <w:szCs w:val="24"/>
        </w:rPr>
        <w:t xml:space="preserve">encompasses "everything" (sticking to 18thC </w:t>
      </w:r>
      <w:r>
        <w:rPr>
          <w:rFonts w:ascii="TimesNewRomanPSMT" w:hAnsi="TimesNewRomanPSMT" w:cs="Helvetica"/>
          <w:kern w:val="1"/>
          <w:sz w:val="24"/>
          <w:szCs w:val="24"/>
        </w:rPr>
        <w:lastRenderedPageBreak/>
        <w:t>frameworks of, e.g., history vs romance)</w:t>
      </w:r>
    </w:p>
    <w:p w14:paraId="128C481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AB73C7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8" w:name="topic_modelling"/>
      <w:r>
        <w:rPr>
          <w:rFonts w:ascii="TimesNewRomanPSMT" w:hAnsi="TimesNewRomanPSMT" w:cs="Helvetica"/>
          <w:kern w:val="1"/>
          <w:sz w:val="24"/>
          <w:szCs w:val="24"/>
        </w:rPr>
        <w:t>I</w:t>
      </w:r>
      <w:bookmarkEnd w:id="108"/>
      <w:r>
        <w:rPr>
          <w:rFonts w:ascii="TimesNewRomanPSMT" w:hAnsi="TimesNewRomanPSMT" w:cs="Helvetica"/>
          <w:kern w:val="1"/>
          <w:sz w:val="24"/>
          <w:szCs w:val="24"/>
        </w:rPr>
        <w:t xml:space="preserve"> turn to topic modelling as a way to move “laterally”: if I can only query attributes which every archive records, I can’t query anything at all.</w:t>
      </w:r>
    </w:p>
    <w:p w14:paraId="5297FA2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2B6457E0"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09" w:name="sample_truthful_titles"/>
      <w:r>
        <w:rPr>
          <w:rFonts w:ascii="TimesNewRomanPSMT" w:hAnsi="TimesNewRomanPSMT" w:cs="Helvetica"/>
          <w:kern w:val="1"/>
          <w:sz w:val="24"/>
          <w:szCs w:val="24"/>
        </w:rPr>
        <w:t>Take</w:t>
      </w:r>
      <w:bookmarkEnd w:id="109"/>
      <w:r>
        <w:rPr>
          <w:rFonts w:ascii="TimesNewRomanPSMT" w:hAnsi="TimesNewRomanPSMT" w:cs="Helvetica"/>
          <w:kern w:val="1"/>
          <w:sz w:val="24"/>
          <w:szCs w:val="24"/>
        </w:rPr>
        <w:t xml:space="preserve"> a random sample t</w:t>
      </w:r>
      <w:r>
        <w:rPr>
          <w:rFonts w:ascii="TimesNewRomanPSMT" w:hAnsi="TimesNewRomanPSMT" w:cs="Helvetica"/>
          <w:kern w:val="1"/>
          <w:sz w:val="24"/>
          <w:szCs w:val="24"/>
        </w:rPr>
        <w:t>o see how accurate titles are to contents overall</w:t>
      </w:r>
    </w:p>
    <w:p w14:paraId="438BFE9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CB20AD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10" w:name="compare_archives"/>
      <w:r>
        <w:rPr>
          <w:rFonts w:ascii="TimesNewRomanPSMT" w:hAnsi="TimesNewRomanPSMT" w:cs="Helvetica"/>
          <w:kern w:val="1"/>
          <w:sz w:val="24"/>
          <w:szCs w:val="24"/>
        </w:rPr>
        <w:t>Count</w:t>
      </w:r>
      <w:bookmarkEnd w:id="110"/>
      <w:r>
        <w:rPr>
          <w:rFonts w:ascii="TimesNewRomanPSMT" w:hAnsi="TimesNewRomanPSMT" w:cs="Helvetica"/>
          <w:kern w:val="1"/>
          <w:sz w:val="24"/>
          <w:szCs w:val="24"/>
        </w:rPr>
        <w:t xml:space="preserve"> how many works of each topic appear in each archive -- what kinds of content has been excluded in each, esp. in ECCO-TCP</w:t>
      </w:r>
    </w:p>
    <w:p w14:paraId="0556D83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6FB15E1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11" w:name="whats_normal-1"/>
      <w:r>
        <w:rPr>
          <w:rFonts w:ascii="TimesNewRomanPSMT" w:hAnsi="TimesNewRomanPSMT" w:cs="Helvetica"/>
          <w:kern w:val="1"/>
          <w:sz w:val="24"/>
          <w:szCs w:val="24"/>
        </w:rPr>
        <w:t>Make</w:t>
      </w:r>
      <w:bookmarkEnd w:id="111"/>
      <w:r>
        <w:rPr>
          <w:rFonts w:ascii="TimesNewRomanPSMT" w:hAnsi="TimesNewRomanPSMT" w:cs="Helvetica"/>
          <w:kern w:val="1"/>
          <w:sz w:val="24"/>
          <w:szCs w:val="24"/>
        </w:rPr>
        <w:t xml:space="preserve"> my own guesses as to what the print landscape was like, and what this means (close-read something interesting that emerges, perhaps works that misrepresent their contents)</w:t>
      </w:r>
    </w:p>
    <w:p w14:paraId="027292D6"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0077DB8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bookmarkStart w:id="112" w:name="compare_archives-1"/>
      <w:r>
        <w:rPr>
          <w:rFonts w:ascii="TimesNewRomanPSMT" w:hAnsi="TimesNewRomanPSMT" w:cs="Helvetica"/>
          <w:kern w:val="1"/>
          <w:sz w:val="24"/>
          <w:szCs w:val="24"/>
        </w:rPr>
        <w:t xml:space="preserve"> Which</w:t>
      </w:r>
      <w:bookmarkEnd w:id="112"/>
      <w:r>
        <w:rPr>
          <w:rFonts w:ascii="TimesNewRomanPSMT" w:hAnsi="TimesNewRomanPSMT" w:cs="Helvetica"/>
          <w:kern w:val="1"/>
          <w:sz w:val="24"/>
          <w:szCs w:val="24"/>
        </w:rPr>
        <w:t xml:space="preserve"> of these archives are the most "reliable", and which the most "distorted"? </w:t>
      </w:r>
      <w:r>
        <w:rPr>
          <w:rFonts w:ascii="TimesNewRomanPSMT" w:hAnsi="TimesNewRomanPSMT" w:cs="Helvetica"/>
          <w:kern w:val="1"/>
          <w:sz w:val="24"/>
          <w:szCs w:val="24"/>
        </w:rPr>
        <w:t>(obvs interrogate this framework)</w:t>
      </w:r>
    </w:p>
    <w:p w14:paraId="112CD3D0"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rPr>
      </w:pPr>
    </w:p>
    <w:p w14:paraId="7FC684E8" w14:textId="77777777" w:rsidR="002F0BEE" w:rsidRDefault="00B67DD8">
      <w:pPr>
        <w:numPr>
          <w:ilvl w:val="0"/>
          <w:numId w:val="3"/>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kern w:val="1"/>
          <w:sz w:val="24"/>
          <w:szCs w:val="24"/>
        </w:rPr>
        <w:t xml:space="preserve">What’s </w:t>
      </w:r>
      <w:r>
        <w:rPr>
          <w:rFonts w:ascii="TimesNewRomanPSMT" w:hAnsi="TimesNewRomanPSMT" w:cs="Helvetica"/>
          <w:i/>
          <w:kern w:val="1"/>
          <w:sz w:val="24"/>
          <w:szCs w:val="24"/>
        </w:rPr>
        <w:t>in</w:t>
      </w:r>
      <w:r>
        <w:rPr>
          <w:rFonts w:ascii="TimesNewRomanPSMT" w:hAnsi="TimesNewRomanPSMT" w:cs="Helvetica"/>
          <w:kern w:val="1"/>
          <w:sz w:val="24"/>
          <w:szCs w:val="24"/>
        </w:rPr>
        <w:t xml:space="preserve"> all these, anyway?</w:t>
      </w:r>
    </w:p>
    <w:p w14:paraId="7DE5A7C1" w14:textId="77777777" w:rsidR="002F0BEE" w:rsidRDefault="002F0BEE">
      <w:pPr>
        <w:numPr>
          <w:ilvl w:val="0"/>
          <w:numId w:val="3"/>
        </w:numPr>
        <w:tabs>
          <w:tab w:val="left" w:pos="220"/>
          <w:tab w:val="left" w:pos="720"/>
          <w:tab w:val="left" w:pos="108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6E6183AF" w14:textId="77777777" w:rsidR="002F0BEE" w:rsidRDefault="00B67DD8">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kern w:val="1"/>
          <w:sz w:val="24"/>
          <w:szCs w:val="24"/>
        </w:rPr>
        <w:t>What does ECCO-TCP leave out compared to ECCO? Compared to ESTC? (Can I come up with adjustment factors?)</w:t>
      </w:r>
    </w:p>
    <w:p w14:paraId="2E05B20F" w14:textId="77777777" w:rsidR="002F0BEE" w:rsidRDefault="002F0BEE">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2B8CA911" w14:textId="77777777" w:rsidR="002F0BEE" w:rsidRDefault="00B67DD8">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r>
        <w:rPr>
          <w:rFonts w:ascii="TimesNewRomanPSMT" w:hAnsi="TimesNewRomanPSMT" w:cs="Helvetica"/>
          <w:kern w:val="1"/>
          <w:sz w:val="24"/>
          <w:szCs w:val="24"/>
        </w:rPr>
        <w:t>How do digital vs physical holdings compare?</w:t>
      </w:r>
    </w:p>
    <w:p w14:paraId="4E3EACD1" w14:textId="77777777" w:rsidR="002F0BEE" w:rsidRDefault="002F0BEE">
      <w:pPr>
        <w:numPr>
          <w:ilvl w:val="1"/>
          <w:numId w:val="3"/>
        </w:numPr>
        <w:tabs>
          <w:tab w:val="left" w:pos="940"/>
          <w:tab w:val="left" w:pos="1440"/>
          <w:tab w:val="left" w:pos="1800"/>
          <w:tab w:val="left" w:pos="2160"/>
          <w:tab w:val="left" w:pos="2880"/>
          <w:tab w:val="left" w:pos="3600"/>
          <w:tab w:val="left" w:pos="4320"/>
        </w:tabs>
        <w:spacing w:line="480" w:lineRule="auto"/>
        <w:ind w:hanging="500"/>
        <w:rPr>
          <w:rFonts w:ascii="TimesNewRomanPSMT" w:hAnsi="TimesNewRomanPSMT" w:cs="Helvetica"/>
          <w:kern w:val="1"/>
          <w:sz w:val="24"/>
          <w:szCs w:val="24"/>
        </w:rPr>
      </w:pPr>
    </w:p>
    <w:p w14:paraId="5578BE3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val="single" w:color="0000FF"/>
        </w:rPr>
      </w:pPr>
      <w:hyperlink r:id="rId12" w:history="1">
        <w:bookmarkStart w:id="113" w:name="try_NVIVO"/>
        <w:r>
          <w:rPr>
            <w:rFonts w:ascii="TimesNewRomanPSMT" w:hAnsi="TimesNewRomanPSMT" w:cs="Helvetica"/>
            <w:color w:val="0000FF"/>
            <w:sz w:val="24"/>
            <w:szCs w:val="24"/>
            <w:u w:val="single"/>
          </w:rPr>
          <w:t>https</w:t>
        </w:r>
        <w:bookmarkEnd w:id="113"/>
        <w:r>
          <w:rPr>
            <w:rFonts w:ascii="TimesNewRomanPSMT" w:hAnsi="TimesNewRomanPSMT" w:cs="Helvetica"/>
            <w:color w:val="0000FF"/>
            <w:sz w:val="24"/>
            <w:szCs w:val="24"/>
            <w:u w:val="single"/>
          </w:rPr>
          <w:t>://www.qsrinternational.com/nvivo/home</w:t>
        </w:r>
      </w:hyperlink>
    </w:p>
    <w:p w14:paraId="1427351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val="single" w:color="0000FF"/>
        </w:rPr>
      </w:pPr>
    </w:p>
    <w:p w14:paraId="3F2C10F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r>
        <w:rPr>
          <w:rFonts w:ascii="TimesNewRomanPSMT" w:hAnsi="TimesNewRomanPSMT" w:cs="Helvetica"/>
          <w:sz w:val="24"/>
          <w:szCs w:val="24"/>
          <w:u w:color="0000FF"/>
        </w:rPr>
        <w:t>Chris Young uses it</w:t>
      </w:r>
    </w:p>
    <w:p w14:paraId="18939F4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p>
    <w:p w14:paraId="72518469"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bookmarkStart w:id="114" w:name="whats_normal-2"/>
      <w:r>
        <w:rPr>
          <w:rFonts w:ascii="TimesNewRomanPSMT" w:hAnsi="TimesNewRomanPSMT" w:cs="Helvetica"/>
          <w:kern w:val="1"/>
          <w:sz w:val="24"/>
          <w:szCs w:val="24"/>
          <w:u w:color="0000FF"/>
        </w:rPr>
        <w:t>What</w:t>
      </w:r>
      <w:bookmarkEnd w:id="114"/>
      <w:r>
        <w:rPr>
          <w:rFonts w:ascii="TimesNewRomanPSMT" w:hAnsi="TimesNewRomanPSMT" w:cs="Helvetica"/>
          <w:kern w:val="1"/>
          <w:sz w:val="24"/>
          <w:szCs w:val="24"/>
          <w:u w:color="0000FF"/>
        </w:rPr>
        <w:t xml:space="preserve"> is a "normal" footprint in the print culture of this decade? (i.e., what are the boundaries a work has to surpass to be unusually popular</w:t>
      </w:r>
      <w:r>
        <w:rPr>
          <w:rFonts w:ascii="TimesNewRomanPSMT" w:hAnsi="TimesNewRomanPSMT" w:cs="Helvetica"/>
          <w:kern w:val="1"/>
          <w:sz w:val="24"/>
          <w:szCs w:val="24"/>
          <w:u w:color="0000FF"/>
        </w:rPr>
        <w:t xml:space="preserve"> or unusually unpopular?)</w:t>
      </w:r>
    </w:p>
    <w:p w14:paraId="3C519D6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220FD8E0"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kern w:val="1"/>
          <w:sz w:val="40"/>
          <w:szCs w:val="24"/>
          <w:u w:color="0000FF"/>
        </w:rPr>
      </w:pPr>
      <w:bookmarkStart w:id="115" w:name="ch_3_archive_popularity"/>
      <w:r>
        <w:rPr>
          <w:rFonts w:ascii="Helvetica" w:hAnsi="Helvetica" w:cs="Helvetica"/>
          <w:b/>
          <w:kern w:val="1"/>
          <w:sz w:val="40"/>
          <w:szCs w:val="24"/>
          <w:u w:color="0000FF"/>
        </w:rPr>
        <w:t>ch 3 - archive popularity</w:t>
      </w:r>
      <w:bookmarkEnd w:id="115"/>
    </w:p>
    <w:p w14:paraId="54FFD128"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kern w:val="1"/>
          <w:sz w:val="40"/>
          <w:szCs w:val="24"/>
          <w:u w:color="0000FF"/>
        </w:rPr>
      </w:pPr>
    </w:p>
    <w:p w14:paraId="7507C5D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bookmarkStart w:id="116" w:name="proposal-1"/>
      <w:r>
        <w:rPr>
          <w:rFonts w:ascii="TimesNewRomanPSMT" w:hAnsi="TimesNewRomanPSMT" w:cs="Helvetica"/>
          <w:kern w:val="1"/>
          <w:sz w:val="24"/>
          <w:szCs w:val="24"/>
          <w:u w:color="0000FF"/>
        </w:rPr>
        <w:t>Chapter</w:t>
      </w:r>
      <w:bookmarkEnd w:id="116"/>
      <w:r>
        <w:rPr>
          <w:rFonts w:ascii="TimesNewRomanPSMT" w:hAnsi="TimesNewRomanPSMT" w:cs="Helvetica"/>
          <w:kern w:val="1"/>
          <w:sz w:val="24"/>
          <w:szCs w:val="24"/>
          <w:u w:color="0000FF"/>
        </w:rPr>
        <w:t xml:space="preserve"> three expands upon the findings of the experiment carried out in chapter two, to examine popularity as it manifests in print culture. Influenced by Lesser and Farmer’s articulation of “structures of popularity,” </w:t>
      </w:r>
      <w:commentRangeStart w:id="117"/>
      <w:r>
        <w:rPr>
          <w:rFonts w:ascii="TimesNewRomanPSMT" w:hAnsi="TimesNewRomanPSMT" w:cs="Helvetica"/>
          <w:kern w:val="1"/>
          <w:sz w:val="24"/>
          <w:szCs w:val="24"/>
          <w:u w:color="0000FF"/>
        </w:rPr>
        <w:fldChar w:fldCharType="begin"/>
      </w:r>
      <w:r>
        <w:rPr>
          <w:rFonts w:ascii="TimesNewRomanPSMT" w:hAnsi="TimesNewRomanPSMT" w:cs="Helvetica"/>
          <w:kern w:val="1"/>
          <w:sz w:val="24"/>
          <w:szCs w:val="24"/>
          <w:u w:color="0000FF"/>
        </w:rPr>
        <w:instrText>HYPERLINK "scrivcmt://8758700D-D85D-4192-8E</w:instrText>
      </w:r>
      <w:r>
        <w:rPr>
          <w:rFonts w:ascii="TimesNewRomanPSMT" w:hAnsi="TimesNewRomanPSMT" w:cs="Helvetica"/>
          <w:kern w:val="1"/>
          <w:sz w:val="24"/>
          <w:szCs w:val="24"/>
          <w:u w:color="0000FF"/>
        </w:rPr>
        <w:instrText>A8-736633303C80"</w:instrText>
      </w:r>
      <w:r>
        <w:rPr>
          <w:rFonts w:ascii="TimesNewRomanPSMT" w:hAnsi="TimesNewRomanPSMT" w:cs="Helvetica"/>
          <w:kern w:val="1"/>
          <w:sz w:val="24"/>
          <w:szCs w:val="24"/>
          <w:u w:color="0000FF"/>
        </w:rPr>
        <w:fldChar w:fldCharType="separate"/>
      </w:r>
      <w:r>
        <w:rPr>
          <w:rFonts w:ascii="TimesNewRomanPSMT" w:hAnsi="TimesNewRomanPSMT" w:cs="Helvetica"/>
          <w:kern w:val="1"/>
          <w:sz w:val="24"/>
          <w:szCs w:val="24"/>
          <w:u w:color="0000FF"/>
        </w:rPr>
        <w:t>I will consider popularity</w:t>
      </w:r>
      <w:r>
        <w:rPr>
          <w:rFonts w:ascii="TimesNewRomanPSMT" w:hAnsi="TimesNewRomanPSMT" w:cs="Helvetica"/>
          <w:kern w:val="1"/>
          <w:sz w:val="24"/>
          <w:szCs w:val="24"/>
          <w:u w:color="0000FF"/>
        </w:rPr>
        <w:fldChar w:fldCharType="end"/>
      </w:r>
      <w:commentRangeEnd w:id="117"/>
      <w:r>
        <w:rPr>
          <w:rFonts w:ascii="TimesNewRomanPSMT" w:hAnsi="TimesNewRomanPSMT" w:cs="Helvetica"/>
          <w:kern w:val="1"/>
          <w:sz w:val="24"/>
          <w:szCs w:val="24"/>
          <w:u w:color="0000FF"/>
        </w:rPr>
        <w:commentReference w:id="117"/>
      </w:r>
      <w:r>
        <w:rPr>
          <w:rFonts w:ascii="TimesNewRomanPSMT" w:hAnsi="TimesNewRomanPSMT" w:cs="Helvetica"/>
          <w:kern w:val="1"/>
          <w:sz w:val="24"/>
          <w:szCs w:val="24"/>
          <w:u w:color="0000FF"/>
        </w:rPr>
        <w:t xml:space="preserve"> in terms of total number of editions, frequency of reprinting, and market </w:t>
      </w:r>
      <w:commentRangeStart w:id="118"/>
      <w:r>
        <w:rPr>
          <w:rFonts w:ascii="TimesNewRomanPSMT" w:hAnsi="TimesNewRomanPSMT" w:cs="Helvetica"/>
          <w:kern w:val="1"/>
          <w:sz w:val="24"/>
          <w:szCs w:val="24"/>
          <w:u w:color="0000FF"/>
        </w:rPr>
        <w:fldChar w:fldCharType="begin"/>
      </w:r>
      <w:r>
        <w:rPr>
          <w:rFonts w:ascii="TimesNewRomanPSMT" w:hAnsi="TimesNewRomanPSMT" w:cs="Helvetica"/>
          <w:kern w:val="1"/>
          <w:sz w:val="24"/>
          <w:szCs w:val="24"/>
          <w:u w:color="0000FF"/>
        </w:rPr>
        <w:instrText>HYPERLINK "scrivcmt://3C81FDF9-4331-4112-85AE-A5B624CCAC01"</w:instrText>
      </w:r>
      <w:r>
        <w:rPr>
          <w:rFonts w:ascii="TimesNewRomanPSMT" w:hAnsi="TimesNewRomanPSMT" w:cs="Helvetica"/>
          <w:kern w:val="1"/>
          <w:sz w:val="24"/>
          <w:szCs w:val="24"/>
          <w:u w:color="0000FF"/>
        </w:rPr>
        <w:fldChar w:fldCharType="separate"/>
      </w:r>
      <w:r>
        <w:rPr>
          <w:rFonts w:ascii="TimesNewRomanPSMT" w:hAnsi="TimesNewRomanPSMT" w:cs="Helvetica"/>
          <w:kern w:val="1"/>
          <w:sz w:val="24"/>
          <w:szCs w:val="24"/>
          <w:u w:color="0000FF"/>
        </w:rPr>
        <w:t>share.</w:t>
      </w:r>
      <w:r>
        <w:rPr>
          <w:rFonts w:ascii="TimesNewRomanPSMT" w:hAnsi="TimesNewRomanPSMT" w:cs="Helvetica"/>
          <w:kern w:val="1"/>
          <w:sz w:val="24"/>
          <w:szCs w:val="24"/>
          <w:u w:color="0000FF"/>
        </w:rPr>
        <w:fldChar w:fldCharType="end"/>
      </w:r>
      <w:commentRangeEnd w:id="118"/>
      <w:r>
        <w:rPr>
          <w:rFonts w:ascii="TimesNewRomanPSMT" w:hAnsi="TimesNewRomanPSMT" w:cs="Helvetica"/>
          <w:kern w:val="1"/>
          <w:sz w:val="24"/>
          <w:szCs w:val="24"/>
          <w:u w:color="0000FF"/>
        </w:rPr>
        <w:commentReference w:id="118"/>
      </w:r>
      <w:r>
        <w:rPr>
          <w:rFonts w:ascii="TimesNewRomanPSMT" w:hAnsi="TimesNewRomanPSMT" w:cs="Helvetica"/>
          <w:kern w:val="1"/>
          <w:sz w:val="24"/>
          <w:szCs w:val="24"/>
          <w:u w:color="0000FF"/>
        </w:rPr>
        <w:t xml:space="preserve"> After determining how to calculate each of these metrics, I w</w:t>
      </w:r>
      <w:r>
        <w:rPr>
          <w:rFonts w:ascii="TimesNewRomanPSMT" w:hAnsi="TimesNewRomanPSMT" w:cs="Helvetica"/>
          <w:kern w:val="1"/>
          <w:sz w:val="24"/>
          <w:szCs w:val="24"/>
          <w:u w:color="0000FF"/>
        </w:rPr>
        <w:t>ill ask: what was most popular during the decade, according to my corpora? How do the corpora differ in their answers, and why? I am particularly curious to see the place that chapbooks and religious tracts have in each corpus. My preliminary research sugg</w:t>
      </w:r>
      <w:r>
        <w:rPr>
          <w:rFonts w:ascii="TimesNewRomanPSMT" w:hAnsi="TimesNewRomanPSMT" w:cs="Helvetica"/>
          <w:kern w:val="1"/>
          <w:sz w:val="24"/>
          <w:szCs w:val="24"/>
          <w:u w:color="0000FF"/>
        </w:rPr>
        <w:t>ests that many of the most reprinted works will substantially pre-date the 1790s in their composition. Accordingly, taking up David Brewer’s challenge to account for the increased “footprint” of some texts beyond the moment of their original publication, I</w:t>
      </w:r>
      <w:r>
        <w:rPr>
          <w:rFonts w:ascii="TimesNewRomanPSMT" w:hAnsi="TimesNewRomanPSMT" w:cs="Helvetica"/>
          <w:kern w:val="1"/>
          <w:sz w:val="24"/>
          <w:szCs w:val="24"/>
          <w:u w:color="0000FF"/>
        </w:rPr>
        <w:t xml:space="preserve"> will also pay attention to works originally written before the 1790s which nonetheless can be considered important “1790s literature” due to prominent reprinting. This inquiry’s first question is one of discovery: what </w:t>
      </w:r>
      <w:r>
        <w:rPr>
          <w:rFonts w:ascii="TimesNewRomanPSMT" w:hAnsi="TimesNewRomanPSMT" w:cs="Helvetica"/>
          <w:kern w:val="1"/>
          <w:sz w:val="24"/>
          <w:szCs w:val="24"/>
          <w:u w:color="0000FF"/>
        </w:rPr>
        <w:lastRenderedPageBreak/>
        <w:t>works resurface in the 1790s? Its ne</w:t>
      </w:r>
      <w:r>
        <w:rPr>
          <w:rFonts w:ascii="TimesNewRomanPSMT" w:hAnsi="TimesNewRomanPSMT" w:cs="Helvetica"/>
          <w:kern w:val="1"/>
          <w:sz w:val="24"/>
          <w:szCs w:val="24"/>
          <w:u w:color="0000FF"/>
        </w:rPr>
        <w:t>xt question is one of close-reading and historical context: what makes them seem newly relevant? Restricting my inquiry only to the 1790s rather than nineteenth-century legacies, I will use my corpora to compare the publication output of various literary c</w:t>
      </w:r>
      <w:r>
        <w:rPr>
          <w:rFonts w:ascii="TimesNewRomanPSMT" w:hAnsi="TimesNewRomanPSMT" w:cs="Helvetica"/>
          <w:kern w:val="1"/>
          <w:sz w:val="24"/>
          <w:szCs w:val="24"/>
          <w:u w:color="0000FF"/>
        </w:rPr>
        <w:t>elebrities over the course of the decade. In addition to looking at the raw publication counts in the corpora defined in chapter two, I am currently exploring ways to use mentions in reviews and news articles to track prominence and reputation. The chapter</w:t>
      </w:r>
      <w:r>
        <w:rPr>
          <w:rFonts w:ascii="TimesNewRomanPSMT" w:hAnsi="TimesNewRomanPSMT" w:cs="Helvetica"/>
          <w:kern w:val="1"/>
          <w:sz w:val="24"/>
          <w:szCs w:val="24"/>
          <w:u w:color="0000FF"/>
        </w:rPr>
        <w:t xml:space="preserve"> as a whole, then, presents a sustained study of the relative popularity of the most prominent works printed during the 1790s, and seeks to answer how these prominent works might affect what we define as “popular literature”.</w:t>
      </w:r>
    </w:p>
    <w:p w14:paraId="463CDE68"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282D22C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bookmarkStart w:id="119" w:name="consult_Reading_Experience_Dat"/>
      <w:r>
        <w:rPr>
          <w:rFonts w:ascii="TimesNewRomanPSMT" w:hAnsi="TimesNewRomanPSMT" w:cs="Helvetica"/>
          <w:sz w:val="24"/>
          <w:szCs w:val="24"/>
          <w:u w:color="0000FF"/>
        </w:rPr>
        <w:t>The</w:t>
      </w:r>
      <w:bookmarkEnd w:id="119"/>
      <w:r>
        <w:rPr>
          <w:rFonts w:ascii="TimesNewRomanPSMT" w:hAnsi="TimesNewRomanPSMT" w:cs="Helvetica"/>
          <w:sz w:val="24"/>
          <w:szCs w:val="24"/>
          <w:u w:color="0000FF"/>
        </w:rPr>
        <w:t xml:space="preserve"> Reading Experience Databa</w:t>
      </w:r>
      <w:r>
        <w:rPr>
          <w:rFonts w:ascii="TimesNewRomanPSMT" w:hAnsi="TimesNewRomanPSMT" w:cs="Helvetica"/>
          <w:sz w:val="24"/>
          <w:szCs w:val="24"/>
          <w:u w:color="0000FF"/>
        </w:rPr>
        <w:t>se contains over 30,000 searchable records documenting the history of reading in Britain from 1450 to 1945. Evidence comes from published and unpublished sources such as diaries, commonplace books, memoirs, sociological surveys, and criminal court and pris</w:t>
      </w:r>
      <w:r>
        <w:rPr>
          <w:rFonts w:ascii="TimesNewRomanPSMT" w:hAnsi="TimesNewRomanPSMT" w:cs="Helvetica"/>
          <w:sz w:val="24"/>
          <w:szCs w:val="24"/>
          <w:u w:color="0000FF"/>
        </w:rPr>
        <w:t>on records.</w:t>
      </w:r>
    </w:p>
    <w:p w14:paraId="669D2FAC"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p>
    <w:p w14:paraId="373AB67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p>
    <w:p w14:paraId="6277036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p>
    <w:p w14:paraId="0AC9FF74"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sz w:val="24"/>
          <w:szCs w:val="24"/>
          <w:u w:color="0000FF"/>
        </w:rPr>
      </w:pPr>
      <w:r>
        <w:rPr>
          <w:rFonts w:ascii="TimesNewRomanPSMT" w:hAnsi="TimesNewRomanPSMT" w:cs="Helvetica"/>
          <w:sz w:val="24"/>
          <w:szCs w:val="24"/>
          <w:u w:color="0000FF"/>
        </w:rPr>
        <w:t xml:space="preserve">Combine with </w:t>
      </w:r>
      <w:r>
        <w:rPr>
          <w:rFonts w:ascii="TimesNewRomanPSMT" w:hAnsi="TimesNewRomanPSMT" w:cs="Helvetica"/>
          <w:b/>
          <w:sz w:val="24"/>
          <w:szCs w:val="24"/>
          <w:u w:color="0000FF"/>
        </w:rPr>
        <w:t>Novels Reviewed Database</w:t>
      </w:r>
    </w:p>
    <w:p w14:paraId="0259BCB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sz w:val="24"/>
          <w:szCs w:val="24"/>
          <w:u w:color="0000FF"/>
        </w:rPr>
      </w:pPr>
    </w:p>
    <w:p w14:paraId="47AA6FF5"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sz w:val="24"/>
          <w:szCs w:val="24"/>
          <w:u w:color="0000FF"/>
        </w:rPr>
      </w:pPr>
    </w:p>
    <w:p w14:paraId="7095E6EA"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b/>
          <w:sz w:val="24"/>
          <w:szCs w:val="24"/>
          <w:u w:color="0000FF"/>
        </w:rPr>
      </w:pPr>
    </w:p>
    <w:p w14:paraId="41C898D7"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r>
        <w:rPr>
          <w:rFonts w:ascii="TimesNewRomanPSMT" w:hAnsi="TimesNewRomanPSMT" w:cs="Helvetica"/>
          <w:sz w:val="24"/>
          <w:szCs w:val="24"/>
          <w:u w:color="0000FF"/>
        </w:rPr>
        <w:t xml:space="preserve">Also </w:t>
      </w:r>
      <w:hyperlink r:id="rId13" w:history="1">
        <w:r>
          <w:rPr>
            <w:rFonts w:ascii="TimesNewRomanPSMT" w:hAnsi="TimesNewRomanPSMT" w:cs="Helvetica"/>
            <w:color w:val="0000FF"/>
            <w:sz w:val="24"/>
            <w:szCs w:val="24"/>
            <w:u w:val="single" w:color="0000FF"/>
          </w:rPr>
          <w:t>https://vls.english.qmul.ac.uk/</w:t>
        </w:r>
      </w:hyperlink>
      <w:r>
        <w:rPr>
          <w:rFonts w:ascii="TimesNewRomanPSMT" w:hAnsi="TimesNewRomanPSMT" w:cs="Helvetica"/>
          <w:sz w:val="24"/>
          <w:szCs w:val="24"/>
          <w:u w:color="0000FF"/>
        </w:rPr>
        <w:t xml:space="preserve"> Dissenting Libraries Online</w:t>
      </w:r>
    </w:p>
    <w:p w14:paraId="479C576E"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p>
    <w:p w14:paraId="53D3034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highlight w:val="white"/>
          <w:u w:color="0000FF"/>
        </w:rPr>
      </w:pPr>
      <w:r>
        <w:rPr>
          <w:rFonts w:ascii="TimesNewRomanPSMT" w:hAnsi="TimesNewRomanPSMT" w:cs="Helvetica"/>
          <w:sz w:val="24"/>
          <w:szCs w:val="24"/>
          <w:highlight w:val="white"/>
          <w:u w:color="0000FF"/>
        </w:rPr>
        <w:lastRenderedPageBreak/>
        <w:t>To find out more about the reading habits of individual borrowers, click on </w:t>
      </w:r>
      <w:hyperlink r:id="rId14" w:history="1">
        <w:r>
          <w:rPr>
            <w:rFonts w:ascii="TimesNewRomanPSMT" w:hAnsi="TimesNewRomanPSMT" w:cs="Helvetica"/>
            <w:b/>
            <w:color w:val="0000FF"/>
            <w:sz w:val="24"/>
            <w:szCs w:val="24"/>
            <w:highlight w:val="white"/>
            <w:u w:val="single" w:color="0000FF"/>
          </w:rPr>
          <w:t>Browse borrowers</w:t>
        </w:r>
      </w:hyperlink>
      <w:r>
        <w:rPr>
          <w:rFonts w:ascii="TimesNewRomanPSMT" w:hAnsi="TimesNewRomanPSMT" w:cs="Helvetica"/>
          <w:sz w:val="24"/>
          <w:szCs w:val="24"/>
          <w:highlight w:val="white"/>
          <w:u w:color="0000FF"/>
        </w:rPr>
        <w:t>. Explore the borrowing records of tutors, such as the Baptist </w:t>
      </w:r>
      <w:hyperlink r:id="rId15" w:history="1">
        <w:r>
          <w:rPr>
            <w:rFonts w:ascii="TimesNewRomanPSMT" w:hAnsi="TimesNewRomanPSMT" w:cs="Helvetica"/>
            <w:b/>
            <w:color w:val="0000FF"/>
            <w:sz w:val="24"/>
            <w:szCs w:val="24"/>
            <w:highlight w:val="white"/>
            <w:u w:val="single" w:color="0000FF"/>
          </w:rPr>
          <w:t>Frederick W. Gotch</w:t>
        </w:r>
      </w:hyperlink>
      <w:r>
        <w:rPr>
          <w:rFonts w:ascii="TimesNewRomanPSMT" w:hAnsi="TimesNewRomanPSMT" w:cs="Helvetica"/>
          <w:sz w:val="24"/>
          <w:szCs w:val="24"/>
          <w:highlight w:val="white"/>
          <w:u w:color="0000FF"/>
        </w:rPr>
        <w:t>, ministerial</w:t>
      </w:r>
      <w:r>
        <w:rPr>
          <w:rFonts w:ascii="TimesNewRomanPSMT" w:hAnsi="TimesNewRomanPSMT" w:cs="Helvetica"/>
          <w:sz w:val="24"/>
          <w:szCs w:val="24"/>
          <w:highlight w:val="white"/>
          <w:u w:color="0000FF"/>
        </w:rPr>
        <w:t xml:space="preserve"> students, including </w:t>
      </w:r>
      <w:hyperlink r:id="rId16" w:history="1">
        <w:r>
          <w:rPr>
            <w:rFonts w:ascii="TimesNewRomanPSMT" w:hAnsi="TimesNewRomanPSMT" w:cs="Helvetica"/>
            <w:b/>
            <w:color w:val="0000FF"/>
            <w:sz w:val="24"/>
            <w:szCs w:val="24"/>
            <w:highlight w:val="white"/>
            <w:u w:val="single" w:color="0000FF"/>
          </w:rPr>
          <w:t>Robert Cotton Mather</w:t>
        </w:r>
      </w:hyperlink>
      <w:r>
        <w:rPr>
          <w:rFonts w:ascii="TimesNewRomanPSMT" w:hAnsi="TimesNewRomanPSMT" w:cs="Helvetica"/>
          <w:sz w:val="24"/>
          <w:szCs w:val="24"/>
          <w:highlight w:val="white"/>
          <w:u w:color="0000FF"/>
        </w:rPr>
        <w:t> (later a Congregational missionary), and their lay counterparts, such as </w:t>
      </w:r>
      <w:hyperlink r:id="rId17" w:history="1">
        <w:r>
          <w:rPr>
            <w:rFonts w:ascii="TimesNewRomanPSMT" w:hAnsi="TimesNewRomanPSMT" w:cs="Helvetica"/>
            <w:b/>
            <w:color w:val="0000FF"/>
            <w:sz w:val="24"/>
            <w:szCs w:val="24"/>
            <w:highlight w:val="white"/>
            <w:u w:val="single" w:color="0000FF"/>
          </w:rPr>
          <w:t>William Rayner Wood</w:t>
        </w:r>
      </w:hyperlink>
      <w:r>
        <w:rPr>
          <w:rFonts w:ascii="TimesNewRomanPSMT" w:hAnsi="TimesNewRomanPSMT" w:cs="Helvetica"/>
          <w:sz w:val="24"/>
          <w:szCs w:val="24"/>
          <w:highlight w:val="white"/>
          <w:u w:color="0000FF"/>
        </w:rPr>
        <w:t> (who became a prominent Unitarian businessman). </w:t>
      </w:r>
    </w:p>
    <w:p w14:paraId="6132BA33"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highlight w:val="white"/>
          <w:u w:color="0000FF"/>
        </w:rPr>
      </w:pPr>
    </w:p>
    <w:p w14:paraId="721E21D2"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r>
        <w:rPr>
          <w:rFonts w:ascii="TimesNewRomanPSMT" w:hAnsi="TimesNewRomanPSMT" w:cs="Helvetica"/>
          <w:sz w:val="24"/>
          <w:szCs w:val="24"/>
          <w:highlight w:val="white"/>
          <w:u w:color="0000FF"/>
        </w:rPr>
        <w:t>The most frequently borrowed books include periodicals, theological textbooks, and historical works. Click on the links to see lists of the most po</w:t>
      </w:r>
      <w:r>
        <w:rPr>
          <w:rFonts w:ascii="TimesNewRomanPSMT" w:hAnsi="TimesNewRomanPSMT" w:cs="Helvetica"/>
          <w:sz w:val="24"/>
          <w:szCs w:val="24"/>
          <w:highlight w:val="white"/>
          <w:u w:color="0000FF"/>
        </w:rPr>
        <w:t>pular titles at </w:t>
      </w:r>
      <w:hyperlink r:id="rId18" w:history="1">
        <w:r>
          <w:rPr>
            <w:rFonts w:ascii="TimesNewRomanPSMT" w:hAnsi="TimesNewRomanPSMT" w:cs="Helvetica"/>
            <w:b/>
            <w:color w:val="0000FF"/>
            <w:sz w:val="24"/>
            <w:szCs w:val="24"/>
            <w:highlight w:val="white"/>
            <w:u w:val="single" w:color="0000FF"/>
          </w:rPr>
          <w:t>Manchester College</w:t>
        </w:r>
      </w:hyperlink>
      <w:r>
        <w:rPr>
          <w:rFonts w:ascii="TimesNewRomanPSMT" w:hAnsi="TimesNewRomanPSMT" w:cs="Helvetica"/>
          <w:sz w:val="24"/>
          <w:szCs w:val="24"/>
          <w:highlight w:val="white"/>
          <w:u w:color="0000FF"/>
        </w:rPr>
        <w:t>, </w:t>
      </w:r>
      <w:hyperlink r:id="rId19" w:history="1">
        <w:r>
          <w:rPr>
            <w:rFonts w:ascii="TimesNewRomanPSMT" w:hAnsi="TimesNewRomanPSMT" w:cs="Helvetica"/>
            <w:b/>
            <w:color w:val="0000FF"/>
            <w:sz w:val="24"/>
            <w:szCs w:val="24"/>
            <w:highlight w:val="white"/>
            <w:u w:val="single" w:color="0000FF"/>
          </w:rPr>
          <w:t>Homerton Academy</w:t>
        </w:r>
      </w:hyperlink>
      <w:r>
        <w:rPr>
          <w:rFonts w:ascii="TimesNewRomanPSMT" w:hAnsi="TimesNewRomanPSMT" w:cs="Helvetica"/>
          <w:sz w:val="24"/>
          <w:szCs w:val="24"/>
          <w:highlight w:val="white"/>
          <w:u w:color="0000FF"/>
        </w:rPr>
        <w:t>, or </w:t>
      </w:r>
      <w:hyperlink r:id="rId20" w:history="1">
        <w:r>
          <w:rPr>
            <w:rFonts w:ascii="TimesNewRomanPSMT" w:hAnsi="TimesNewRomanPSMT" w:cs="Helvetica"/>
            <w:b/>
            <w:color w:val="0000FF"/>
            <w:sz w:val="24"/>
            <w:szCs w:val="24"/>
            <w:highlight w:val="white"/>
            <w:u w:val="single" w:color="0000FF"/>
          </w:rPr>
          <w:t>Bristol Baptist Academy</w:t>
        </w:r>
      </w:hyperlink>
      <w:r>
        <w:rPr>
          <w:rFonts w:ascii="TimesNewRomanPSMT" w:hAnsi="TimesNewRomanPSMT" w:cs="Helvetica"/>
          <w:sz w:val="24"/>
          <w:szCs w:val="24"/>
          <w:highlight w:val="white"/>
          <w:u w:color="0000FF"/>
        </w:rPr>
        <w:t>.</w:t>
      </w:r>
    </w:p>
    <w:p w14:paraId="090479B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u w:color="0000FF"/>
        </w:rPr>
      </w:pPr>
    </w:p>
    <w:p w14:paraId="0BBD2D48" w14:textId="77777777" w:rsidR="002F0BEE" w:rsidRDefault="00B67DD8">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kern w:val="1"/>
          <w:sz w:val="40"/>
          <w:szCs w:val="24"/>
          <w:u w:color="0000FF"/>
        </w:rPr>
      </w:pPr>
      <w:bookmarkStart w:id="120" w:name="coda_gothic"/>
      <w:r>
        <w:rPr>
          <w:rFonts w:ascii="Helvetica" w:hAnsi="Helvetica" w:cs="Helvetica"/>
          <w:b/>
          <w:kern w:val="1"/>
          <w:sz w:val="40"/>
          <w:szCs w:val="24"/>
          <w:u w:color="0000FF"/>
        </w:rPr>
        <w:t>coda? - gothic</w:t>
      </w:r>
      <w:bookmarkEnd w:id="120"/>
    </w:p>
    <w:p w14:paraId="737EDC8C" w14:textId="77777777" w:rsidR="002F0BEE" w:rsidRDefault="002F0BEE">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rPr>
          <w:rFonts w:ascii="Helvetica" w:hAnsi="Helvetica" w:cs="Helvetica"/>
          <w:b/>
          <w:kern w:val="1"/>
          <w:sz w:val="40"/>
          <w:szCs w:val="24"/>
          <w:u w:color="0000FF"/>
        </w:rPr>
      </w:pPr>
    </w:p>
    <w:p w14:paraId="64DFEC4E"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bookmarkStart w:id="121" w:name="ECCO-2"/>
      <w:r>
        <w:rPr>
          <w:rFonts w:ascii="TimesNewRomanPSMT" w:hAnsi="TimesNewRomanPSMT" w:cs="Helvetica"/>
          <w:kern w:val="1"/>
          <w:sz w:val="24"/>
          <w:szCs w:val="24"/>
          <w:u w:color="0000FF"/>
        </w:rPr>
        <w:t>My</w:t>
      </w:r>
      <w:bookmarkEnd w:id="121"/>
      <w:r>
        <w:rPr>
          <w:rFonts w:ascii="TimesNewRomanPSMT" w:hAnsi="TimesNewRomanPSMT" w:cs="Helvetica"/>
          <w:kern w:val="1"/>
          <w:sz w:val="24"/>
          <w:szCs w:val="24"/>
          <w:u w:color="0000FF"/>
        </w:rPr>
        <w:t xml:space="preserve"> ECCO metadata presented particular challenges. I had access to MARC records, which stands for MAchine Readable Catalogue. At several points, I read this data with my feeble non-machine eyes in order to guide my data processing. Using MarcEdit, I converted</w:t>
      </w:r>
      <w:r>
        <w:rPr>
          <w:rFonts w:ascii="TimesNewRomanPSMT" w:hAnsi="TimesNewRomanPSMT" w:cs="Helvetica"/>
          <w:kern w:val="1"/>
          <w:sz w:val="24"/>
          <w:szCs w:val="24"/>
          <w:u w:color="0000FF"/>
        </w:rPr>
        <w:t xml:space="preserve"> these MARC records to csv files which could, on OpenRefine, be read, manipulated, and merged like my other corpora. Since I was not able to simply convert “all the MARC headings that exist” using MarcEdit, I used all numbers 1 to 999 and [will] delete emp</w:t>
      </w:r>
      <w:r>
        <w:rPr>
          <w:rFonts w:ascii="TimesNewRomanPSMT" w:hAnsi="TimesNewRomanPSMT" w:cs="Helvetica"/>
          <w:kern w:val="1"/>
          <w:sz w:val="24"/>
          <w:szCs w:val="24"/>
          <w:u w:color="0000FF"/>
        </w:rPr>
        <w:t>ty columns.</w:t>
      </w:r>
    </w:p>
    <w:p w14:paraId="7D79598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336B9CA8"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r>
        <w:rPr>
          <w:rFonts w:ascii="TimesNewRomanPSMT" w:hAnsi="TimesNewRomanPSMT" w:cs="Helvetica"/>
          <w:kern w:val="1"/>
          <w:sz w:val="24"/>
          <w:szCs w:val="24"/>
          <w:u w:color="0000FF"/>
        </w:rPr>
        <w:t>ECCO encodes much of its data in “unassigned” columns, rather than the standardized LOC categories.</w:t>
      </w:r>
    </w:p>
    <w:p w14:paraId="426596FF"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4E5E96CB"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1DCBC1A4"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2CD0668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51FA1A7D"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02D71843"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hyperlink r:id="rId21" w:history="1">
        <w:r>
          <w:rPr>
            <w:rFonts w:ascii="TimesNewRomanPSMT" w:hAnsi="TimesNewRomanPSMT" w:cs="Helvetica"/>
            <w:color w:val="0000FF"/>
            <w:kern w:val="1"/>
            <w:sz w:val="24"/>
            <w:szCs w:val="24"/>
            <w:u w:val="single" w:color="0000FF"/>
          </w:rPr>
          <w:t>https://www.itsmarc.com/crs/mergedprojects/helpauth/helpauth/tag_list.htm</w:t>
        </w:r>
      </w:hyperlink>
    </w:p>
    <w:p w14:paraId="10CA7691"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4233634F"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r>
        <w:rPr>
          <w:rFonts w:ascii="TimesNewRomanPSMT" w:hAnsi="TimesNewRomanPSMT" w:cs="Helvetica"/>
          <w:kern w:val="1"/>
          <w:sz w:val="24"/>
          <w:szCs w:val="24"/>
          <w:u w:color="0000FF"/>
        </w:rPr>
        <w:t>Library of Congress MARC info</w:t>
      </w:r>
    </w:p>
    <w:p w14:paraId="487594E2"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p>
    <w:p w14:paraId="61DD6B01"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kern w:val="1"/>
          <w:sz w:val="24"/>
          <w:szCs w:val="24"/>
          <w:u w:color="0000FF"/>
        </w:rPr>
      </w:pPr>
      <w:bookmarkStart w:id="122" w:name="authorsinarchivesnumbers"/>
      <w:r>
        <w:rPr>
          <w:rFonts w:ascii="TimesNewRomanPSMT" w:hAnsi="TimesNewRomanPSMT" w:cs="Helvetica"/>
          <w:kern w:val="1"/>
          <w:sz w:val="24"/>
          <w:szCs w:val="24"/>
          <w:u w:color="0000FF"/>
        </w:rPr>
        <w:t>For</w:t>
      </w:r>
      <w:bookmarkEnd w:id="122"/>
      <w:r>
        <w:rPr>
          <w:rFonts w:ascii="TimesNewRomanPSMT" w:hAnsi="TimesNewRomanPSMT" w:cs="Helvetica"/>
          <w:kern w:val="1"/>
          <w:sz w:val="24"/>
          <w:szCs w:val="24"/>
          <w:u w:color="0000FF"/>
        </w:rPr>
        <w:t xml:space="preserve"> each author, I went to http://estc.bl.uk/, determined the authoritative format of that author’s name within the database (e.g., “Smith, Charlot</w:t>
      </w:r>
      <w:r>
        <w:rPr>
          <w:rFonts w:ascii="TimesNewRomanPSMT" w:hAnsi="TimesNewRomanPSMT" w:cs="Helvetica"/>
          <w:kern w:val="1"/>
          <w:sz w:val="24"/>
          <w:szCs w:val="24"/>
          <w:u w:color="0000FF"/>
        </w:rPr>
        <w:t>te Turner, 1749-1806”) and got the list of all titles attributed to that author. Paging through each entry, I recorded the date, edition, city, and publisher for every title which met my conditions of being printed in England 1789-99, and recorded the “per</w:t>
      </w:r>
      <w:r>
        <w:rPr>
          <w:rFonts w:ascii="TimesNewRomanPSMT" w:hAnsi="TimesNewRomanPSMT" w:cs="Helvetica"/>
          <w:kern w:val="1"/>
          <w:sz w:val="24"/>
          <w:szCs w:val="24"/>
          <w:u w:color="0000FF"/>
        </w:rPr>
        <w:t>malink” URL to the work’s full ESTC record.</w:t>
      </w:r>
    </w:p>
    <w:sectPr w:rsidR="002F0BEE">
      <w:headerReference w:type="default" r:id="rId22"/>
      <w:footerReference w:type="default" r:id="rId23"/>
      <w:endnotePr>
        <w:numFmt w:val="decimal"/>
      </w:endnotePr>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awrence Evalyn" w:initials="Lawrence ">
    <w:p w14:paraId="770B4FDF" w14:textId="77777777" w:rsidR="002F0BEE" w:rsidRDefault="00B67DD8">
      <w:pPr>
        <w:rPr>
          <w:rFonts w:ascii="TimesNewRomanPSMT" w:hAnsi="TimesNewRomanPSMT" w:cs="Helvetica"/>
          <w:color w:val="0000FF"/>
          <w:sz w:val="24"/>
          <w:szCs w:val="24"/>
          <w:highlight w:val="magenta"/>
        </w:rPr>
      </w:pPr>
      <w:r>
        <w:rPr>
          <w:rFonts w:ascii="TimesNewRomanPSMT" w:hAnsi="TimesNewRomanPSMT" w:cs="Helvetica"/>
          <w:color w:val="0000FF"/>
          <w:sz w:val="24"/>
          <w:szCs w:val="24"/>
        </w:rPr>
        <w:t xml:space="preserve">, which still frequently relies on claims that a given work was “popular” because it went through a certain number of editions, or </w:t>
      </w:r>
      <w:r>
        <w:rPr>
          <w:rFonts w:ascii="TimesNewRomanPSMT" w:hAnsi="TimesNewRomanPSMT" w:cs="Helvetica"/>
          <w:color w:val="0000FF"/>
          <w:sz w:val="24"/>
          <w:szCs w:val="24"/>
        </w:rPr>
        <w:t>the author was paid a certain amount, and so on. These generalizations break down in part because “popular,” as a concept, is overdetermined: does it mean financially successful, or widely beloved, or important? Examinations of “popularity” also break down</w:t>
      </w:r>
      <w:r>
        <w:rPr>
          <w:rFonts w:ascii="TimesNewRomanPSMT" w:hAnsi="TimesNewRomanPSMT" w:cs="Helvetica"/>
          <w:color w:val="0000FF"/>
          <w:sz w:val="24"/>
          <w:szCs w:val="24"/>
        </w:rPr>
        <w:t xml:space="preserve">, at close scrutiny, because of the contentious relationship between concepts of “popular” and “literary”: important literature should have some claim to cultural relevance, but it shouldn’t be </w:t>
      </w:r>
      <w:r>
        <w:rPr>
          <w:rFonts w:ascii="TimesNewRomanPSMT" w:hAnsi="TimesNewRomanPSMT" w:cs="Helvetica"/>
          <w:i/>
          <w:color w:val="0000FF"/>
          <w:sz w:val="24"/>
          <w:szCs w:val="24"/>
        </w:rPr>
        <w:t>too</w:t>
      </w:r>
      <w:r>
        <w:rPr>
          <w:rFonts w:ascii="TimesNewRomanPSMT" w:hAnsi="TimesNewRomanPSMT" w:cs="Helvetica"/>
          <w:color w:val="0000FF"/>
          <w:sz w:val="24"/>
          <w:szCs w:val="24"/>
        </w:rPr>
        <w:t xml:space="preserve"> popular or it becomes suspect.</w:t>
      </w:r>
      <w:r>
        <w:rPr>
          <w:rFonts w:ascii="TimesNewRomanPSMT" w:hAnsi="TimesNewRomanPSMT" w:cs="Helvetica"/>
          <w:color w:val="FC6FCF"/>
          <w:sz w:val="24"/>
          <w:szCs w:val="24"/>
        </w:rPr>
        <w:t xml:space="preserve"> </w:t>
      </w:r>
      <w:r>
        <w:rPr>
          <w:rFonts w:ascii="TimesNewRomanPSMT" w:hAnsi="TimesNewRomanPSMT" w:cs="Helvetica"/>
          <w:color w:val="0000FF"/>
          <w:sz w:val="24"/>
          <w:szCs w:val="24"/>
          <w:highlight w:val="magenta"/>
        </w:rPr>
        <w:t>Nonetheless, [TRANSITION]</w:t>
      </w:r>
    </w:p>
  </w:comment>
  <w:comment w:id="7" w:author="Lawrence Evalyn" w:initials="Lawrence ">
    <w:p w14:paraId="08040E8F" w14:textId="77777777" w:rsidR="002F0BEE" w:rsidRDefault="00B67DD8">
      <w:pPr>
        <w:rPr>
          <w:rFonts w:ascii="TimesNewRomanPSMT" w:hAnsi="TimesNewRomanPSMT" w:cs="Helvetica"/>
          <w:sz w:val="24"/>
          <w:szCs w:val="24"/>
          <w:highlight w:val="magenta"/>
        </w:rPr>
      </w:pPr>
      <w:r>
        <w:rPr>
          <w:rFonts w:ascii="TimesNewRomanPSMT" w:hAnsi="TimesNewRomanPSMT" w:cs="Helvetica"/>
          <w:sz w:val="24"/>
          <w:szCs w:val="24"/>
          <w:highlight w:val="yellow"/>
        </w:rPr>
        <w:t>Reviewers sought to dictate the social assessment of individual literary works in order to enforce morality for society at large.</w:t>
      </w:r>
      <w:r>
        <w:rPr>
          <w:rFonts w:ascii="TimesNewRomanPSMT" w:hAnsi="TimesNewRomanPSMT" w:cs="Helvetica"/>
          <w:color w:val="4C493A"/>
          <w:sz w:val="24"/>
          <w:szCs w:val="24"/>
        </w:rPr>
        <w:t xml:space="preserve">[ The emerging idea of </w:t>
      </w:r>
      <w:r>
        <w:rPr>
          <w:rFonts w:ascii="TimesNewRomanPSMT" w:hAnsi="TimesNewRomanPSMT" w:cs="Helvetica"/>
          <w:color w:val="4C493A"/>
          <w:sz w:val="24"/>
          <w:szCs w:val="24"/>
          <w:highlight w:val="yellow"/>
        </w:rPr>
        <w:t>the public sphere (cf Habermas)</w:t>
      </w:r>
      <w:r>
        <w:rPr>
          <w:rFonts w:ascii="TimesNewRomanPSMT" w:hAnsi="TimesNewRomanPSMT" w:cs="Helvetica"/>
          <w:color w:val="4C493A"/>
          <w:sz w:val="24"/>
          <w:szCs w:val="24"/>
        </w:rPr>
        <w:t xml:space="preserve"> in the eighteenth century brought with it an urgent task of literary ass</w:t>
      </w:r>
      <w:r>
        <w:rPr>
          <w:rFonts w:ascii="TimesNewRomanPSMT" w:hAnsi="TimesNewRomanPSMT" w:cs="Helvetica"/>
          <w:color w:val="4C493A"/>
          <w:sz w:val="24"/>
          <w:szCs w:val="24"/>
        </w:rPr>
        <w:t>essment. — this is true but maybe I don’t have to say it! and then I don’t have to waste time talking about Habermas]</w:t>
      </w:r>
      <w:r>
        <w:rPr>
          <w:rFonts w:ascii="TimesNewRomanPSMT" w:hAnsi="TimesNewRomanPSMT" w:cs="Helvetica"/>
          <w:sz w:val="24"/>
          <w:szCs w:val="24"/>
        </w:rPr>
        <w:t xml:space="preserve"> </w:t>
      </w:r>
      <w:r>
        <w:rPr>
          <w:rFonts w:ascii="TimesNewRomanPSMT" w:hAnsi="TimesNewRomanPSMT" w:cs="Helvetica"/>
          <w:sz w:val="24"/>
          <w:szCs w:val="24"/>
          <w:highlight w:val="magenta"/>
        </w:rPr>
        <w:t>[They basically say so themselves in their reviews—I’ll quote a juicy representative one.]</w:t>
      </w:r>
    </w:p>
  </w:comment>
  <w:comment w:id="8" w:author="Lawrence Evalyn" w:initials="Lawrence ">
    <w:p w14:paraId="1EAF30D5" w14:textId="77777777" w:rsidR="002F0BEE" w:rsidRDefault="00B67DD8">
      <w:pPr>
        <w:rPr>
          <w:rFonts w:ascii="TimesNewRomanPSMT" w:hAnsi="TimesNewRomanPSMT" w:cs="Helvetica"/>
          <w:sz w:val="24"/>
          <w:szCs w:val="24"/>
        </w:rPr>
      </w:pPr>
      <w:r>
        <w:rPr>
          <w:rFonts w:ascii="TimesNewRomanPSMT" w:hAnsi="TimesNewRomanPSMT" w:cs="Helvetica"/>
          <w:sz w:val="24"/>
          <w:szCs w:val="24"/>
        </w:rPr>
        <w:t xml:space="preserve">The really clever bit of Gamer’s argument is </w:t>
      </w:r>
      <w:r>
        <w:rPr>
          <w:rFonts w:ascii="TimesNewRomanPSMT" w:hAnsi="TimesNewRomanPSMT" w:cs="Helvetica"/>
          <w:sz w:val="24"/>
          <w:szCs w:val="24"/>
        </w:rPr>
        <w:t xml:space="preserve">that he then unpacks how Romantics, especially Wordsworth, use just enough Gothic material to sell their books while also repeating these conventional attacks on the Gothic — they get to have their cake and eat it too, pursuing both financial and cultural </w:t>
      </w:r>
      <w:r>
        <w:rPr>
          <w:rFonts w:ascii="TimesNewRomanPSMT" w:hAnsi="TimesNewRomanPSMT" w:cs="Helvetica"/>
          <w:sz w:val="24"/>
          <w:szCs w:val="24"/>
        </w:rPr>
        <w:t>capital. But I don’t think that’s relevant here.</w:t>
      </w:r>
    </w:p>
  </w:comment>
  <w:comment w:id="9" w:author="Lawrence Evalyn" w:initials="Lawrence ">
    <w:p w14:paraId="41F12DA6" w14:textId="77777777" w:rsidR="002F0BEE" w:rsidRDefault="00B67DD8">
      <w:pPr>
        <w:rPr>
          <w:rFonts w:ascii="Georgia" w:hAnsi="Georgia" w:cs="Helvetica"/>
          <w:color w:val="0F80FF"/>
          <w:sz w:val="22"/>
          <w:szCs w:val="24"/>
        </w:rPr>
      </w:pPr>
      <w:r>
        <w:rPr>
          <w:rFonts w:ascii="Georgia" w:hAnsi="Georgia" w:cs="Helvetica"/>
          <w:color w:val="0F80FF"/>
          <w:sz w:val="22"/>
          <w:szCs w:val="24"/>
        </w:rPr>
        <w:t>Q for Gillespie: should I still research “the new formalist work to reclaim the literary qua the literary - and e.g. Steve Conner's - ‘nah’” ? What is useful/important to address in this work, given what I s</w:t>
      </w:r>
      <w:r>
        <w:rPr>
          <w:rFonts w:ascii="Georgia" w:hAnsi="Georgia" w:cs="Helvetica"/>
          <w:color w:val="0F80FF"/>
          <w:sz w:val="22"/>
          <w:szCs w:val="24"/>
        </w:rPr>
        <w:t>ay here?</w:t>
      </w:r>
    </w:p>
  </w:comment>
  <w:comment w:id="11" w:author="Lawrence Evalyn" w:initials="Lawrence ">
    <w:p w14:paraId="5C712413" w14:textId="77777777" w:rsidR="002F0BEE" w:rsidRDefault="00B67DD8">
      <w:pPr>
        <w:rPr>
          <w:rFonts w:ascii="Georgia" w:hAnsi="Georgia" w:cs="Helvetica"/>
          <w:sz w:val="22"/>
          <w:szCs w:val="24"/>
        </w:rPr>
      </w:pPr>
      <w:r>
        <w:rPr>
          <w:rFonts w:ascii="Georgia" w:hAnsi="Georgia" w:cs="Helvetica"/>
          <w:sz w:val="22"/>
          <w:szCs w:val="24"/>
        </w:rPr>
        <w:t>Do I need to say more about this? I feel like I’ve already spent a long time on Guillory.</w:t>
      </w:r>
    </w:p>
    <w:p w14:paraId="7B81E6E2" w14:textId="77777777" w:rsidR="002F0BEE" w:rsidRDefault="002F0BEE">
      <w:pPr>
        <w:rPr>
          <w:rFonts w:ascii="Georgia" w:hAnsi="Georgia" w:cs="Helvetica"/>
          <w:sz w:val="22"/>
          <w:szCs w:val="24"/>
        </w:rPr>
      </w:pPr>
    </w:p>
    <w:p w14:paraId="41836137"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68355139" w14:textId="77777777" w:rsidR="002F0BEE" w:rsidRDefault="002F0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TimesNewRomanPSMT" w:hAnsi="TimesNewRomanPSMT" w:cs="Helvetica"/>
          <w:sz w:val="24"/>
          <w:szCs w:val="24"/>
        </w:rPr>
      </w:pPr>
    </w:p>
    <w:p w14:paraId="6079D42B" w14:textId="77777777" w:rsidR="002F0BEE" w:rsidRDefault="00B67D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360"/>
        <w:rPr>
          <w:rFonts w:ascii="Georgia" w:hAnsi="Georgia" w:cs="Helvetica"/>
          <w:sz w:val="22"/>
          <w:szCs w:val="24"/>
        </w:rPr>
      </w:pPr>
      <w:r>
        <w:rPr>
          <w:rFonts w:ascii="TimesNewRomanPSMT" w:hAnsi="TimesNewRomanPSMT" w:cs="Helvetica"/>
          <w:sz w:val="24"/>
          <w:szCs w:val="24"/>
        </w:rPr>
        <w:t xml:space="preserve">Bourdieu: “‘[T]o deny evaluative dichotomies is to pass a morality off for a politics. The dominated in the artistic and the intellectual fields have always practiced that form of radical chic which consists in rehabilitating socially inferior cultures of </w:t>
      </w:r>
      <w:r>
        <w:rPr>
          <w:rFonts w:ascii="TimesNewRomanPSMT" w:hAnsi="TimesNewRomanPSMT" w:cs="Helvetica"/>
          <w:sz w:val="24"/>
          <w:szCs w:val="24"/>
        </w:rPr>
        <w:t xml:space="preserve">the minor genres of legitimate culture. ... To denounce hierarchy does not get us / anywhere. </w:t>
      </w:r>
      <w:r>
        <w:rPr>
          <w:rFonts w:ascii="TimesNewRomanPSMT" w:hAnsi="TimesNewRomanPSMT" w:cs="Helvetica"/>
          <w:b/>
          <w:sz w:val="24"/>
          <w:szCs w:val="24"/>
        </w:rPr>
        <w:t>What must be changed are the conditions that make this hierarchy exist, both in reality and in minds. We must—I have never stopped repeating it—work to</w:t>
      </w:r>
      <w:r>
        <w:rPr>
          <w:rFonts w:ascii="TimesNewRomanPSMT" w:hAnsi="TimesNewRomanPSMT" w:cs="Helvetica"/>
          <w:b/>
          <w:i/>
          <w:sz w:val="24"/>
          <w:szCs w:val="24"/>
        </w:rPr>
        <w:t xml:space="preserve"> universali</w:t>
      </w:r>
      <w:r>
        <w:rPr>
          <w:rFonts w:ascii="TimesNewRomanPSMT" w:hAnsi="TimesNewRomanPSMT" w:cs="Helvetica"/>
          <w:b/>
          <w:i/>
          <w:sz w:val="24"/>
          <w:szCs w:val="24"/>
        </w:rPr>
        <w:t>ze in reality the conditions of access</w:t>
      </w:r>
      <w:r>
        <w:rPr>
          <w:rFonts w:ascii="TimesNewRomanPSMT" w:hAnsi="TimesNewRomanPSMT" w:cs="Helvetica"/>
          <w:b/>
          <w:sz w:val="24"/>
          <w:szCs w:val="24"/>
        </w:rPr>
        <w:t xml:space="preserve"> to what the present offers us that is most universal.</w:t>
      </w:r>
      <w:r>
        <w:rPr>
          <w:rFonts w:ascii="TimesNewRomanPSMT" w:hAnsi="TimesNewRomanPSMT" w:cs="Helvetica"/>
          <w:sz w:val="24"/>
          <w:szCs w:val="24"/>
        </w:rPr>
        <w:t>’" (Qtd in Guillory 339-340)</w:t>
      </w:r>
    </w:p>
  </w:comment>
  <w:comment w:id="17" w:author="Lawrence Evalyn" w:initials="Lawrence ">
    <w:p w14:paraId="3CCD5501" w14:textId="77777777" w:rsidR="002F0BEE" w:rsidRDefault="00B67DD8">
      <w:pPr>
        <w:rPr>
          <w:rFonts w:ascii="TimesNewRomanPSMT" w:hAnsi="TimesNewRomanPSMT" w:cs="Helvetica"/>
          <w:color w:val="2E3133"/>
          <w:sz w:val="24"/>
          <w:szCs w:val="24"/>
          <w:highlight w:val="white"/>
        </w:rPr>
      </w:pPr>
      <w:r>
        <w:rPr>
          <w:rFonts w:ascii="TimesNewRomanPSMT" w:hAnsi="TimesNewRomanPSMT" w:cs="Helvetica"/>
          <w:color w:val="2E3133"/>
          <w:sz w:val="24"/>
          <w:szCs w:val="24"/>
          <w:highlight w:val="white"/>
        </w:rPr>
        <w:t>unpack</w:t>
      </w:r>
    </w:p>
  </w:comment>
  <w:comment w:id="20" w:author="Lawrence Evalyn" w:initials="Lawrence ">
    <w:p w14:paraId="2C42E9F8" w14:textId="77777777" w:rsidR="002F0BEE" w:rsidRDefault="00B67DD8">
      <w:pPr>
        <w:rPr>
          <w:rFonts w:ascii="TimesNewRomanPSMT" w:hAnsi="TimesNewRomanPSMT" w:cs="Helvetica"/>
          <w:kern w:val="1"/>
          <w:sz w:val="24"/>
          <w:szCs w:val="24"/>
        </w:rPr>
      </w:pPr>
      <w:r>
        <w:rPr>
          <w:rFonts w:ascii="TimesNewRomanPSMT" w:hAnsi="TimesNewRomanPSMT" w:cs="Helvetica"/>
          <w:sz w:val="24"/>
          <w:szCs w:val="24"/>
        </w:rPr>
        <w:t>Ted Underwood’s “Genealogy of Distant Reading” presents a history of distant reading which is not for the most part centrally co</w:t>
      </w:r>
      <w:r>
        <w:rPr>
          <w:rFonts w:ascii="TimesNewRomanPSMT" w:hAnsi="TimesNewRomanPSMT" w:cs="Helvetica"/>
          <w:sz w:val="24"/>
          <w:szCs w:val="24"/>
        </w:rPr>
        <w:t>ncerned with computers, and is therefore fundamentally distinct from concepts of “digital humanities” \cite{Underwood:2017uc}. In Underwood’s history, distant reading is “a tradition continuous with earlier forms of macroscopic literary history, distinguis</w:t>
      </w:r>
      <w:r>
        <w:rPr>
          <w:rFonts w:ascii="TimesNewRomanPSMT" w:hAnsi="TimesNewRomanPSMT" w:cs="Helvetica"/>
          <w:sz w:val="24"/>
          <w:szCs w:val="24"/>
        </w:rPr>
        <w:t xml:space="preserve">hed only by an increasingly experimental method, organized by samples and hypotheses that get defined before conclusions are drawn” </w:t>
      </w:r>
      <w:r>
        <w:rPr>
          <w:rFonts w:ascii="TimesNewRomanPSMT" w:hAnsi="TimesNewRomanPSMT" w:cs="Helvetica"/>
          <w:color w:val="FC6FCF"/>
          <w:sz w:val="24"/>
          <w:szCs w:val="24"/>
        </w:rPr>
        <w:t>(</w:t>
      </w:r>
      <w:r>
        <w:rPr>
          <w:rFonts w:ascii="TimesNewRomanPSMT" w:hAnsi="TimesNewRomanPSMT" w:cs="Helvetica"/>
          <w:sz w:val="24"/>
          <w:szCs w:val="24"/>
        </w:rPr>
        <w:t xml:space="preserve">Underwood:2017uca p.29}. Underwood “tease[s] out the elided social-scientific genealogy behind distant reading” \cite{Underwood:2017uca p.39} to argue that the term “[d]istant reading was not coined to describe a radically new method. The first occurrence </w:t>
      </w:r>
      <w:r>
        <w:rPr>
          <w:rFonts w:ascii="TimesNewRomanPSMT" w:hAnsi="TimesNewRomanPSMT" w:cs="Helvetica"/>
          <w:sz w:val="24"/>
          <w:szCs w:val="24"/>
        </w:rPr>
        <w:t xml:space="preserve">of the phrase, in [Franco Moretti’s] ‘Conjectures on World Literature,’ seems in fact to describe the familiar scholarly activity of aggregating and summarizing previous research” </w:t>
      </w:r>
      <w:r>
        <w:rPr>
          <w:rFonts w:ascii="TimesNewRomanPSMT" w:hAnsi="TimesNewRomanPSMT" w:cs="Helvetica"/>
          <w:sz w:val="24"/>
          <w:szCs w:val="24"/>
          <w:highlight w:val="yellow"/>
        </w:rPr>
        <w:t>\cite{Underwood:2017uca p.9}</w:t>
      </w:r>
      <w:r>
        <w:rPr>
          <w:rFonts w:ascii="TimesNewRomanPSMT" w:hAnsi="TimesNewRomanPSMT" w:cs="Helvetica"/>
          <w:color w:val="4C493A"/>
          <w:sz w:val="24"/>
          <w:szCs w:val="24"/>
          <w:highlight w:val="white"/>
        </w:rPr>
        <w:t>[ what is your position on this? You go on to Bu</w:t>
      </w:r>
      <w:r>
        <w:rPr>
          <w:rFonts w:ascii="TimesNewRomanPSMT" w:hAnsi="TimesNewRomanPSMT" w:cs="Helvetica"/>
          <w:color w:val="4C493A"/>
          <w:sz w:val="24"/>
          <w:szCs w:val="24"/>
          <w:highlight w:val="white"/>
        </w:rPr>
        <w:t>urma who does connect distant reading to computation - and you suggest how you will draw on similar ideas about collaboeation etc - but this underwood bit dangles]</w:t>
      </w:r>
      <w:r>
        <w:rPr>
          <w:rFonts w:ascii="TimesNewRomanPSMT" w:hAnsi="TimesNewRomanPSMT" w:cs="Helvetica"/>
          <w:kern w:val="1"/>
          <w:sz w:val="24"/>
          <w:szCs w:val="24"/>
        </w:rPr>
        <w:t>.</w:t>
      </w:r>
    </w:p>
  </w:comment>
  <w:comment w:id="27" w:author="Lawrence Evalyn" w:initials="Lawrence ">
    <w:p w14:paraId="1E16AA6F" w14:textId="77777777" w:rsidR="002F0BEE" w:rsidRDefault="00B67DD8">
      <w:pPr>
        <w:rPr>
          <w:rFonts w:ascii="TimesNewRomanPSMT" w:hAnsi="TimesNewRomanPSMT" w:cs="Helvetica"/>
          <w:sz w:val="24"/>
          <w:szCs w:val="24"/>
        </w:rPr>
      </w:pPr>
      <w:r>
        <w:rPr>
          <w:rFonts w:ascii="TimesNewRomanPSMT" w:hAnsi="TimesNewRomanPSMT" w:cs="Helvetica"/>
          <w:sz w:val="24"/>
          <w:szCs w:val="24"/>
        </w:rPr>
        <w:t>cite Leah Price?</w:t>
      </w:r>
    </w:p>
  </w:comment>
  <w:comment w:id="28" w:author="Lawrence Evalyn" w:initials="Lawrence ">
    <w:p w14:paraId="669527E8" w14:textId="77777777" w:rsidR="002F0BEE" w:rsidRDefault="00B67DD8">
      <w:pPr>
        <w:rPr>
          <w:rFonts w:ascii="TimesNewRomanPSMT" w:hAnsi="TimesNewRomanPSMT" w:cs="Helvetica"/>
          <w:sz w:val="24"/>
          <w:szCs w:val="24"/>
        </w:rPr>
      </w:pPr>
      <w:r>
        <w:rPr>
          <w:rFonts w:ascii="TimesNewRomanPSMT" w:hAnsi="TimesNewRomanPSMT" w:cs="Helvetica"/>
          <w:sz w:val="24"/>
          <w:szCs w:val="24"/>
        </w:rPr>
        <w:t>need a citation for McCarty here</w:t>
      </w:r>
    </w:p>
  </w:comment>
  <w:comment w:id="32" w:author="Lawrence Evalyn" w:initials="Lawrence ">
    <w:p w14:paraId="0328E958" w14:textId="77777777" w:rsidR="002F0BEE" w:rsidRDefault="00B67DD8">
      <w:pPr>
        <w:rPr>
          <w:rFonts w:ascii="TimesNewRomanPSMT" w:hAnsi="TimesNewRomanPSMT" w:cs="Helvetica"/>
          <w:sz w:val="24"/>
          <w:szCs w:val="24"/>
        </w:rPr>
      </w:pPr>
      <w:r>
        <w:rPr>
          <w:rFonts w:ascii="TimesNewRomanPSMT" w:hAnsi="TimesNewRomanPSMT" w:cs="Helvetica"/>
          <w:sz w:val="24"/>
          <w:szCs w:val="24"/>
        </w:rPr>
        <w:t>footnote some examples</w:t>
      </w:r>
    </w:p>
  </w:comment>
  <w:comment w:id="43" w:author="Lawrence Evalyn" w:initials="Lawrence ">
    <w:p w14:paraId="538C8453" w14:textId="77777777" w:rsidR="002F0BEE" w:rsidRDefault="00B67DD8">
      <w:pPr>
        <w:rPr>
          <w:rFonts w:ascii="TimesNewRomanPSMT" w:hAnsi="TimesNewRomanPSMT" w:cs="Helvetica"/>
          <w:sz w:val="24"/>
          <w:szCs w:val="24"/>
        </w:rPr>
      </w:pPr>
      <w:r>
        <w:rPr>
          <w:rFonts w:ascii="TimesNewRomanPSMT" w:hAnsi="TimesNewRomanPSMT" w:cs="Helvetica"/>
          <w:sz w:val="24"/>
          <w:szCs w:val="24"/>
        </w:rPr>
        <w:t xml:space="preserve">maybe these whole </w:t>
      </w:r>
      <w:r>
        <w:rPr>
          <w:rFonts w:ascii="TimesNewRomanPSMT" w:hAnsi="TimesNewRomanPSMT" w:cs="Helvetica"/>
          <w:sz w:val="24"/>
          <w:szCs w:val="24"/>
        </w:rPr>
        <w:t>bibliography sections should just be tables?</w:t>
      </w:r>
    </w:p>
  </w:comment>
  <w:comment w:id="44" w:author="Lawrence Evalyn" w:initials="Lawrence ">
    <w:p w14:paraId="50BD3633" w14:textId="77777777" w:rsidR="002F0BEE" w:rsidRDefault="00B67DD8">
      <w:pPr>
        <w:rPr>
          <w:rFonts w:ascii="TimesNewRomanPSMT" w:hAnsi="TimesNewRomanPSMT" w:cs="Helvetica"/>
          <w:sz w:val="24"/>
          <w:szCs w:val="24"/>
        </w:rPr>
      </w:pPr>
      <w:r>
        <w:rPr>
          <w:rFonts w:ascii="TimesNewRomanPSMT" w:hAnsi="TimesNewRomanPSMT" w:cs="Helvetica"/>
          <w:sz w:val="24"/>
          <w:szCs w:val="24"/>
        </w:rPr>
        <w:t>add info about the “phases” of her novelistic career</w:t>
      </w:r>
    </w:p>
  </w:comment>
  <w:comment w:id="45" w:author="Lawrence Evalyn" w:initials="Lawrence ">
    <w:p w14:paraId="05D52F67" w14:textId="77777777" w:rsidR="002F0BEE" w:rsidRDefault="00B67DD8">
      <w:pPr>
        <w:rPr>
          <w:rFonts w:ascii="TimesNewRomanPSMT" w:hAnsi="TimesNewRomanPSMT" w:cs="Helvetica"/>
          <w:sz w:val="24"/>
          <w:szCs w:val="24"/>
        </w:rPr>
      </w:pPr>
      <w:r>
        <w:rPr>
          <w:rFonts w:ascii="TimesNewRomanPSMT" w:hAnsi="TimesNewRomanPSMT" w:cs="Helvetica"/>
          <w:sz w:val="24"/>
          <w:szCs w:val="24"/>
        </w:rPr>
        <w:t>when was the seventh???</w:t>
      </w:r>
    </w:p>
  </w:comment>
  <w:comment w:id="48" w:author="Lawrence Evalyn" w:initials="Lawrence ">
    <w:p w14:paraId="5E8832F8" w14:textId="77777777" w:rsidR="002F0BEE" w:rsidRDefault="00B67DD8">
      <w:pPr>
        <w:rPr>
          <w:rFonts w:ascii="TimesNewRomanPSMT" w:hAnsi="TimesNewRomanPSMT" w:cs="Helvetica"/>
          <w:sz w:val="24"/>
          <w:szCs w:val="24"/>
          <w:highlight w:val="magenta"/>
        </w:rPr>
      </w:pPr>
      <w:r>
        <w:rPr>
          <w:rFonts w:ascii="TimesNewRomanPSMT" w:hAnsi="TimesNewRomanPSMT" w:cs="Helvetica"/>
          <w:sz w:val="24"/>
          <w:szCs w:val="24"/>
          <w:highlight w:val="magenta"/>
        </w:rPr>
        <w:t>[Something about each Smith having her own peers…? Political Smith now becomes peers with Mary Robinson and Elizabeth Inchbald, wherea</w:t>
      </w:r>
      <w:r>
        <w:rPr>
          <w:rFonts w:ascii="TimesNewRomanPSMT" w:hAnsi="TimesNewRomanPSMT" w:cs="Helvetica"/>
          <w:sz w:val="24"/>
          <w:szCs w:val="24"/>
          <w:highlight w:val="magenta"/>
        </w:rPr>
        <w:t>s Poetic Smith is peers with Wordsworth &amp; Coleridge, and Novelistic Smith with Radcliffe etc]</w:t>
      </w:r>
    </w:p>
  </w:comment>
  <w:comment w:id="49" w:author="Lawrence Evalyn" w:initials="Lawrence ">
    <w:p w14:paraId="2A1848E9" w14:textId="77777777" w:rsidR="002F0BEE" w:rsidRDefault="00B67DD8">
      <w:pPr>
        <w:rPr>
          <w:rFonts w:ascii="TimesNewRomanPSMT" w:hAnsi="TimesNewRomanPSMT" w:cs="Helvetica"/>
          <w:sz w:val="24"/>
          <w:szCs w:val="24"/>
        </w:rPr>
      </w:pPr>
      <w:r>
        <w:rPr>
          <w:rFonts w:ascii="TimesNewRomanPSMT" w:hAnsi="TimesNewRomanPSMT" w:cs="Helvetica"/>
          <w:sz w:val="24"/>
          <w:szCs w:val="24"/>
        </w:rPr>
        <w:t>Labbe’s immediate answer: “Genre, it seems, carries a greater force in constructing our preconceptions of identity than has been recognized, and Smith is a case i</w:t>
      </w:r>
      <w:r>
        <w:rPr>
          <w:rFonts w:ascii="TimesNewRomanPSMT" w:hAnsi="TimesNewRomanPSMT" w:cs="Helvetica"/>
          <w:sz w:val="24"/>
          <w:szCs w:val="24"/>
        </w:rPr>
        <w:t>n point, a case we can crack by studying closely Smith’s style and techniques across genres.” (Labbe 5)</w:t>
      </w:r>
    </w:p>
  </w:comment>
  <w:comment w:id="58" w:author="Lawrence Evalyn" w:initials="Lawrence ">
    <w:p w14:paraId="00B1CCF1" w14:textId="77777777" w:rsidR="002F0BEE" w:rsidRDefault="00B67DD8">
      <w:pPr>
        <w:rPr>
          <w:rFonts w:ascii="TimesNewRomanPSMT" w:hAnsi="TimesNewRomanPSMT" w:cs="Helvetica"/>
          <w:i/>
          <w:color w:val="FC6FCF"/>
          <w:sz w:val="24"/>
          <w:szCs w:val="24"/>
        </w:rPr>
      </w:pPr>
      <w:r>
        <w:rPr>
          <w:rFonts w:ascii="TimesNewRomanPSMT" w:hAnsi="TimesNewRomanPSMT" w:cs="Helvetica"/>
          <w:color w:val="FC6FCF"/>
          <w:sz w:val="24"/>
          <w:szCs w:val="24"/>
        </w:rPr>
        <w:t>Radcliffe was paid £500 for this work, which was a highly-anticipated sensation (Facer)</w:t>
      </w:r>
    </w:p>
  </w:comment>
  <w:comment w:id="59" w:author="Lawrence Evalyn" w:initials="Lawrence ">
    <w:p w14:paraId="400FF92A" w14:textId="77777777" w:rsidR="002F0BEE" w:rsidRDefault="00B67DD8">
      <w:pPr>
        <w:rPr>
          <w:rFonts w:ascii="TimesNewRomanPSMT" w:hAnsi="TimesNewRomanPSMT" w:cs="Helvetica"/>
          <w:i/>
          <w:color w:val="FC6FCF"/>
          <w:sz w:val="24"/>
          <w:szCs w:val="24"/>
        </w:rPr>
      </w:pPr>
      <w:r>
        <w:rPr>
          <w:rFonts w:ascii="TimesNewRomanPSMT" w:hAnsi="TimesNewRomanPSMT" w:cs="Helvetica"/>
          <w:color w:val="FC6FCF"/>
          <w:sz w:val="24"/>
          <w:szCs w:val="24"/>
        </w:rPr>
        <w:t xml:space="preserve">She was paid £800 for </w:t>
      </w:r>
      <w:r>
        <w:rPr>
          <w:rFonts w:ascii="TimesNewRomanPSMT" w:hAnsi="TimesNewRomanPSMT" w:cs="Helvetica"/>
          <w:i/>
          <w:color w:val="FC6FCF"/>
          <w:sz w:val="24"/>
          <w:szCs w:val="24"/>
        </w:rPr>
        <w:t>The Italian</w:t>
      </w:r>
      <w:r>
        <w:rPr>
          <w:rFonts w:ascii="TimesNewRomanPSMT" w:hAnsi="TimesNewRomanPSMT" w:cs="Helvetica"/>
          <w:color w:val="FC6FCF"/>
          <w:sz w:val="24"/>
          <w:szCs w:val="24"/>
        </w:rPr>
        <w:t>.</w:t>
      </w:r>
    </w:p>
  </w:comment>
  <w:comment w:id="67" w:author="Lawrence Evalyn" w:initials="Lawrence ">
    <w:p w14:paraId="3FD6A244" w14:textId="77777777" w:rsidR="002F0BEE" w:rsidRDefault="00B67DD8">
      <w:pPr>
        <w:rPr>
          <w:rFonts w:ascii="TimesNewRomanPSMT" w:hAnsi="TimesNewRomanPSMT" w:cs="Helvetica"/>
          <w:color w:val="CC66FF"/>
          <w:sz w:val="24"/>
          <w:szCs w:val="24"/>
        </w:rPr>
      </w:pPr>
      <w:r>
        <w:rPr>
          <w:rFonts w:ascii="TimesNewRomanPSMT" w:hAnsi="TimesNewRomanPSMT" w:cs="Helvetica"/>
          <w:color w:val="6666FF"/>
          <w:sz w:val="24"/>
          <w:szCs w:val="24"/>
        </w:rPr>
        <w:t>“</w:t>
      </w:r>
      <w:r>
        <w:rPr>
          <w:rFonts w:ascii="TimesNewRomanPSMT" w:hAnsi="TimesNewRomanPSMT" w:cs="Helvetica"/>
          <w:color w:val="CC66FF"/>
          <w:sz w:val="24"/>
          <w:szCs w:val="24"/>
        </w:rPr>
        <w:t>For example, Roberts removed</w:t>
      </w:r>
      <w:r>
        <w:rPr>
          <w:rFonts w:ascii="TimesNewRomanPSMT" w:hAnsi="TimesNewRomanPSMT" w:cs="Helvetica"/>
          <w:color w:val="CC66FF"/>
          <w:sz w:val="24"/>
          <w:szCs w:val="24"/>
        </w:rPr>
        <w:t xml:space="preserve"> criticism of the State and the Church arguably softening the ground for portrayals of More by feminist critics as complicit with the patriarchy” (Blanch 7)</w:t>
      </w:r>
    </w:p>
  </w:comment>
  <w:comment w:id="82" w:author="Lawrence Evalyn" w:initials="Lawrence ">
    <w:p w14:paraId="281BE020" w14:textId="77777777" w:rsidR="002F0BEE" w:rsidRDefault="00B67DD8">
      <w:pPr>
        <w:rPr>
          <w:rFonts w:ascii="TimesNewRomanPSMT" w:hAnsi="TimesNewRomanPSMT" w:cs="Helvetica"/>
          <w:color w:val="0000FF"/>
          <w:sz w:val="24"/>
          <w:szCs w:val="24"/>
          <w:u w:val="single" w:color="0000E9"/>
        </w:rPr>
      </w:pPr>
      <w:r>
        <w:rPr>
          <w:rFonts w:ascii="TimesNewRomanPSMT" w:hAnsi="TimesNewRomanPSMT" w:cs="Helvetica"/>
          <w:sz w:val="24"/>
          <w:szCs w:val="24"/>
        </w:rPr>
        <w:t xml:space="preserve">not sure how best to cite this - </w:t>
      </w:r>
      <w:hyperlink r:id="rId1" w:history="1">
        <w:r>
          <w:rPr>
            <w:rFonts w:ascii="TimesNewRomanPSMT" w:hAnsi="TimesNewRomanPSMT" w:cs="Helvetica"/>
            <w:color w:val="0000FF"/>
            <w:sz w:val="24"/>
            <w:szCs w:val="24"/>
            <w:u w:val="single"/>
          </w:rPr>
          <w:t>http://estc.ucr.edu/ind</w:t>
        </w:r>
        <w:r>
          <w:rPr>
            <w:rFonts w:ascii="TimesNewRomanPSMT" w:hAnsi="TimesNewRomanPSMT" w:cs="Helvetica"/>
            <w:color w:val="0000FF"/>
            <w:sz w:val="24"/>
            <w:szCs w:val="24"/>
            <w:u w:val="single"/>
          </w:rPr>
          <w:t>ex.html#</w:t>
        </w:r>
      </w:hyperlink>
    </w:p>
  </w:comment>
  <w:comment w:id="83" w:author="Lawrence Evalyn" w:initials="Lawrence ">
    <w:p w14:paraId="5071E1CC" w14:textId="77777777" w:rsidR="002F0BEE" w:rsidRDefault="00B67DD8">
      <w:pPr>
        <w:rPr>
          <w:rFonts w:ascii="TimesNewRomanPSMT" w:hAnsi="TimesNewRomanPSMT" w:cs="Helvetica"/>
          <w:sz w:val="24"/>
          <w:szCs w:val="24"/>
        </w:rPr>
      </w:pPr>
      <w:r>
        <w:rPr>
          <w:rFonts w:ascii="TimesNewRomanPSMT" w:hAnsi="TimesNewRomanPSMT" w:cs="Helvetica"/>
          <w:sz w:val="24"/>
          <w:szCs w:val="24"/>
        </w:rPr>
        <w:t>add to bibliography</w:t>
      </w:r>
    </w:p>
  </w:comment>
  <w:comment w:id="87" w:author="Lawrence Evalyn" w:initials="Lawrence ">
    <w:p w14:paraId="3BF03576" w14:textId="77777777" w:rsidR="002F0BEE" w:rsidRDefault="00B67DD8">
      <w:pPr>
        <w:rPr>
          <w:rFonts w:ascii="TimesNewRomanPSMT" w:hAnsi="TimesNewRomanPSMT" w:cs="Helvetica"/>
          <w:sz w:val="24"/>
          <w:szCs w:val="24"/>
        </w:rPr>
      </w:pPr>
      <w:r>
        <w:rPr>
          <w:rFonts w:ascii="TimesNewRomanPSMT" w:hAnsi="TimesNewRomanPSMT" w:cs="Helvetica"/>
          <w:sz w:val="24"/>
          <w:szCs w:val="24"/>
        </w:rPr>
        <w:t>is this still true?</w:t>
      </w:r>
    </w:p>
  </w:comment>
  <w:comment w:id="95" w:author="Lawrence Evalyn" w:initials="Lawrence ">
    <w:p w14:paraId="093FCE5B" w14:textId="77777777" w:rsidR="002F0BEE" w:rsidRDefault="00B67DD8">
      <w:pPr>
        <w:rPr>
          <w:rFonts w:ascii="TimesNewRomanPSMT" w:hAnsi="TimesNewRomanPSMT" w:cs="Helvetica"/>
          <w:color w:val="2E3133"/>
          <w:sz w:val="24"/>
          <w:szCs w:val="24"/>
          <w:highlight w:val="white"/>
        </w:rPr>
      </w:pPr>
      <w:r>
        <w:rPr>
          <w:rFonts w:ascii="TimesNewRomanPSMT" w:hAnsi="TimesNewRomanPSMT" w:cs="Helvetica"/>
          <w:color w:val="2E3133"/>
          <w:sz w:val="24"/>
          <w:szCs w:val="24"/>
          <w:highlight w:val="white"/>
        </w:rPr>
        <w:t>does this not depend on the user? unpack</w:t>
      </w:r>
    </w:p>
  </w:comment>
  <w:comment w:id="117" w:author="Lawrence Evalyn" w:initials="Lawrence ">
    <w:p w14:paraId="6FDC2E68" w14:textId="77777777" w:rsidR="002F0BEE" w:rsidRDefault="00B67DD8">
      <w:pPr>
        <w:rPr>
          <w:rFonts w:ascii="TimesNewRomanPSMT" w:hAnsi="TimesNewRomanPSMT" w:cs="Helvetica"/>
          <w:sz w:val="24"/>
          <w:szCs w:val="24"/>
        </w:rPr>
      </w:pPr>
      <w:r>
        <w:rPr>
          <w:rFonts w:ascii="TimesNewRomanPSMT" w:hAnsi="TimesNewRomanPSMT" w:cs="Helvetica"/>
          <w:sz w:val="24"/>
          <w:szCs w:val="24"/>
        </w:rPr>
        <w:t xml:space="preserve">TK: Another tricky one. Might be best to avoid “popularity” unless you’re also going to factor in (as would be very hard) questions like print-runs (a nightmare </w:t>
      </w:r>
      <w:r>
        <w:rPr>
          <w:rFonts w:ascii="TimesNewRomanPSMT" w:hAnsi="TimesNewRomanPSMT" w:cs="Helvetica"/>
          <w:sz w:val="24"/>
          <w:szCs w:val="24"/>
        </w:rPr>
        <w:t>imponderable), circulation (something aimed at libraries might have many more readers per copy than a book for home), unauthorized newspaper serializations, anthologization (is that a word?), false title pages (where a self-proclaimed 2</w:t>
      </w:r>
      <w:r>
        <w:rPr>
          <w:rFonts w:ascii="TimesNewRomanPSMT" w:hAnsi="TimesNewRomanPSMT" w:cs="Helvetica"/>
          <w:position w:val="8"/>
          <w:sz w:val="18"/>
          <w:szCs w:val="24"/>
        </w:rPr>
        <w:t>nd</w:t>
      </w:r>
      <w:r>
        <w:rPr>
          <w:rFonts w:ascii="TimesNewRomanPSMT" w:hAnsi="TimesNewRomanPSMT" w:cs="Helvetica"/>
          <w:sz w:val="24"/>
          <w:szCs w:val="24"/>
        </w:rPr>
        <w:t xml:space="preserve"> or 10</w:t>
      </w:r>
      <w:r>
        <w:rPr>
          <w:rFonts w:ascii="TimesNewRomanPSMT" w:hAnsi="TimesNewRomanPSMT" w:cs="Helvetica"/>
          <w:position w:val="8"/>
          <w:sz w:val="18"/>
          <w:szCs w:val="24"/>
        </w:rPr>
        <w:t>th</w:t>
      </w:r>
      <w:r>
        <w:rPr>
          <w:rFonts w:ascii="TimesNewRomanPSMT" w:hAnsi="TimesNewRomanPSMT" w:cs="Helvetica"/>
          <w:sz w:val="24"/>
          <w:szCs w:val="24"/>
        </w:rPr>
        <w:t xml:space="preserve"> edition m</w:t>
      </w:r>
      <w:r>
        <w:rPr>
          <w:rFonts w:ascii="TimesNewRomanPSMT" w:hAnsi="TimesNewRomanPSMT" w:cs="Helvetica"/>
          <w:sz w:val="24"/>
          <w:szCs w:val="24"/>
        </w:rPr>
        <w:t>ight actually be just a new tp on remaindered sheets of a first edn that hasn’t sold. You could imagine (and this may have happened in practice) a novel published just once in 2,000 copies being more popular than one claiming five editions, none of which m</w:t>
      </w:r>
      <w:r>
        <w:rPr>
          <w:rFonts w:ascii="TimesNewRomanPSMT" w:hAnsi="TimesNewRomanPSMT" w:cs="Helvetica"/>
          <w:sz w:val="24"/>
          <w:szCs w:val="24"/>
        </w:rPr>
        <w:t>ay have been more than 500 copies, and some of which may not have been true new editions at all. But which would come up as more popular give your metrics? This is all really tricky stuff and I think you’ll need a thorough discussion of the issues and assu</w:t>
      </w:r>
      <w:r>
        <w:rPr>
          <w:rFonts w:ascii="TimesNewRomanPSMT" w:hAnsi="TimesNewRomanPSMT" w:cs="Helvetica"/>
          <w:sz w:val="24"/>
          <w:szCs w:val="24"/>
        </w:rPr>
        <w:t>mptions.</w:t>
      </w:r>
    </w:p>
  </w:comment>
  <w:comment w:id="118" w:author="Lawrence Evalyn" w:initials="Lawrence ">
    <w:p w14:paraId="6CED3235" w14:textId="77777777" w:rsidR="002F0BEE" w:rsidRDefault="00B67DD8">
      <w:pPr>
        <w:rPr>
          <w:rFonts w:ascii="TimesNewRomanPSMT" w:hAnsi="TimesNewRomanPSMT" w:cs="Helvetica"/>
          <w:sz w:val="24"/>
          <w:szCs w:val="24"/>
        </w:rPr>
      </w:pPr>
      <w:r>
        <w:rPr>
          <w:rFonts w:ascii="TimesNewRomanPSMT" w:hAnsi="TimesNewRomanPSMT" w:cs="Helvetica"/>
          <w:sz w:val="24"/>
          <w:szCs w:val="24"/>
        </w:rPr>
        <w:t>Lesser and Farmer also include profitability as one of the four measurements relevant to popularity in the book trade, but profitability is beyond the current scope of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0B4FDF" w15:done="0"/>
  <w15:commentEx w15:paraId="08040E8F" w15:done="0"/>
  <w15:commentEx w15:paraId="1EAF30D5" w15:done="0"/>
  <w15:commentEx w15:paraId="41F12DA6" w15:done="0"/>
  <w15:commentEx w15:paraId="6079D42B" w15:done="0"/>
  <w15:commentEx w15:paraId="3CCD5501" w15:done="0"/>
  <w15:commentEx w15:paraId="2C42E9F8" w15:done="0"/>
  <w15:commentEx w15:paraId="1E16AA6F" w15:done="0"/>
  <w15:commentEx w15:paraId="669527E8" w15:done="0"/>
  <w15:commentEx w15:paraId="0328E958" w15:done="0"/>
  <w15:commentEx w15:paraId="538C8453" w15:done="0"/>
  <w15:commentEx w15:paraId="50BD3633" w15:done="0"/>
  <w15:commentEx w15:paraId="05D52F67" w15:done="0"/>
  <w15:commentEx w15:paraId="5E8832F8" w15:done="0"/>
  <w15:commentEx w15:paraId="2A1848E9" w15:done="0"/>
  <w15:commentEx w15:paraId="00B1CCF1" w15:done="0"/>
  <w15:commentEx w15:paraId="400FF92A" w15:done="0"/>
  <w15:commentEx w15:paraId="3FD6A244" w15:done="0"/>
  <w15:commentEx w15:paraId="281BE020" w15:done="0"/>
  <w15:commentEx w15:paraId="5071E1CC" w15:done="0"/>
  <w15:commentEx w15:paraId="3BF03576" w15:done="0"/>
  <w15:commentEx w15:paraId="093FCE5B" w15:done="0"/>
  <w15:commentEx w15:paraId="6FDC2E68" w15:done="0"/>
  <w15:commentEx w15:paraId="6CED32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0B4FDF" w16cid:durableId="21D9BEB0"/>
  <w16cid:commentId w16cid:paraId="08040E8F" w16cid:durableId="21D9BEB1"/>
  <w16cid:commentId w16cid:paraId="1EAF30D5" w16cid:durableId="21D9BEB2"/>
  <w16cid:commentId w16cid:paraId="41F12DA6" w16cid:durableId="21D9BEB3"/>
  <w16cid:commentId w16cid:paraId="6079D42B" w16cid:durableId="21D9BEB4"/>
  <w16cid:commentId w16cid:paraId="3CCD5501" w16cid:durableId="21D9BEB5"/>
  <w16cid:commentId w16cid:paraId="2C42E9F8" w16cid:durableId="21D9BEB6"/>
  <w16cid:commentId w16cid:paraId="1E16AA6F" w16cid:durableId="21D9BEB7"/>
  <w16cid:commentId w16cid:paraId="669527E8" w16cid:durableId="21D9BEB8"/>
  <w16cid:commentId w16cid:paraId="0328E958" w16cid:durableId="21D9BEB9"/>
  <w16cid:commentId w16cid:paraId="538C8453" w16cid:durableId="21D9BEBA"/>
  <w16cid:commentId w16cid:paraId="50BD3633" w16cid:durableId="21D9BEBB"/>
  <w16cid:commentId w16cid:paraId="05D52F67" w16cid:durableId="21D9BEBC"/>
  <w16cid:commentId w16cid:paraId="5E8832F8" w16cid:durableId="21D9BEBD"/>
  <w16cid:commentId w16cid:paraId="2A1848E9" w16cid:durableId="21D9BEBE"/>
  <w16cid:commentId w16cid:paraId="00B1CCF1" w16cid:durableId="21D9BEBF"/>
  <w16cid:commentId w16cid:paraId="400FF92A" w16cid:durableId="21D9BEC0"/>
  <w16cid:commentId w16cid:paraId="3FD6A244" w16cid:durableId="21D9BEC1"/>
  <w16cid:commentId w16cid:paraId="281BE020" w16cid:durableId="21D9BEC2"/>
  <w16cid:commentId w16cid:paraId="5071E1CC" w16cid:durableId="21D9BEC3"/>
  <w16cid:commentId w16cid:paraId="3BF03576" w16cid:durableId="21D9BEC4"/>
  <w16cid:commentId w16cid:paraId="093FCE5B" w16cid:durableId="21D9BEC5"/>
  <w16cid:commentId w16cid:paraId="6FDC2E68" w16cid:durableId="21D9BEC6"/>
  <w16cid:commentId w16cid:paraId="6CED3235" w16cid:durableId="21D9B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628B3" w14:textId="77777777" w:rsidR="00B67DD8" w:rsidRDefault="00B67DD8">
      <w:r>
        <w:separator/>
      </w:r>
    </w:p>
  </w:endnote>
  <w:endnote w:type="continuationSeparator" w:id="0">
    <w:p w14:paraId="4FB2396E" w14:textId="77777777" w:rsidR="00B67DD8" w:rsidRDefault="00B6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639EB" w14:textId="77777777" w:rsidR="002F0BEE" w:rsidRDefault="00B67DD8">
    <w:pPr>
      <w:jc w:val="center"/>
      <w:rPr>
        <w:rFonts w:ascii="Helvetica" w:hAnsi="Helvetica" w:cs="Helvetica"/>
        <w:sz w:val="24"/>
        <w:szCs w:val="24"/>
      </w:rPr>
    </w:pPr>
    <w:r>
      <w:rPr>
        <w:rFonts w:ascii="Helvetica" w:hAnsi="Helvetica" w:cs="Helvetica"/>
        <w:sz w:val="24"/>
        <w:szCs w:val="24"/>
      </w:rPr>
      <w:fldChar w:fldCharType="begin"/>
    </w:r>
    <w:r>
      <w:rPr>
        <w:rFonts w:ascii="Helvetica" w:hAnsi="Helvetica" w:cs="Helvetica"/>
        <w:sz w:val="24"/>
        <w:szCs w:val="24"/>
      </w:rPr>
      <w:instrText>PAGE</w:instrText>
    </w:r>
    <w:r>
      <w:rPr>
        <w:rFonts w:ascii="Helvetica" w:hAnsi="Helvetica" w:cs="Helvetica"/>
        <w:sz w:val="24"/>
        <w:szCs w:val="24"/>
      </w:rPr>
      <w:fldChar w:fldCharType="separate"/>
    </w:r>
    <w:r>
      <w:rPr>
        <w:rFonts w:ascii="Helvetica" w:hAnsi="Helvetica" w:cs="Helvetica"/>
        <w:sz w:val="24"/>
        <w:szCs w:val="24"/>
      </w:rPr>
      <w:t>86</w:t>
    </w:r>
    <w:r>
      <w:rPr>
        <w:rFonts w:ascii="Helvetica" w:hAnsi="Helvetica" w:cs="Helvetic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B4374" w14:textId="77777777" w:rsidR="00B67DD8" w:rsidRDefault="00B67DD8">
      <w:r>
        <w:separator/>
      </w:r>
    </w:p>
  </w:footnote>
  <w:footnote w:type="continuationSeparator" w:id="0">
    <w:p w14:paraId="2DB827EE" w14:textId="77777777" w:rsidR="00B67DD8" w:rsidRDefault="00B67DD8">
      <w:r>
        <w:continuationSeparator/>
      </w:r>
    </w:p>
  </w:footnote>
  <w:footnote w:id="1">
    <w:p w14:paraId="71961A7D"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 xml:space="preserve">More specifically, these “authors” are “Great Britain, </w:t>
      </w:r>
      <w:r>
        <w:rPr>
          <w:rFonts w:ascii="TimesNewRomanPSMT" w:hAnsi="TimesNewRomanPSMT" w:cs="Helvetica"/>
          <w:sz w:val="24"/>
          <w:szCs w:val="24"/>
        </w:rPr>
        <w:t>Parliament,” “Great Britain,” “Great Britain, Parliament, House of Commons,” “Great Britain, Lords Commissioners of Appeals in Prize Causes,” and King George III. After King George comes Thomas Paine and Hannah More, and then it’s “Great Britain, Parliamen</w:t>
      </w:r>
      <w:r>
        <w:rPr>
          <w:rFonts w:ascii="TimesNewRomanPSMT" w:hAnsi="TimesNewRomanPSMT" w:cs="Helvetica"/>
          <w:sz w:val="24"/>
          <w:szCs w:val="24"/>
        </w:rPr>
        <w:t>t, House of Lords” and “Church of England.”</w:t>
      </w:r>
    </w:p>
  </w:footnote>
  <w:footnote w:id="2">
    <w:p w14:paraId="26832E37"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Google Books and Project Gutenberg are not, of course, traditionally “scholarly” resources, but that is why they form an informative contrast with the other resources examined.</w:t>
      </w:r>
    </w:p>
  </w:footnote>
  <w:footnote w:id="3">
    <w:p w14:paraId="1190B0C0"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This calculation is carried out</w:t>
      </w:r>
      <w:r>
        <w:rPr>
          <w:rFonts w:ascii="TimesNewRomanPSMT" w:hAnsi="TimesNewRomanPSMT" w:cs="Helvetica"/>
          <w:sz w:val="24"/>
          <w:szCs w:val="24"/>
        </w:rPr>
        <w:t xml:space="preserve"> by manually examining the metadata of the six corpora I have acquired.</w:t>
      </w:r>
    </w:p>
  </w:footnote>
  <w:footnote w:id="4">
    <w:p w14:paraId="76D97523"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This calculation is carried out by a small, simple program I am writing, described in Appendix A. Because the program just simplifies a straightforward process of counting, it is onl</w:t>
      </w:r>
      <w:r>
        <w:rPr>
          <w:rFonts w:ascii="TimesNewRomanPSMT" w:hAnsi="TimesNewRomanPSMT" w:cs="Helvetica"/>
          <w:sz w:val="24"/>
          <w:szCs w:val="24"/>
        </w:rPr>
        <w:t>y lightly theorized in the dissertation itself.</w:t>
      </w:r>
    </w:p>
  </w:footnote>
  <w:footnote w:id="5">
    <w:p w14:paraId="0F6FB32F"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I already know that ‘titles per year’ are distributed fascinatingly differently between ECCO, ECCO-TCP, ESTC, and HathiTrust</w:t>
      </w:r>
    </w:p>
  </w:footnote>
  <w:footnote w:id="6">
    <w:p w14:paraId="4B39C21A"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This calculation is carried out by a larger, more complex program I am writing,</w:t>
      </w:r>
      <w:r>
        <w:rPr>
          <w:rFonts w:ascii="TimesNewRomanPSMT" w:hAnsi="TimesNewRomanPSMT" w:cs="Helvetica"/>
          <w:sz w:val="24"/>
          <w:szCs w:val="24"/>
        </w:rPr>
        <w:t xml:space="preserve"> applying topic modelling to the titles of works. Because it makes several major interpretive choices, it is theorized and discussed in detail when it is applied.</w:t>
      </w:r>
    </w:p>
  </w:footnote>
  <w:footnote w:id="7">
    <w:p w14:paraId="01D849D9" w14:textId="77777777" w:rsidR="002F0BEE" w:rsidRDefault="00B67DD8">
      <w:pPr>
        <w:pStyle w:val="Footnote"/>
        <w:ind w:firstLine="360"/>
        <w:rPr>
          <w:rFonts w:ascii="Georgia" w:hAnsi="Georgia" w:cs="Helvetica"/>
          <w:sz w:val="22"/>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Georgia" w:hAnsi="Georgia" w:cs="Helvetica"/>
          <w:sz w:val="22"/>
          <w:szCs w:val="24"/>
        </w:rPr>
        <w:t>‘Too much’ and ‘too little’ are here, of course, defined from the point of those with cultu</w:t>
      </w:r>
      <w:r>
        <w:rPr>
          <w:rFonts w:ascii="Georgia" w:hAnsi="Georgia" w:cs="Helvetica"/>
          <w:sz w:val="22"/>
          <w:szCs w:val="24"/>
        </w:rPr>
        <w:t>ral capital which they wish to maintain.</w:t>
      </w:r>
    </w:p>
  </w:footnote>
  <w:footnote w:id="8">
    <w:p w14:paraId="6195BA9C" w14:textId="77777777" w:rsidR="002F0BEE" w:rsidRDefault="00B67DD8">
      <w:pPr>
        <w:pStyle w:val="Footnote"/>
        <w:ind w:firstLine="360"/>
        <w:rPr>
          <w:rFonts w:ascii="Georgia" w:hAnsi="Georgia" w:cs="Helvetica"/>
          <w:sz w:val="22"/>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Georgia" w:hAnsi="Georgia" w:cs="Helvetica"/>
          <w:sz w:val="22"/>
          <w:szCs w:val="24"/>
        </w:rPr>
        <w:t>Part of Guillory’s argument is that, although the rhetoric of the canon debates generally sought to re-value authors of any number of oppressed categories, often using the phrase “gender, race, and class” as a sin</w:t>
      </w:r>
      <w:r>
        <w:rPr>
          <w:rFonts w:ascii="Georgia" w:hAnsi="Georgia" w:cs="Helvetica"/>
          <w:sz w:val="22"/>
          <w:szCs w:val="24"/>
        </w:rPr>
        <w:t>gle unit, the work undertaken was in fact unable to address class, since class operates differently from gender and race.</w:t>
      </w:r>
    </w:p>
  </w:footnote>
  <w:footnote w:id="9">
    <w:p w14:paraId="4824D607" w14:textId="77777777" w:rsidR="002F0BEE" w:rsidRDefault="00B67DD8">
      <w:pPr>
        <w:pStyle w:val="Footnote"/>
        <w:ind w:firstLine="360"/>
        <w:rPr>
          <w:rFonts w:ascii="Georgia" w:hAnsi="Georgia" w:cs="Helvetica"/>
          <w:sz w:val="22"/>
          <w:szCs w:val="24"/>
          <w:highlight w:val="white"/>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Georgia" w:hAnsi="Georgia" w:cs="Helvetica"/>
          <w:kern w:val="1"/>
          <w:sz w:val="22"/>
          <w:szCs w:val="24"/>
        </w:rPr>
        <w:t xml:space="preserve">Appendix B (“Methodology”) contains many examples of these algorithmic procedures executed by the human researcher and the </w:t>
      </w:r>
      <w:r>
        <w:rPr>
          <w:rFonts w:ascii="Georgia" w:hAnsi="Georgia" w:cs="Helvetica"/>
          <w:kern w:val="1"/>
          <w:sz w:val="22"/>
          <w:szCs w:val="24"/>
        </w:rPr>
        <w:t>computational programs in concert. The act of writing a program is an iterative process of delegation.</w:t>
      </w:r>
    </w:p>
  </w:footnote>
  <w:footnote w:id="10">
    <w:p w14:paraId="4833B5D7" w14:textId="77777777" w:rsidR="002F0BEE" w:rsidRDefault="00B67DD8">
      <w:pPr>
        <w:pStyle w:val="Footnote"/>
        <w:ind w:firstLine="360"/>
        <w:rPr>
          <w:rFonts w:ascii="Georgia" w:hAnsi="Georgia" w:cs="Helvetica"/>
          <w:sz w:val="22"/>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Georgia" w:hAnsi="Georgia" w:cs="Helvetica"/>
          <w:sz w:val="22"/>
          <w:szCs w:val="24"/>
        </w:rPr>
        <w:t xml:space="preserve">Indeed, Buurma notes, “There are good reasons, of course, that scholars and journalists like to begin with Busa: he was the first concordance-maker to </w:t>
      </w:r>
      <w:r>
        <w:rPr>
          <w:rFonts w:ascii="Georgia" w:hAnsi="Georgia" w:cs="Helvetica"/>
          <w:sz w:val="22"/>
          <w:szCs w:val="24"/>
        </w:rPr>
        <w:t>automate all five stages of the process, in 1951,” and he intentionally foregrounded and publicized the innovative nature of his work. \cite{Buurma:2018wt}</w:t>
      </w:r>
    </w:p>
  </w:footnote>
  <w:footnote w:id="11">
    <w:p w14:paraId="02D3D725" w14:textId="77777777" w:rsidR="002F0BEE" w:rsidRDefault="00B67DD8">
      <w:pPr>
        <w:pStyle w:val="Footnote"/>
        <w:ind w:firstLine="360"/>
        <w:rPr>
          <w:rFonts w:ascii="Georgia" w:hAnsi="Georgia" w:cs="Helvetica"/>
          <w:sz w:val="22"/>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Georgia" w:hAnsi="Georgia" w:cs="Helvetica"/>
          <w:sz w:val="22"/>
          <w:szCs w:val="24"/>
        </w:rPr>
        <w:t>In the interest of preserving this history of citation, the students were Mary Jackman and Helen S</w:t>
      </w:r>
      <w:r>
        <w:rPr>
          <w:rFonts w:ascii="Georgia" w:hAnsi="Georgia" w:cs="Helvetica"/>
          <w:sz w:val="22"/>
          <w:szCs w:val="24"/>
        </w:rPr>
        <w:t>. Agoa, credited on the cover of the published Dryden index. (Miles herself attached her name only to the preface.) From the computer lab staff, Miles particularly thanked Shirley Rice, Odette Carothers, and Penny Gee.</w:t>
      </w:r>
    </w:p>
  </w:footnote>
  <w:footnote w:id="12">
    <w:p w14:paraId="13F15859"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It may also be the case, of course,</w:t>
      </w:r>
      <w:r>
        <w:rPr>
          <w:rFonts w:ascii="TimesNewRomanPSMT" w:hAnsi="TimesNewRomanPSMT" w:cs="Helvetica"/>
          <w:sz w:val="24"/>
          <w:szCs w:val="24"/>
        </w:rPr>
        <w:t xml:space="preserve"> that even fields with a long history of graphical display would benefit from greater scrutiny of the evidence they use; see: the Data Dinosaur. But this is beyond the remit of what an English PhD can address.</w:t>
      </w:r>
    </w:p>
  </w:footnote>
  <w:footnote w:id="13">
    <w:p w14:paraId="2CD700C3"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I cite Tufte and Cairo as the thinkers whose</w:t>
      </w:r>
      <w:r>
        <w:rPr>
          <w:rFonts w:ascii="TimesNewRomanPSMT" w:hAnsi="TimesNewRomanPSMT" w:cs="Helvetica"/>
          <w:sz w:val="24"/>
          <w:szCs w:val="24"/>
        </w:rPr>
        <w:t xml:space="preserve"> design philosophies best accord with my own current understanding of the work and craft of persuasive data visualization, but my actual practical training as a graphic designer is indebted to Judith Galas, Sonia Davis Gutiérrez, and Tom Hapgood.</w:t>
      </w:r>
    </w:p>
  </w:footnote>
  <w:footnote w:id="14">
    <w:p w14:paraId="4F450CAF" w14:textId="77777777" w:rsidR="002F0BEE" w:rsidRDefault="00B67DD8">
      <w:pPr>
        <w:pStyle w:val="Footnote"/>
        <w:ind w:firstLine="360"/>
        <w:rPr>
          <w:rFonts w:ascii="TimesNewRomanPSMT" w:hAnsi="TimesNewRomanPSMT" w:cs="Helvetica"/>
          <w:color w:val="000000"/>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color w:val="000000"/>
          <w:sz w:val="24"/>
          <w:szCs w:val="24"/>
        </w:rPr>
        <w:t>Tufte i</w:t>
      </w:r>
      <w:r>
        <w:rPr>
          <w:rFonts w:ascii="TimesNewRomanPSMT" w:hAnsi="TimesNewRomanPSMT" w:cs="Helvetica"/>
          <w:color w:val="000000"/>
          <w:sz w:val="24"/>
          <w:szCs w:val="24"/>
        </w:rPr>
        <w:t>s careful not to blame the engineers for being better at engineering and systems analysis than they were at design: rather, this example shows that design is a skill that involves expertise; when designs matter, people with that expertise need to be involv</w:t>
      </w:r>
      <w:r>
        <w:rPr>
          <w:rFonts w:ascii="TimesNewRomanPSMT" w:hAnsi="TimesNewRomanPSMT" w:cs="Helvetica"/>
          <w:color w:val="000000"/>
          <w:sz w:val="24"/>
          <w:szCs w:val="24"/>
        </w:rPr>
        <w:t>ed.</w:t>
      </w:r>
    </w:p>
  </w:footnote>
  <w:footnote w:id="15">
    <w:p w14:paraId="2704793B"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1. show comparisons, contrasts, differences 2. show causality, mechanism, explanation, systemic structure (intervention relies on manipulable causality -- can't do anything with the information without causality) 3. show multiple variables (3 or more</w:t>
      </w:r>
      <w:r>
        <w:rPr>
          <w:rFonts w:ascii="TimesNewRomanPSMT" w:hAnsi="TimesNewRomanPSMT" w:cs="Helvetica"/>
          <w:sz w:val="24"/>
          <w:szCs w:val="24"/>
        </w:rPr>
        <w:t>) -- the world is multivariate 4. *completely integrate* words, numbers, maps, graphics, etc, etc. Provide information at exact point of need 5. documentation must thoroughly describe evidence and its sources, provide complete measurement scales 6. present</w:t>
      </w:r>
      <w:r>
        <w:rPr>
          <w:rFonts w:ascii="TimesNewRomanPSMT" w:hAnsi="TimesNewRomanPSMT" w:cs="Helvetica"/>
          <w:sz w:val="24"/>
          <w:szCs w:val="24"/>
        </w:rPr>
        <w:t>ations succeed based on their content. for better presentations, get better content.</w:t>
      </w:r>
    </w:p>
  </w:footnote>
  <w:footnote w:id="16">
    <w:p w14:paraId="71AB963C"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w:t>
      </w:r>
      <w:r>
        <w:rPr>
          <w:rFonts w:ascii="TimesNewRomanPSMT" w:hAnsi="TimesNewRomanPSMT" w:cs="Helvetica"/>
          <w:sz w:val="24"/>
          <w:szCs w:val="24"/>
          <w:highlight w:val="magenta"/>
        </w:rPr>
        <w:t>Harper 2016; Jacsó 2008; Weiss 2016) (CITE Mike Sutton and Mark D. Griffiths</w:t>
      </w:r>
      <w:r>
        <w:rPr>
          <w:rFonts w:ascii="TimesNewRomanPSMT" w:hAnsi="TimesNewRomanPSMT" w:cs="Helvetica"/>
          <w:sz w:val="24"/>
          <w:szCs w:val="24"/>
        </w:rPr>
        <w:t>)</w:t>
      </w:r>
    </w:p>
  </w:footnote>
  <w:footnote w:id="17">
    <w:p w14:paraId="5EAF78C7"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CITE http://languagelog.ldc.upenn.edu/nll/?p=1701</w:t>
      </w:r>
    </w:p>
  </w:footnote>
  <w:footnote w:id="18">
    <w:p w14:paraId="0CB9433C"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 xml:space="preserve">For example, it might be able to </w:t>
      </w:r>
      <w:r>
        <w:rPr>
          <w:rFonts w:ascii="TimesNewRomanPSMT" w:hAnsi="TimesNewRomanPSMT" w:cs="Helvetica"/>
          <w:sz w:val="24"/>
          <w:szCs w:val="24"/>
        </w:rPr>
        <w:t>acquire a text document with all of the words of a novel, but sorted into alphabetic order: such a text file can be used for some analyses based on word-frequency, but cannot be read. Or, it might be possible to find collocations of where a given word appe</w:t>
      </w:r>
      <w:r>
        <w:rPr>
          <w:rFonts w:ascii="TimesNewRomanPSMT" w:hAnsi="TimesNewRomanPSMT" w:cs="Helvetica"/>
          <w:sz w:val="24"/>
          <w:szCs w:val="24"/>
        </w:rPr>
        <w:t>ars, but with only a limited number of words of context on either side of the term in question. Or, scholars can run pre-written code provided by HathiTrust to carry out things like topic modelling on the full, intact texts of their chosen works, but witho</w:t>
      </w:r>
      <w:r>
        <w:rPr>
          <w:rFonts w:ascii="TimesNewRomanPSMT" w:hAnsi="TimesNewRomanPSMT" w:cs="Helvetica"/>
          <w:sz w:val="24"/>
          <w:szCs w:val="24"/>
        </w:rPr>
        <w:t>ut being able to inspect those texts or run their own code on them. All of these modes of analysis make research much more difficult to carry out, and nearly impossible to verify. In the study of contemporary copyrighted literature, however, even these ver</w:t>
      </w:r>
      <w:r>
        <w:rPr>
          <w:rFonts w:ascii="TimesNewRomanPSMT" w:hAnsi="TimesNewRomanPSMT" w:cs="Helvetica"/>
          <w:sz w:val="24"/>
          <w:szCs w:val="24"/>
        </w:rPr>
        <w:t>y limited tools for corpus analysis are valuable.</w:t>
      </w:r>
    </w:p>
  </w:footnote>
  <w:footnote w:id="19">
    <w:p w14:paraId="3A551F93"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 xml:space="preserve">I have heard it quipped more than once in conferences sessions that you always </w:t>
      </w:r>
      <w:r>
        <w:rPr>
          <w:rFonts w:ascii="TimesNewRomanPSMT" w:hAnsi="TimesNewRomanPSMT" w:cs="Helvetica"/>
          <w:i/>
          <w:sz w:val="24"/>
          <w:szCs w:val="24"/>
        </w:rPr>
        <w:t>think</w:t>
      </w:r>
      <w:r>
        <w:rPr>
          <w:rFonts w:ascii="TimesNewRomanPSMT" w:hAnsi="TimesNewRomanPSMT" w:cs="Helvetica"/>
          <w:sz w:val="24"/>
          <w:szCs w:val="24"/>
        </w:rPr>
        <w:t xml:space="preserve"> that you’re going to get your texts from OCR, but you always </w:t>
      </w:r>
      <w:r>
        <w:rPr>
          <w:rFonts w:ascii="TimesNewRomanPSMT" w:hAnsi="TimesNewRomanPSMT" w:cs="Helvetica"/>
          <w:i/>
          <w:sz w:val="24"/>
          <w:szCs w:val="24"/>
        </w:rPr>
        <w:t>do</w:t>
      </w:r>
      <w:r>
        <w:rPr>
          <w:rFonts w:ascii="TimesNewRomanPSMT" w:hAnsi="TimesNewRomanPSMT" w:cs="Helvetica"/>
          <w:sz w:val="24"/>
          <w:szCs w:val="24"/>
        </w:rPr>
        <w:t xml:space="preserve"> get them from Project Gutenberg.</w:t>
      </w:r>
    </w:p>
  </w:footnote>
  <w:footnote w:id="20">
    <w:p w14:paraId="6EA92EE1"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Although these event</w:t>
      </w:r>
      <w:r>
        <w:rPr>
          <w:rFonts w:ascii="TimesNewRomanPSMT" w:hAnsi="TimesNewRomanPSMT" w:cs="Helvetica"/>
          <w:sz w:val="24"/>
          <w:szCs w:val="24"/>
        </w:rPr>
        <w:t>s, of course, did not occur on January 1 or December 31, respectively, the entirety of 1789 and 1799 are both included in my study, out of sheer technological necessity.</w:t>
      </w:r>
    </w:p>
  </w:footnote>
  <w:footnote w:id="21">
    <w:p w14:paraId="6B785DD4"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kern w:val="1"/>
          <w:sz w:val="24"/>
          <w:szCs w:val="24"/>
        </w:rPr>
        <w:t>Or perhaps this is actually by a Mr. Robinson — I’ve seen it attributed both ways, a</w:t>
      </w:r>
      <w:r>
        <w:rPr>
          <w:rFonts w:ascii="TimesNewRomanPSMT" w:hAnsi="TimesNewRomanPSMT" w:cs="Helvetica"/>
          <w:kern w:val="1"/>
          <w:sz w:val="24"/>
          <w:szCs w:val="24"/>
        </w:rPr>
        <w:t>nd need to finish investigating.</w:t>
      </w:r>
    </w:p>
  </w:footnote>
  <w:footnote w:id="22">
    <w:p w14:paraId="03B48408"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For example, several attempts at statistical authorship attribution have, rather than clarifying a singular author for a piece, instead pointed to the essential role of collaboration.  In particular, I will discuss the in</w:t>
      </w:r>
      <w:r>
        <w:rPr>
          <w:rFonts w:ascii="TimesNewRomanPSMT" w:hAnsi="TimesNewRomanPSMT" w:cs="Helvetica"/>
          <w:sz w:val="24"/>
          <w:szCs w:val="24"/>
        </w:rPr>
        <w:t xml:space="preserve">teresting recent failures to identify the unknown negative reviewer of Coleridge’s </w:t>
      </w:r>
      <w:r>
        <w:rPr>
          <w:rFonts w:ascii="TimesNewRomanPSMT" w:hAnsi="TimesNewRomanPSMT" w:cs="Helvetica"/>
          <w:i/>
          <w:sz w:val="24"/>
          <w:szCs w:val="24"/>
        </w:rPr>
        <w:t>Christabel</w:t>
      </w:r>
      <w:r>
        <w:rPr>
          <w:rFonts w:ascii="TimesNewRomanPSMT" w:hAnsi="TimesNewRomanPSMT" w:cs="Helvetica"/>
          <w:sz w:val="24"/>
          <w:szCs w:val="24"/>
        </w:rPr>
        <w:t>.</w:t>
      </w:r>
    </w:p>
  </w:footnote>
  <w:footnote w:id="23">
    <w:p w14:paraId="3F39DDAE"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 xml:space="preserve">That Radcliffe lived another twenty-six years after the publication of </w:t>
      </w:r>
      <w:r>
        <w:rPr>
          <w:rFonts w:ascii="TimesNewRomanPSMT" w:hAnsi="TimesNewRomanPSMT" w:cs="Helvetica"/>
          <w:i/>
          <w:sz w:val="24"/>
          <w:szCs w:val="24"/>
        </w:rPr>
        <w:t>The Italian</w:t>
      </w:r>
      <w:r>
        <w:rPr>
          <w:rFonts w:ascii="TimesNewRomanPSMT" w:hAnsi="TimesNewRomanPSMT" w:cs="Helvetica"/>
          <w:sz w:val="24"/>
          <w:szCs w:val="24"/>
        </w:rPr>
        <w:t xml:space="preserve"> with no further works is a fact which has apparently demanded explanation si</w:t>
      </w:r>
      <w:r>
        <w:rPr>
          <w:rFonts w:ascii="TimesNewRomanPSMT" w:hAnsi="TimesNewRomanPSMT" w:cs="Helvetica"/>
          <w:sz w:val="24"/>
          <w:szCs w:val="24"/>
        </w:rPr>
        <w:t>nce the eighteenth century. “In the total absence of documentation, contemporaries were willing to believe, presumably because she was the reserved (female) author of Gothics, that Radcliffe was insane. … So reticent and self-effacing was Radcliffe that sh</w:t>
      </w:r>
      <w:r>
        <w:rPr>
          <w:rFonts w:ascii="TimesNewRomanPSMT" w:hAnsi="TimesNewRomanPSMT" w:cs="Helvetica"/>
          <w:sz w:val="24"/>
          <w:szCs w:val="24"/>
        </w:rPr>
        <w:t>e never corrected rumors of her death or madness” (Rogers 13). Her husband</w:t>
      </w:r>
      <w:r>
        <w:rPr>
          <w:rFonts w:ascii="TimesNewRomanPSMT" w:hAnsi="TimesNewRomanPSMT" w:cs="Helvetica"/>
          <w:color w:val="0000FF"/>
          <w:sz w:val="24"/>
          <w:szCs w:val="24"/>
        </w:rPr>
        <w:t xml:space="preserve">, however, </w:t>
      </w:r>
      <w:r>
        <w:rPr>
          <w:rFonts w:ascii="TimesNewRomanPSMT" w:hAnsi="TimesNewRomanPSMT" w:cs="Helvetica"/>
          <w:i/>
          <w:color w:val="0000FF"/>
          <w:sz w:val="24"/>
          <w:szCs w:val="24"/>
        </w:rPr>
        <w:t>was</w:t>
      </w:r>
      <w:r>
        <w:rPr>
          <w:rFonts w:ascii="TimesNewRomanPSMT" w:hAnsi="TimesNewRomanPSMT" w:cs="Helvetica"/>
          <w:sz w:val="24"/>
          <w:szCs w:val="24"/>
        </w:rPr>
        <w:t xml:space="preserve"> interested in countering these rumours, and after her death in 1823 publicized a report from her doctor unequivocally stating that she had died of asthma and that her “mind was perfect in its reasoning powers </w:t>
      </w:r>
      <w:r>
        <w:rPr>
          <w:rFonts w:ascii="TimesNewRomanPSMT" w:hAnsi="TimesNewRomanPSMT" w:cs="Helvetica"/>
          <w:sz w:val="24"/>
          <w:szCs w:val="24"/>
          <w:highlight w:val="yellow"/>
        </w:rPr>
        <w:t>(E131 104)” (Rogers 20)</w:t>
      </w:r>
      <w:r>
        <w:rPr>
          <w:rFonts w:ascii="TimesNewRomanPSMT" w:hAnsi="TimesNewRomanPSMT" w:cs="Helvetica"/>
          <w:color w:val="4C493A"/>
          <w:sz w:val="24"/>
          <w:szCs w:val="24"/>
        </w:rPr>
        <w:t>[ cite the original]</w:t>
      </w:r>
      <w:r>
        <w:rPr>
          <w:rFonts w:ascii="TimesNewRomanPSMT" w:hAnsi="TimesNewRomanPSMT" w:cs="Helvetica"/>
          <w:sz w:val="24"/>
          <w:szCs w:val="24"/>
        </w:rPr>
        <w:t>, s</w:t>
      </w:r>
      <w:r>
        <w:rPr>
          <w:rFonts w:ascii="TimesNewRomanPSMT" w:hAnsi="TimesNewRomanPSMT" w:cs="Helvetica"/>
          <w:sz w:val="24"/>
          <w:szCs w:val="24"/>
        </w:rPr>
        <w:t>uggesting instead that Radcliffe had withdrawn from publication after her inheritance made the increased income no longer important to maintain the luxuries of her life. Scholars largely accept this financial explanation, and add to it the explanation that</w:t>
      </w:r>
      <w:r>
        <w:rPr>
          <w:rFonts w:ascii="TimesNewRomanPSMT" w:hAnsi="TimesNewRomanPSMT" w:cs="Helvetica"/>
          <w:sz w:val="24"/>
          <w:szCs w:val="24"/>
        </w:rPr>
        <w:t xml:space="preserve"> Radcliffe had always been a fundamentally shy person who found public criticism of her writing distressing. Although her works were widely praised, they received so much attention that inevitably there were also critiques, and she may have wanted to remai</w:t>
      </w:r>
      <w:r>
        <w:rPr>
          <w:rFonts w:ascii="TimesNewRomanPSMT" w:hAnsi="TimesNewRomanPSMT" w:cs="Helvetica"/>
          <w:sz w:val="24"/>
          <w:szCs w:val="24"/>
        </w:rPr>
        <w:t>n distant from “the parodies as well as the many inferior imitations of her work” (Rogers 13).</w:t>
      </w:r>
    </w:p>
  </w:footnote>
  <w:footnote w:id="24">
    <w:p w14:paraId="29FA2D96" w14:textId="77777777" w:rsidR="002F0BEE" w:rsidRDefault="00B67DD8">
      <w:pPr>
        <w:pStyle w:val="Footnote"/>
        <w:ind w:firstLine="360"/>
        <w:rPr>
          <w:rFonts w:ascii="Georgia" w:hAnsi="Georgia" w:cs="Helvetica"/>
          <w:sz w:val="22"/>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Georgia" w:hAnsi="Georgia" w:cs="Helvetica"/>
          <w:kern w:val="1"/>
          <w:sz w:val="22"/>
          <w:szCs w:val="24"/>
        </w:rPr>
        <w:t>cite some examples</w:t>
      </w:r>
    </w:p>
  </w:footnote>
  <w:footnote w:id="25">
    <w:p w14:paraId="7DB39101"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explain what a csv is</w:t>
      </w:r>
    </w:p>
  </w:footnote>
  <w:footnote w:id="26">
    <w:p w14:paraId="6CCED86F" w14:textId="77777777" w:rsidR="002F0BEE" w:rsidRDefault="00B67DD8">
      <w:pPr>
        <w:pStyle w:val="Footnote"/>
        <w:ind w:firstLine="360"/>
        <w:rPr>
          <w:rFonts w:ascii="TimesNewRomanPSMT" w:hAnsi="TimesNewRomanPSMT" w:cs="Helvetica"/>
          <w:sz w:val="24"/>
          <w:szCs w:val="24"/>
        </w:rPr>
      </w:pPr>
      <w:r>
        <w:rPr>
          <w:rFonts w:ascii="Helvetica" w:hAnsi="Helvetica" w:cs="Helvetica"/>
          <w:sz w:val="24"/>
          <w:szCs w:val="24"/>
          <w:vertAlign w:val="superscript"/>
        </w:rPr>
        <w:footnoteRef/>
      </w:r>
      <w:r>
        <w:rPr>
          <w:rFonts w:ascii="Helvetica" w:hAnsi="Helvetica" w:cs="Helvetica"/>
          <w:sz w:val="24"/>
          <w:szCs w:val="24"/>
        </w:rPr>
        <w:t xml:space="preserve"> </w:t>
      </w:r>
      <w:r>
        <w:rPr>
          <w:rFonts w:ascii="TimesNewRomanPSMT" w:hAnsi="TimesNewRomanPSMT" w:cs="Helvetica"/>
          <w:sz w:val="24"/>
          <w:szCs w:val="24"/>
        </w:rPr>
        <w:t xml:space="preserve">I have heard it quipped more than once in digital humanities gatherings that you always think you’re going to get </w:t>
      </w:r>
      <w:r>
        <w:rPr>
          <w:rFonts w:ascii="TimesNewRomanPSMT" w:hAnsi="TimesNewRomanPSMT" w:cs="Helvetica"/>
          <w:sz w:val="24"/>
          <w:szCs w:val="24"/>
        </w:rPr>
        <w:t>your texts from somewhere else, but Project Gutenberg is where you’ll actually get them.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A41AB" w14:textId="77777777" w:rsidR="002F0BEE" w:rsidRDefault="002F0BEE">
    <w:pPr>
      <w:rPr>
        <w:rFonts w:ascii="Helvetica" w:hAnsi="Helvetica" w:cs="Helvetic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367CC596">
      <w:start w:val="1"/>
      <w:numFmt w:val="decimal"/>
      <w:lvlText w:val="%1."/>
      <w:lvlJc w:val="left"/>
      <w:pPr>
        <w:ind w:left="720" w:hanging="360"/>
      </w:pPr>
    </w:lvl>
    <w:lvl w:ilvl="1" w:tplc="8E4225F6">
      <w:start w:val="1"/>
      <w:numFmt w:val="decimal"/>
      <w:lvlText w:val=""/>
      <w:lvlJc w:val="left"/>
    </w:lvl>
    <w:lvl w:ilvl="2" w:tplc="AC46A65C">
      <w:start w:val="1"/>
      <w:numFmt w:val="decimal"/>
      <w:lvlText w:val=""/>
      <w:lvlJc w:val="left"/>
    </w:lvl>
    <w:lvl w:ilvl="3" w:tplc="C01A16BC">
      <w:start w:val="1"/>
      <w:numFmt w:val="decimal"/>
      <w:lvlText w:val=""/>
      <w:lvlJc w:val="left"/>
    </w:lvl>
    <w:lvl w:ilvl="4" w:tplc="B38EF5F6">
      <w:start w:val="1"/>
      <w:numFmt w:val="decimal"/>
      <w:lvlText w:val=""/>
      <w:lvlJc w:val="left"/>
    </w:lvl>
    <w:lvl w:ilvl="5" w:tplc="8CF2BB64">
      <w:start w:val="1"/>
      <w:numFmt w:val="decimal"/>
      <w:lvlText w:val=""/>
      <w:lvlJc w:val="left"/>
    </w:lvl>
    <w:lvl w:ilvl="6" w:tplc="952E74DE">
      <w:start w:val="1"/>
      <w:numFmt w:val="decimal"/>
      <w:lvlText w:val=""/>
      <w:lvlJc w:val="left"/>
    </w:lvl>
    <w:lvl w:ilvl="7" w:tplc="E08CEC28">
      <w:start w:val="1"/>
      <w:numFmt w:val="decimal"/>
      <w:lvlText w:val=""/>
      <w:lvlJc w:val="left"/>
    </w:lvl>
    <w:lvl w:ilvl="8" w:tplc="7ED88A2E">
      <w:start w:val="1"/>
      <w:numFmt w:val="decimal"/>
      <w:lvlText w:val=""/>
      <w:lvlJc w:val="left"/>
    </w:lvl>
  </w:abstractNum>
  <w:abstractNum w:abstractNumId="1" w15:restartNumberingAfterBreak="0">
    <w:nsid w:val="00000002"/>
    <w:multiLevelType w:val="hybridMultilevel"/>
    <w:tmpl w:val="00000002"/>
    <w:lvl w:ilvl="0" w:tplc="A7FAB874">
      <w:start w:val="1"/>
      <w:numFmt w:val="bullet"/>
      <w:lvlText w:val="•"/>
      <w:lvlJc w:val="left"/>
      <w:pPr>
        <w:ind w:left="720" w:hanging="360"/>
      </w:pPr>
    </w:lvl>
    <w:lvl w:ilvl="1" w:tplc="DE56120A">
      <w:start w:val="1"/>
      <w:numFmt w:val="decimal"/>
      <w:lvlText w:val=""/>
      <w:lvlJc w:val="left"/>
    </w:lvl>
    <w:lvl w:ilvl="2" w:tplc="68202370">
      <w:start w:val="1"/>
      <w:numFmt w:val="decimal"/>
      <w:lvlText w:val=""/>
      <w:lvlJc w:val="left"/>
    </w:lvl>
    <w:lvl w:ilvl="3" w:tplc="C50CF672">
      <w:start w:val="1"/>
      <w:numFmt w:val="decimal"/>
      <w:lvlText w:val=""/>
      <w:lvlJc w:val="left"/>
    </w:lvl>
    <w:lvl w:ilvl="4" w:tplc="0ABC262A">
      <w:start w:val="1"/>
      <w:numFmt w:val="decimal"/>
      <w:lvlText w:val=""/>
      <w:lvlJc w:val="left"/>
    </w:lvl>
    <w:lvl w:ilvl="5" w:tplc="A1467EA6">
      <w:start w:val="1"/>
      <w:numFmt w:val="decimal"/>
      <w:lvlText w:val=""/>
      <w:lvlJc w:val="left"/>
    </w:lvl>
    <w:lvl w:ilvl="6" w:tplc="4950ECC4">
      <w:start w:val="1"/>
      <w:numFmt w:val="decimal"/>
      <w:lvlText w:val=""/>
      <w:lvlJc w:val="left"/>
    </w:lvl>
    <w:lvl w:ilvl="7" w:tplc="BEFC742E">
      <w:start w:val="1"/>
      <w:numFmt w:val="decimal"/>
      <w:lvlText w:val=""/>
      <w:lvlJc w:val="left"/>
    </w:lvl>
    <w:lvl w:ilvl="8" w:tplc="8174CECE">
      <w:start w:val="1"/>
      <w:numFmt w:val="decimal"/>
      <w:lvlText w:val=""/>
      <w:lvlJc w:val="left"/>
    </w:lvl>
  </w:abstractNum>
  <w:abstractNum w:abstractNumId="2" w15:restartNumberingAfterBreak="0">
    <w:nsid w:val="00000003"/>
    <w:multiLevelType w:val="hybridMultilevel"/>
    <w:tmpl w:val="00000003"/>
    <w:lvl w:ilvl="0" w:tplc="E710E1DA">
      <w:start w:val="1"/>
      <w:numFmt w:val="bullet"/>
      <w:lvlText w:val="•"/>
      <w:lvlJc w:val="left"/>
      <w:pPr>
        <w:ind w:left="720" w:hanging="360"/>
      </w:pPr>
    </w:lvl>
    <w:lvl w:ilvl="1" w:tplc="E4DC7082">
      <w:start w:val="1"/>
      <w:numFmt w:val="bullet"/>
      <w:lvlText w:val="⁃"/>
      <w:lvlJc w:val="left"/>
      <w:pPr>
        <w:ind w:left="1440" w:hanging="360"/>
      </w:pPr>
    </w:lvl>
    <w:lvl w:ilvl="2" w:tplc="CFA45182">
      <w:start w:val="1"/>
      <w:numFmt w:val="decimal"/>
      <w:lvlText w:val=""/>
      <w:lvlJc w:val="left"/>
    </w:lvl>
    <w:lvl w:ilvl="3" w:tplc="769A6CB2">
      <w:start w:val="1"/>
      <w:numFmt w:val="decimal"/>
      <w:lvlText w:val=""/>
      <w:lvlJc w:val="left"/>
    </w:lvl>
    <w:lvl w:ilvl="4" w:tplc="824C1AE6">
      <w:start w:val="1"/>
      <w:numFmt w:val="decimal"/>
      <w:lvlText w:val=""/>
      <w:lvlJc w:val="left"/>
    </w:lvl>
    <w:lvl w:ilvl="5" w:tplc="5F6AC496">
      <w:start w:val="1"/>
      <w:numFmt w:val="decimal"/>
      <w:lvlText w:val=""/>
      <w:lvlJc w:val="left"/>
    </w:lvl>
    <w:lvl w:ilvl="6" w:tplc="5ED2F286">
      <w:start w:val="1"/>
      <w:numFmt w:val="decimal"/>
      <w:lvlText w:val=""/>
      <w:lvlJc w:val="left"/>
    </w:lvl>
    <w:lvl w:ilvl="7" w:tplc="93C46A8E">
      <w:start w:val="1"/>
      <w:numFmt w:val="decimal"/>
      <w:lvlText w:val=""/>
      <w:lvlJc w:val="left"/>
    </w:lvl>
    <w:lvl w:ilvl="8" w:tplc="37D68458">
      <w:start w:val="1"/>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doNotTrackMoves/>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BEE"/>
    <w:rsid w:val="001340A6"/>
    <w:rsid w:val="002F0BEE"/>
    <w:rsid w:val="00B67DD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66E27C"/>
  <w15:docId w15:val="{68A718E3-6F09-1D49-9764-2F0999CD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Helvetica" w:hAnsi="Calibri" w:cs="Arial"/>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uiPriority w:val="99"/>
    <w:pPr>
      <w:widowControl w:val="0"/>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12" w:lineRule="auto"/>
      <w:ind w:firstLine="360"/>
    </w:pPr>
    <w:rPr>
      <w:rFonts w:ascii="Georgia" w:hAnsi="Georgia"/>
      <w:sz w:val="22"/>
    </w:rPr>
  </w:style>
  <w:style w:type="paragraph" w:customStyle="1" w:styleId="BlockQuote">
    <w:name w:val="Block Quote"/>
    <w:uiPriority w:val="99"/>
    <w:pPr>
      <w:widowControl w:val="0"/>
      <w:tabs>
        <w:tab w:val="left" w:pos="720"/>
        <w:tab w:val="left" w:pos="1080"/>
        <w:tab w:val="left" w:pos="1440"/>
      </w:tabs>
      <w:autoSpaceDE w:val="0"/>
      <w:autoSpaceDN w:val="0"/>
      <w:adjustRightInd w:val="0"/>
      <w:spacing w:before="240" w:after="240" w:line="264" w:lineRule="auto"/>
      <w:ind w:left="720"/>
    </w:pPr>
    <w:rPr>
      <w:sz w:val="24"/>
    </w:rPr>
  </w:style>
  <w:style w:type="paragraph" w:customStyle="1" w:styleId="Footnote">
    <w:name w:val="Footnote"/>
    <w:uiPriority w:val="99"/>
    <w:pPr>
      <w:widowControl w:val="0"/>
      <w:autoSpaceDE w:val="0"/>
      <w:autoSpaceDN w:val="0"/>
      <w:adjustRightInd w:val="0"/>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1340A6"/>
    <w:rPr>
      <w:rFonts w:ascii="Times New Roman" w:hAnsi="Times New Roman" w:cs="Times New Roman"/>
      <w:sz w:val="18"/>
      <w:szCs w:val="18"/>
    </w:rPr>
  </w:style>
  <w:style w:type="character" w:customStyle="1" w:styleId="BalloonTextChar">
    <w:name w:val="Balloon Text Char"/>
    <w:link w:val="BalloonText"/>
    <w:uiPriority w:val="99"/>
    <w:semiHidden/>
    <w:rsid w:val="001340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stc.ucr.edu/index.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vls.english.qmul.ac.uk/" TargetMode="External"/><Relationship Id="rId18" Type="http://schemas.openxmlformats.org/officeDocument/2006/relationships/hyperlink" Target="http://vls.english.qmul.ac.uk/cgi-bin/koha/loansearch.pl?branchcode=MAN&amp;groupby=book&amp;order=loancountdesc" TargetMode="External"/><Relationship Id="rId3" Type="http://schemas.openxmlformats.org/officeDocument/2006/relationships/settings" Target="settings.xml"/><Relationship Id="rId21" Type="http://schemas.openxmlformats.org/officeDocument/2006/relationships/hyperlink" Target="https://www.itsmarc.com/crs/mergedprojects/helpauth/helpauth/tag_list.htm" TargetMode="External"/><Relationship Id="rId7" Type="http://schemas.openxmlformats.org/officeDocument/2006/relationships/comments" Target="comments.xml"/><Relationship Id="rId12" Type="http://schemas.openxmlformats.org/officeDocument/2006/relationships/hyperlink" Target="https://www.qsrinternational.com/nvivo/home" TargetMode="External"/><Relationship Id="rId17" Type="http://schemas.openxmlformats.org/officeDocument/2006/relationships/hyperlink" Target="http://vls.english.qmul.ac.uk/cgi-bin/koha/readingrec.pl?borrowernumber=19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vls.english.qmul.ac.uk/cgi-bin/koha/readingrec.pl?borrowernumber=502" TargetMode="External"/><Relationship Id="rId20" Type="http://schemas.openxmlformats.org/officeDocument/2006/relationships/hyperlink" Target="http://vls.english.qmul.ac.uk/cgi-bin/koha/loansearch.pl?branchcode=BRI&amp;groupby=book&amp;order=loancountdes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andom.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vls.english.qmul.ac.uk/cgi-bin/koha/readingrec.pl?borrowernumber=86" TargetMode="External"/><Relationship Id="rId23" Type="http://schemas.openxmlformats.org/officeDocument/2006/relationships/footer" Target="footer1.xml"/><Relationship Id="rId10" Type="http://schemas.openxmlformats.org/officeDocument/2006/relationships/hyperlink" Target="http://languagelog.ldc.upenn.edu/nll/?p=1701" TargetMode="External"/><Relationship Id="rId19" Type="http://schemas.openxmlformats.org/officeDocument/2006/relationships/hyperlink" Target="http://vls.english.qmul.ac.uk/cgi-bin/koha/loansearch.pl?branchcode=HOM&amp;groupby=book&amp;order=loancountdesc"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vls.english.qmul.ac.uk/cgi-bin/koha/member.p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22311</Words>
  <Characters>127174</Characters>
  <Application>Microsoft Office Word</Application>
  <DocSecurity>0</DocSecurity>
  <Lines>1059</Lines>
  <Paragraphs>298</Paragraphs>
  <ScaleCrop>false</ScaleCrop>
  <Company/>
  <LinksUpToDate>false</LinksUpToDate>
  <CharactersWithSpaces>149187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Lawrence Evalyn</dc:creator>
  <cp:lastModifiedBy>Blind Referee</cp:lastModifiedBy>
  <cp:revision>2</cp:revision>
  <dcterms:created xsi:type="dcterms:W3CDTF">2019-11-21T18:17:00Z</dcterms:created>
  <dcterms:modified xsi:type="dcterms:W3CDTF">2020-01-30T02:20:00Z</dcterms:modified>
</cp:coreProperties>
</file>