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055F" w:rsidRDefault="00E5617B" w:rsidP="004E055F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</w:rPr>
      </w:pPr>
      <w:r w:rsidRPr="00E5617B">
        <w:rPr>
          <w:rFonts w:ascii="Times-Italic" w:hAnsi="Times-Italic" w:cs="Times-Italic"/>
          <w:b/>
          <w:i/>
          <w:iCs/>
        </w:rPr>
        <w:t>Case study:</w:t>
      </w:r>
      <w:r>
        <w:rPr>
          <w:rFonts w:ascii="Times-Italic" w:hAnsi="Times-Italic" w:cs="Times-Italic"/>
          <w:i/>
          <w:iCs/>
        </w:rPr>
        <w:t xml:space="preserve"> a spotlight on the business case development for the ERTMS Programme </w:t>
      </w:r>
    </w:p>
    <w:p w:rsidR="004E055F" w:rsidRDefault="004E055F" w:rsidP="004E055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Italic" w:hAnsi="Times-Italic" w:cs="Times-Italic"/>
          <w:i/>
          <w:iCs/>
        </w:rPr>
        <w:t xml:space="preserve">Scope and timescales </w:t>
      </w:r>
      <w:r>
        <w:rPr>
          <w:rFonts w:ascii="Times-Roman" w:hAnsi="Times-Roman" w:cs="Times-Roman"/>
        </w:rPr>
        <w:t xml:space="preserve">Lawrence developed the business </w:t>
      </w:r>
      <w:r>
        <w:rPr>
          <w:rFonts w:ascii="Times-Roman" w:hAnsi="Times-Roman" w:cs="Times-Roman"/>
        </w:rPr>
        <w:t>case for the application of European cab signalling to the Great West M</w:t>
      </w:r>
      <w:r>
        <w:rPr>
          <w:rFonts w:ascii="Times-Roman" w:hAnsi="Times-Roman" w:cs="Times-Roman"/>
        </w:rPr>
        <w:t>ain Line,</w:t>
      </w:r>
      <w:r w:rsidR="00E5617B">
        <w:rPr>
          <w:rFonts w:ascii="Times-Roman" w:hAnsi="Times-Roman" w:cs="Times-Roman"/>
        </w:rPr>
        <w:t xml:space="preserve"> for Network Rail. This involved </w:t>
      </w:r>
      <w:r>
        <w:rPr>
          <w:rFonts w:ascii="Times-Roman" w:hAnsi="Times-Roman" w:cs="Times-Roman"/>
        </w:rPr>
        <w:t xml:space="preserve">stakeholder </w:t>
      </w:r>
      <w:r>
        <w:rPr>
          <w:rFonts w:ascii="Times-Roman" w:hAnsi="Times-Roman" w:cs="Times-Roman"/>
        </w:rPr>
        <w:t xml:space="preserve">consultation, implementation planning, cost and benefit analysis. </w:t>
      </w:r>
      <w:r>
        <w:rPr>
          <w:rFonts w:ascii="Times-Roman" w:hAnsi="Times-Roman" w:cs="Times-Roman"/>
        </w:rPr>
        <w:t xml:space="preserve">It took 8 months  in 2006/7 to take this case successfully from a National Level case to a specific, detailed business case for this line. </w:t>
      </w:r>
      <w:r w:rsidR="00B77BAB">
        <w:rPr>
          <w:rFonts w:ascii="Times-Roman" w:hAnsi="Times-Roman" w:cs="Times-Roman"/>
        </w:rPr>
        <w:t xml:space="preserve">The main capital elements of this scheme are in Network Rail’s current 5 year plan, and projected for completion in 2018. This is in the public domain, and a copy of the Lawrence’s final report is available at </w:t>
      </w:r>
      <w:hyperlink r:id="rId6" w:history="1">
        <w:r w:rsidR="00B77BAB" w:rsidRPr="00E5617B">
          <w:rPr>
            <w:rStyle w:val="Hyperlink"/>
            <w:rFonts w:ascii="Times-Roman" w:hAnsi="Times-Roman" w:cs="Times-Roman"/>
            <w:sz w:val="16"/>
            <w:szCs w:val="16"/>
          </w:rPr>
          <w:t>https://www.dropbox.com/s/apjehxqh8icd2f7/GW%20ML%20%20Route%20Report%20v0.5%20Agreed%20%20Final.doc</w:t>
        </w:r>
      </w:hyperlink>
    </w:p>
    <w:p w:rsidR="004E055F" w:rsidRDefault="004E055F" w:rsidP="004E055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</w:p>
    <w:p w:rsidR="004E055F" w:rsidRDefault="004E055F" w:rsidP="004E055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 w:rsidRPr="004E055F">
        <w:rPr>
          <w:rFonts w:ascii="Times-Roman" w:hAnsi="Times-Roman" w:cs="Times-Roman"/>
          <w:i/>
        </w:rPr>
        <w:t>Framework:</w:t>
      </w:r>
      <w:r>
        <w:rPr>
          <w:rFonts w:ascii="Times-Roman" w:hAnsi="Times-Roman" w:cs="Times-Roman"/>
        </w:rPr>
        <w:t xml:space="preserve"> This </w:t>
      </w:r>
      <w:r w:rsidRPr="004E055F">
        <w:rPr>
          <w:rFonts w:ascii="Times-Roman" w:hAnsi="Times-Roman" w:cs="Times-Roman"/>
        </w:rPr>
        <w:t>Transp</w:t>
      </w:r>
      <w:r>
        <w:rPr>
          <w:rFonts w:ascii="Times-Roman" w:hAnsi="Times-Roman" w:cs="Times-Roman"/>
        </w:rPr>
        <w:t xml:space="preserve">ort Business Case Assessment was based </w:t>
      </w:r>
      <w:r w:rsidR="00E5617B">
        <w:rPr>
          <w:rFonts w:ascii="Times-Roman" w:hAnsi="Times-Roman" w:cs="Times-Roman"/>
        </w:rPr>
        <w:t>upon</w:t>
      </w:r>
      <w:r>
        <w:rPr>
          <w:rFonts w:ascii="Times-Roman" w:hAnsi="Times-Roman" w:cs="Times-Roman"/>
        </w:rPr>
        <w:t xml:space="preserve"> HMT’s ‘5 Case Model’, and through using the DfT’s WebTAG framework, remains fully compliant with HMT’s Green Book. </w:t>
      </w:r>
      <w:r w:rsidRPr="004E055F">
        <w:rPr>
          <w:rFonts w:ascii="Times-Roman" w:hAnsi="Times-Roman" w:cs="Times-Roman"/>
        </w:rPr>
        <w:t>The application of the ‘5</w:t>
      </w:r>
      <w:r>
        <w:rPr>
          <w:rFonts w:ascii="Times-Roman" w:hAnsi="Times-Roman" w:cs="Times-Roman"/>
        </w:rPr>
        <w:t xml:space="preserve"> case model’ for business case  </w:t>
      </w:r>
      <w:r w:rsidRPr="004E055F">
        <w:rPr>
          <w:rFonts w:ascii="Times-Roman" w:hAnsi="Times-Roman" w:cs="Times-Roman"/>
        </w:rPr>
        <w:t>development requires the investment decision to be considere</w:t>
      </w:r>
      <w:r>
        <w:rPr>
          <w:rFonts w:ascii="Times-Roman" w:hAnsi="Times-Roman" w:cs="Times-Roman"/>
        </w:rPr>
        <w:t xml:space="preserve">d from five perspectives – the  </w:t>
      </w:r>
      <w:r w:rsidRPr="004E055F">
        <w:rPr>
          <w:rFonts w:ascii="Times-Roman" w:hAnsi="Times-Roman" w:cs="Times-Roman"/>
        </w:rPr>
        <w:t>Strategic case, Economic case, Commercial case, Financial c</w:t>
      </w:r>
      <w:r>
        <w:rPr>
          <w:rFonts w:ascii="Times-Roman" w:hAnsi="Times-Roman" w:cs="Times-Roman"/>
        </w:rPr>
        <w:t xml:space="preserve">ase and the Management case. </w:t>
      </w:r>
    </w:p>
    <w:p w:rsidR="004E055F" w:rsidRDefault="004E055F" w:rsidP="004E055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</w:rPr>
      </w:pPr>
    </w:p>
    <w:p w:rsidR="00B77BAB" w:rsidRPr="00B77BAB" w:rsidRDefault="00B77BAB" w:rsidP="00E5617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Times-Roman"/>
        </w:rPr>
      </w:pPr>
      <w:r w:rsidRPr="00B77BAB">
        <w:rPr>
          <w:rFonts w:ascii="Times-Roman" w:hAnsi="Times-Roman" w:cs="Times-Roman"/>
          <w:b/>
        </w:rPr>
        <w:t>Strategic case</w:t>
      </w:r>
      <w:r>
        <w:rPr>
          <w:rFonts w:ascii="Times-Roman" w:hAnsi="Times-Roman" w:cs="Times-Roman"/>
          <w:b/>
        </w:rPr>
        <w:t xml:space="preserve">: </w:t>
      </w:r>
      <w:r w:rsidRPr="004E055F">
        <w:rPr>
          <w:rFonts w:ascii="Times-Roman" w:hAnsi="Times-Roman" w:cs="Times-Roman"/>
        </w:rPr>
        <w:t xml:space="preserve">Mr. Rowland successfully engaged stakeholders at the highest level, presenting to the Route Strategy Planning Group, ATOC, resulting in a successful review in November 2006 to the National ERTMS Business Group, consisting of ATOC, DfT Rail, Network Rail, ORR and ROSCO representatives, and </w:t>
      </w:r>
      <w:r>
        <w:rPr>
          <w:rFonts w:ascii="Times-Roman" w:hAnsi="Times-Roman" w:cs="Times-Roman"/>
        </w:rPr>
        <w:t>formed a key part of the national</w:t>
      </w:r>
      <w:r w:rsidRPr="004E055F">
        <w:rPr>
          <w:rFonts w:ascii="Times-Roman" w:hAnsi="Times-Roman" w:cs="Times-Roman"/>
        </w:rPr>
        <w:t xml:space="preserve"> High Level Output Statem</w:t>
      </w:r>
      <w:r>
        <w:rPr>
          <w:rFonts w:ascii="Times-Roman" w:hAnsi="Times-Roman" w:cs="Times-Roman"/>
        </w:rPr>
        <w:t>ent for future rail investment. Critically, Lawrence ensured that the plans provided 100% continuity of automatic train protection, at the same time as complying with the EU strategic objectives</w:t>
      </w:r>
      <w:r w:rsidR="00E5617B">
        <w:rPr>
          <w:rFonts w:ascii="Times-Roman" w:hAnsi="Times-Roman" w:cs="Times-Roman"/>
        </w:rPr>
        <w:t>.</w:t>
      </w:r>
    </w:p>
    <w:p w:rsidR="004E055F" w:rsidRPr="00AA0E94" w:rsidRDefault="004E055F" w:rsidP="00E5617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Times-Roman"/>
        </w:rPr>
      </w:pPr>
      <w:r w:rsidRPr="004E055F">
        <w:rPr>
          <w:rFonts w:ascii="Times-Roman" w:hAnsi="Times-Roman" w:cs="Times-Roman"/>
          <w:b/>
        </w:rPr>
        <w:t>Economic Case</w:t>
      </w:r>
      <w:r w:rsidRPr="004E055F">
        <w:rPr>
          <w:rFonts w:ascii="Times-Roman" w:hAnsi="Times-Roman" w:cs="Times-Roman"/>
        </w:rPr>
        <w:t xml:space="preserve"> Lawrence</w:t>
      </w:r>
      <w:r w:rsidRPr="004E055F">
        <w:rPr>
          <w:rFonts w:ascii="Times-Roman" w:hAnsi="Times-Roman" w:cs="Times-Roman"/>
        </w:rPr>
        <w:t xml:space="preserve"> demo</w:t>
      </w:r>
      <w:r w:rsidRPr="004E055F">
        <w:rPr>
          <w:rFonts w:ascii="Times-Roman" w:hAnsi="Times-Roman" w:cs="Times-Roman"/>
        </w:rPr>
        <w:t xml:space="preserve">nstrated that the Great Western </w:t>
      </w:r>
      <w:r w:rsidRPr="004E055F">
        <w:rPr>
          <w:rFonts w:ascii="Times-Roman" w:hAnsi="Times-Roman" w:cs="Times-Roman"/>
        </w:rPr>
        <w:t>case has a cost break-even within ten years of project start, and with</w:t>
      </w:r>
      <w:r w:rsidRPr="004E055F">
        <w:rPr>
          <w:rFonts w:ascii="Times-Roman" w:hAnsi="Times-Roman" w:cs="Times-Roman"/>
        </w:rPr>
        <w:t xml:space="preserve"> a much shorter break-even when </w:t>
      </w:r>
      <w:r w:rsidRPr="004E055F">
        <w:rPr>
          <w:rFonts w:ascii="Times-Roman" w:hAnsi="Times-Roman" w:cs="Times-Roman"/>
        </w:rPr>
        <w:t xml:space="preserve">benefits were taken into account. </w:t>
      </w:r>
      <w:r w:rsidR="00AA0E94">
        <w:rPr>
          <w:rFonts w:ascii="Times-Roman" w:hAnsi="Times-Roman" w:cs="Times-Roman"/>
        </w:rPr>
        <w:t>The benefits assessed included User benefits, Non-user benefits, Revenue and loss of Fuel duty. Lawrence prepared full appraisal tables (</w:t>
      </w:r>
      <w:r w:rsidR="00E5617B">
        <w:rPr>
          <w:rFonts w:ascii="Times-Roman" w:hAnsi="Times-Roman" w:cs="Times-Roman"/>
        </w:rPr>
        <w:t>Transport Economic Efficiency tables) covering all economic and financial aspects.</w:t>
      </w:r>
    </w:p>
    <w:p w:rsidR="00B77BAB" w:rsidRDefault="004E055F" w:rsidP="00E5617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Times-Roman"/>
        </w:rPr>
      </w:pPr>
      <w:r w:rsidRPr="00B77BAB">
        <w:rPr>
          <w:rFonts w:ascii="Times-Roman" w:hAnsi="Times-Roman" w:cs="Times-Roman"/>
          <w:b/>
        </w:rPr>
        <w:t>Financial Case:</w:t>
      </w:r>
      <w:r w:rsidRPr="004E055F">
        <w:rPr>
          <w:rFonts w:ascii="Times-Roman" w:hAnsi="Times-Roman" w:cs="Times-Roman"/>
        </w:rPr>
        <w:t xml:space="preserve"> Lawrence demonstrated that th</w:t>
      </w:r>
      <w:r w:rsidRPr="004E055F">
        <w:rPr>
          <w:rFonts w:ascii="Times-Roman" w:hAnsi="Times-Roman" w:cs="Times-Roman"/>
        </w:rPr>
        <w:t>e NPV over the life of the assets is o</w:t>
      </w:r>
      <w:r w:rsidRPr="004E055F">
        <w:rPr>
          <w:rFonts w:ascii="Times-Roman" w:hAnsi="Times-Roman" w:cs="Times-Roman"/>
        </w:rPr>
        <w:t xml:space="preserve">f the order of 800 million. </w:t>
      </w:r>
      <w:r w:rsidR="00B77BAB">
        <w:rPr>
          <w:rFonts w:ascii="Times-Roman" w:hAnsi="Times-Roman" w:cs="Times-Roman"/>
        </w:rPr>
        <w:t xml:space="preserve">To do this he developed </w:t>
      </w:r>
      <w:r w:rsidR="00B77BAB" w:rsidRPr="004E055F">
        <w:rPr>
          <w:rFonts w:ascii="Times-Roman" w:hAnsi="Times-Roman" w:cs="Times-Roman"/>
        </w:rPr>
        <w:t xml:space="preserve">a cost-efficient implementation plan that also delivered early </w:t>
      </w:r>
      <w:r w:rsidR="00B77BAB">
        <w:rPr>
          <w:rFonts w:ascii="Times-Roman" w:hAnsi="Times-Roman" w:cs="Times-Roman"/>
        </w:rPr>
        <w:t>benefits for Great Western.</w:t>
      </w:r>
    </w:p>
    <w:p w:rsidR="00B77BAB" w:rsidRPr="00AA0E94" w:rsidRDefault="00B77BAB" w:rsidP="00E5617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Times-Roman"/>
        </w:rPr>
      </w:pPr>
      <w:r w:rsidRPr="00AA0E94">
        <w:rPr>
          <w:rFonts w:ascii="Times-Roman" w:hAnsi="Times-Roman" w:cs="Times-Roman"/>
          <w:b/>
        </w:rPr>
        <w:t>Commercial Case:</w:t>
      </w:r>
      <w:r w:rsidRPr="00AA0E94">
        <w:rPr>
          <w:rFonts w:ascii="Times-Roman" w:hAnsi="Times-Roman" w:cs="Times-Roman"/>
        </w:rPr>
        <w:t xml:space="preserve"> </w:t>
      </w:r>
      <w:r w:rsidR="00AA0E94" w:rsidRPr="00AA0E94">
        <w:rPr>
          <w:rFonts w:ascii="Times-Roman" w:hAnsi="Times-Roman" w:cs="Times-Roman"/>
        </w:rPr>
        <w:t xml:space="preserve">Several alternate implementation plans were considered before the plan was agreed. These related to different commercial options regarding the balance between work required from </w:t>
      </w:r>
      <w:r w:rsidR="00E5617B" w:rsidRPr="00AA0E94">
        <w:rPr>
          <w:rFonts w:ascii="Times-Roman" w:hAnsi="Times-Roman" w:cs="Times-Roman"/>
        </w:rPr>
        <w:t>different Train</w:t>
      </w:r>
      <w:r w:rsidR="00AA0E94" w:rsidRPr="00AA0E94">
        <w:rPr>
          <w:rFonts w:ascii="Times-Roman" w:hAnsi="Times-Roman" w:cs="Times-Roman"/>
        </w:rPr>
        <w:t xml:space="preserve"> Operating Companies and different Network Rail contractors.</w:t>
      </w:r>
      <w:r w:rsidR="00AA0E94">
        <w:rPr>
          <w:rFonts w:ascii="Times-Roman" w:hAnsi="Times-Roman" w:cs="Times-Roman"/>
        </w:rPr>
        <w:t xml:space="preserve"> For ex</w:t>
      </w:r>
      <w:r w:rsidR="00E5617B">
        <w:rPr>
          <w:rFonts w:ascii="Times-Roman" w:hAnsi="Times-Roman" w:cs="Times-Roman"/>
        </w:rPr>
        <w:t xml:space="preserve">ample, the project </w:t>
      </w:r>
      <w:bookmarkStart w:id="0" w:name="_GoBack"/>
      <w:bookmarkEnd w:id="0"/>
      <w:r w:rsidR="00AA0E94">
        <w:rPr>
          <w:rFonts w:ascii="Times-Roman" w:hAnsi="Times-Roman" w:cs="Times-Roman"/>
        </w:rPr>
        <w:t>considered extending the scheme to Cardiff, requiring the extra train fitment</w:t>
      </w:r>
      <w:r w:rsidR="00AA0E94" w:rsidRPr="00AA0E94">
        <w:rPr>
          <w:rFonts w:ascii="Times-Roman" w:hAnsi="Times-Roman" w:cs="Times-Roman"/>
        </w:rPr>
        <w:t xml:space="preserve"> of several Arriva Trains Wales </w:t>
      </w:r>
      <w:r w:rsidR="00E5617B">
        <w:rPr>
          <w:rFonts w:ascii="Times-Roman" w:hAnsi="Times-Roman" w:cs="Times-Roman"/>
        </w:rPr>
        <w:t>fleets.</w:t>
      </w:r>
    </w:p>
    <w:p w:rsidR="00B77BAB" w:rsidRPr="004E055F" w:rsidRDefault="00E5617B" w:rsidP="00E5617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Times-Roman"/>
        </w:rPr>
      </w:pPr>
      <w:r>
        <w:rPr>
          <w:rFonts w:ascii="Times-Roman" w:hAnsi="Times-Roman" w:cs="Times-Roman"/>
          <w:b/>
        </w:rPr>
        <w:t xml:space="preserve">Management case: </w:t>
      </w:r>
      <w:r w:rsidR="00B77BAB">
        <w:rPr>
          <w:rFonts w:ascii="Times-Roman" w:hAnsi="Times-Roman" w:cs="Times-Roman"/>
        </w:rPr>
        <w:t>This</w:t>
      </w:r>
      <w:r w:rsidR="00B77BAB" w:rsidRPr="00B77BAB">
        <w:rPr>
          <w:rFonts w:ascii="Times-Roman" w:hAnsi="Times-Roman" w:cs="Times-Roman"/>
        </w:rPr>
        <w:t xml:space="preserve"> was a technical challenge on a route with comprising of 500 trains and 2000 signals, all with different life expiry profiles, and with major programme links to Cross rail and the Intercity Express Programme (HST replacement). </w:t>
      </w:r>
      <w:r w:rsidR="00B77BAB">
        <w:rPr>
          <w:rFonts w:ascii="Times-Roman" w:hAnsi="Times-Roman" w:cs="Times-Roman"/>
        </w:rPr>
        <w:t>Lawrence achieved this</w:t>
      </w:r>
      <w:r w:rsidR="00B77BAB" w:rsidRPr="004E055F">
        <w:rPr>
          <w:rFonts w:ascii="Times-Roman" w:hAnsi="Times-Roman" w:cs="Times-Roman"/>
        </w:rPr>
        <w:t xml:space="preserve"> by identifying how the key business factors would play-out in the local and technical environment, and the developing of a series of decision-trees to demonstrate an optimal solution to the Client.</w:t>
      </w:r>
    </w:p>
    <w:p w:rsidR="00B77BAB" w:rsidRPr="00B77BAB" w:rsidRDefault="00B77BAB" w:rsidP="00E5617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Times-Roman"/>
        </w:rPr>
      </w:pPr>
    </w:p>
    <w:sectPr w:rsidR="00B77BAB" w:rsidRPr="00B77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C74E08"/>
    <w:multiLevelType w:val="hybridMultilevel"/>
    <w:tmpl w:val="A5649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55F"/>
    <w:rsid w:val="003F48C7"/>
    <w:rsid w:val="004E055F"/>
    <w:rsid w:val="00AA0E94"/>
    <w:rsid w:val="00B77BAB"/>
    <w:rsid w:val="00E5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055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7BA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055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7BA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ropbox.com/s/apjehxqh8icd2f7/GW%20ML%20%20Route%20Report%20v0.5%20Agreed%20%20Final.do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Rowland, Lawrence</dc:creator>
  <cp:lastModifiedBy>Rowland, Lawrence</cp:lastModifiedBy>
  <cp:revision>1</cp:revision>
  <dcterms:created xsi:type="dcterms:W3CDTF">2014-03-19T11:26:00Z</dcterms:created>
  <dcterms:modified xsi:type="dcterms:W3CDTF">2014-03-19T12:03:00Z</dcterms:modified>
</cp:coreProperties>
</file>