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46C2C"/>
          <w:sz w:val="52"/>
          <w:szCs w:val="52"/>
        </w:rPr>
        <w:t xml:space="preserve">PagoYa</w:t>
      </w:r>
    </w:p>
    <w:p>
      <w:pPr>
        <w:pBdr>
          <w:bottom w:val="single" w:color="EEEEEE" w:sz="2" w:space="6"/>
        </w:pBdr>
        <w:spacing w:after="480"/>
      </w:pPr>
      <w:r>
        <w:rPr>
          <w:color w:val="888888"/>
          <w:sz w:val="20"/>
          <w:szCs w:val="20"/>
        </w:rPr>
        <w:t xml:space="preserve">Y Combinator Application  •  Longview Meridian Technologies LLC  •  pagoyamx.com</w:t>
      </w:r>
    </w:p>
    <w:p>
      <w:pPr>
        <w:pBdr>
          <w:bottom w:val="single" w:color="1D9E75" w:sz="6" w:space="8"/>
        </w:pBdr>
        <w:spacing w:after="60" w:before="360"/>
      </w:pPr>
      <w:r>
        <w:rPr>
          <w:b/>
          <w:bCs/>
          <w:color w:val="0A2540"/>
          <w:sz w:val="32"/>
          <w:szCs w:val="32"/>
        </w:rPr>
        <w:t xml:space="preserve">Q1 — How far along are you?</w:t>
      </w:r>
    </w:p>
    <w:p>
      <w:pPr>
        <w:spacing w:after="160"/>
      </w:pPr>
    </w:p>
    <w:p>
      <w:pPr>
        <w:spacing w:after="240"/>
      </w:pPr>
      <w:r>
        <w:rPr>
          <w:sz w:val="22"/>
          <w:szCs w:val="22"/>
        </w:rPr>
        <w:t xml:space="preserve">PagoYa is a fully built, deployed, and publicly accessible product at pagoyamx.com. It is not a prototype — it is a live fintech web app that Mexican consumers can use today to pay utilities, telecom bills, streaming services, and other recurring expenses in under two minutes, without a bank account.</w:t>
      </w:r>
    </w:p>
    <w:p>
      <w:pPr>
        <w:spacing w:after="120"/>
      </w:pPr>
      <w:r>
        <w:rPr>
          <w:b/>
          <w:bCs/>
          <w:color w:val="0A2540"/>
          <w:sz w:val="22"/>
          <w:szCs w:val="22"/>
        </w:rPr>
        <w:t xml:space="preserve">What is working and shipped today:</w:t>
      </w:r>
    </w:p>
    <w:p>
      <w:pPr>
        <w:pStyle w:val="ListParagraph"/>
        <w:numPr>
          <w:ilvl w:val="0"/>
          <w:numId w:val="1"/>
        </w:numPr>
        <w:spacing w:after="120"/>
      </w:pPr>
      <w:r>
        <w:rPr>
          <w:b/>
          <w:bCs/>
          <w:sz w:val="22"/>
          <w:szCs w:val="22"/>
        </w:rPr>
        <w:t xml:space="preserve">Core bill payment engine: </w:t>
      </w:r>
      <w:r>
        <w:rPr>
          <w:sz w:val="22"/>
          <w:szCs w:val="22"/>
        </w:rPr>
        <w:t xml:space="preserve">Integrates two Mexican providers (SIPREL + Evoluciona) with automatic failover. 20+ billers, $15 MXN flat fee per transaction.</w:t>
      </w:r>
    </w:p>
    <w:p>
      <w:pPr>
        <w:pStyle w:val="ListParagraph"/>
        <w:numPr>
          <w:ilvl w:val="0"/>
          <w:numId w:val="1"/>
        </w:numPr>
        <w:spacing w:after="120"/>
      </w:pPr>
      <w:r>
        <w:rPr>
          <w:b/>
          <w:bCs/>
          <w:sz w:val="22"/>
          <w:szCs w:val="22"/>
        </w:rPr>
        <w:t xml:space="preserve">Digital wallet: </w:t>
      </w:r>
      <w:r>
        <w:rPr>
          <w:sz w:val="22"/>
          <w:szCs w:val="22"/>
        </w:rPr>
        <w:t xml:space="preserve">Users hold a MXN balance funded via three channels: OXXO cash deposits (barcode vouchers), card top-ups (Conekta tokenization with saved-card support), and SPEI inbound bank transfers (webhook-verified). Wallet is debited atomically with every payment.</w:t>
      </w:r>
    </w:p>
    <w:p>
      <w:pPr>
        <w:pStyle w:val="ListParagraph"/>
        <w:numPr>
          <w:ilvl w:val="0"/>
          <w:numId w:val="1"/>
        </w:numPr>
        <w:spacing w:after="120"/>
      </w:pPr>
      <w:r>
        <w:rPr>
          <w:b/>
          <w:bCs/>
          <w:sz w:val="22"/>
          <w:szCs w:val="22"/>
        </w:rPr>
        <w:t xml:space="preserve">AI bill autofill: </w:t>
      </w:r>
      <w:r>
        <w:rPr>
          <w:sz w:val="22"/>
          <w:szCs w:val="22"/>
        </w:rPr>
        <w:t xml:space="preserve">Natural-language home screen — Claude parses 'CFE 350 pesos' and pre-fills the service, amount, and reference in one shot.</w:t>
      </w:r>
    </w:p>
    <w:p>
      <w:pPr>
        <w:pStyle w:val="ListParagraph"/>
        <w:numPr>
          <w:ilvl w:val="0"/>
          <w:numId w:val="1"/>
        </w:numPr>
        <w:spacing w:after="120"/>
      </w:pPr>
      <w:r>
        <w:rPr>
          <w:b/>
          <w:bCs/>
          <w:sz w:val="22"/>
          <w:szCs w:val="22"/>
        </w:rPr>
        <w:t xml:space="preserve">AI support chat widget: </w:t>
      </w:r>
      <w:r>
        <w:rPr>
          <w:sz w:val="22"/>
          <w:szCs w:val="22"/>
        </w:rPr>
        <w:t xml:space="preserve">Floating chat on every page backed by a Claude tool-use agent loop. Answers account questions (balance, history, pending cash deposits) in real time and escalates to a human via WhatsApp.</w:t>
      </w:r>
    </w:p>
    <w:p>
      <w:pPr>
        <w:pStyle w:val="ListParagraph"/>
        <w:numPr>
          <w:ilvl w:val="0"/>
          <w:numId w:val="1"/>
        </w:numPr>
        <w:spacing w:after="120"/>
      </w:pPr>
      <w:r>
        <w:rPr>
          <w:b/>
          <w:bCs/>
          <w:sz w:val="22"/>
          <w:szCs w:val="22"/>
        </w:rPr>
        <w:t xml:space="preserve">Loyalty &amp; rewards system: </w:t>
      </w:r>
      <w:r>
        <w:rPr>
          <w:sz w:val="22"/>
          <w:szCs w:val="22"/>
        </w:rPr>
        <w:t xml:space="preserve">Users earn points on every payment (1 pt / $10 MXN, tier multipliers at Bronze / Silver / Gold). Fully functional redemption: wallet credit (MXN deposited directly) or a free-transaction token that waives the $15 MXN fee on the next payment. Token is enforced atomically inside the payment DB transaction — it cannot be consumed without the payment succeeding.</w:t>
      </w:r>
    </w:p>
    <w:p>
      <w:pPr>
        <w:pStyle w:val="ListParagraph"/>
        <w:numPr>
          <w:ilvl w:val="0"/>
          <w:numId w:val="1"/>
        </w:numPr>
        <w:spacing w:after="120"/>
      </w:pPr>
      <w:r>
        <w:rPr>
          <w:b/>
          <w:bCs/>
          <w:sz w:val="22"/>
          <w:szCs w:val="22"/>
        </w:rPr>
        <w:t xml:space="preserve">Referral / street-team network: </w:t>
      </w:r>
      <w:r>
        <w:rPr>
          <w:sz w:val="22"/>
          <w:szCs w:val="22"/>
        </w:rPr>
        <w:t xml:space="preserve">Rep program with unique referral codes, 5 MXN commission per confirmed payment with a 7-day hold, and a rep earnings dashboard.</w:t>
      </w:r>
    </w:p>
    <w:p>
      <w:pPr>
        <w:pStyle w:val="ListParagraph"/>
        <w:numPr>
          <w:ilvl w:val="0"/>
          <w:numId w:val="1"/>
        </w:numPr>
        <w:spacing w:after="120"/>
      </w:pPr>
      <w:r>
        <w:rPr>
          <w:b/>
          <w:bCs/>
          <w:sz w:val="22"/>
          <w:szCs w:val="22"/>
        </w:rPr>
        <w:t xml:space="preserve">WhatsApp receipts + alerts: </w:t>
      </w:r>
      <w:r>
        <w:rPr>
          <w:sz w:val="22"/>
          <w:szCs w:val="22"/>
        </w:rPr>
        <w:t xml:space="preserve">Post-payment receipts, loyalty point updates, token delivery, and low-balance alerts via Twilio — non-blocking, fire-and-forget.</w:t>
      </w:r>
    </w:p>
    <w:p>
      <w:pPr>
        <w:pStyle w:val="ListParagraph"/>
        <w:numPr>
          <w:ilvl w:val="0"/>
          <w:numId w:val="1"/>
        </w:numPr>
        <w:spacing w:after="120"/>
      </w:pPr>
      <w:r>
        <w:rPr>
          <w:b/>
          <w:bCs/>
          <w:sz w:val="22"/>
          <w:szCs w:val="22"/>
        </w:rPr>
        <w:t xml:space="preserve">Payment history page: </w:t>
      </w:r>
      <w:r>
        <w:rPr>
          <w:sz w:val="22"/>
          <w:szCs w:val="22"/>
        </w:rPr>
        <w:t xml:space="preserve">Full ledger at /historial with masked references, status badges, pagination. Auto-populates from stored phone number on load.</w:t>
      </w:r>
    </w:p>
    <w:p>
      <w:pPr>
        <w:pStyle w:val="ListParagraph"/>
        <w:numPr>
          <w:ilvl w:val="0"/>
          <w:numId w:val="1"/>
        </w:numPr>
        <w:spacing w:after="120"/>
      </w:pPr>
      <w:r>
        <w:rPr>
          <w:b/>
          <w:bCs/>
          <w:sz w:val="22"/>
          <w:szCs w:val="22"/>
        </w:rPr>
        <w:t xml:space="preserve">Live and deployed: </w:t>
      </w:r>
      <w:r>
        <w:rPr>
          <w:sz w:val="22"/>
          <w:szCs w:val="22"/>
        </w:rPr>
        <w:t xml:space="preserve">Published on pagoyamx.com with custom domain TLS. Works on any mobile browser — no app store download required.</w:t>
      </w:r>
    </w:p>
    <w:p>
      <w:pPr>
        <w:spacing w:after="120" w:before="200"/>
      </w:pPr>
      <w:r>
        <w:rPr>
          <w:b/>
          <w:bCs/>
          <w:color w:val="0A2540"/>
          <w:sz w:val="22"/>
          <w:szCs w:val="22"/>
        </w:rPr>
        <w:t xml:space="preserve">What is in progress:</w:t>
      </w:r>
    </w:p>
    <w:p>
      <w:pPr>
        <w:pStyle w:val="ListParagraph"/>
        <w:numPr>
          <w:ilvl w:val="0"/>
          <w:numId w:val="1"/>
        </w:numPr>
        <w:spacing w:after="100"/>
      </w:pPr>
      <w:r>
        <w:rPr>
          <w:sz w:val="22"/>
          <w:szCs w:val="22"/>
        </w:rPr>
        <w:t xml:space="preserve">Merchant / biller onboarding portal for self-service biller registration</w:t>
      </w:r>
    </w:p>
    <w:p>
      <w:pPr>
        <w:pStyle w:val="ListParagraph"/>
        <w:numPr>
          <w:ilvl w:val="0"/>
          <w:numId w:val="1"/>
        </w:numPr>
        <w:spacing w:after="100"/>
      </w:pPr>
      <w:r>
        <w:rPr>
          <w:sz w:val="22"/>
          <w:szCs w:val="22"/>
        </w:rPr>
        <w:t xml:space="preserve">Scheduled recurring payments (auto-pay for monthly bills)</w:t>
      </w:r>
    </w:p>
    <w:p>
      <w:pPr>
        <w:pStyle w:val="ListParagraph"/>
        <w:numPr>
          <w:ilvl w:val="0"/>
          <w:numId w:val="1"/>
        </w:numPr>
        <w:spacing w:after="100"/>
      </w:pPr>
      <w:r>
        <w:rPr>
          <w:sz w:val="22"/>
          <w:szCs w:val="22"/>
        </w:rPr>
        <w:t xml:space="preserve">KYC / identity verification for higher wallet limits under CNBV guidelines</w:t>
      </w:r>
    </w:p>
    <w:p>
      <w:pPr>
        <w:pStyle w:val="ListParagraph"/>
        <w:numPr>
          <w:ilvl w:val="0"/>
          <w:numId w:val="1"/>
        </w:numPr>
        <w:spacing w:after="100"/>
      </w:pPr>
      <w:r>
        <w:rPr>
          <w:sz w:val="22"/>
          <w:szCs w:val="22"/>
        </w:rPr>
        <w:t xml:space="preserve">iOS and Android PWA push notifications</w:t>
      </w:r>
    </w:p>
    <w:p>
      <w:pPr>
        <w:spacing w:after="200" w:before="200"/>
      </w:pPr>
      <w:r>
        <w:rPr>
          <w:i/>
          <w:iCs/>
          <w:color w:val="555555"/>
          <w:sz w:val="22"/>
          <w:szCs w:val="22"/>
        </w:rPr>
        <w:t xml:space="preserve">In terms of traction: the product has been built and iterated entirely in-house with no external dev team. We have users in Mexico, a functional referral network being seeded, and are preparing a structured go-to-market into underbanked markets in Jalisco and CDMX.</w:t>
      </w:r>
    </w:p>
    <w:p>
      <w:pPr>
        <w:pBdr>
          <w:bottom w:val="single" w:color="1D9E75" w:sz="6" w:space="8"/>
        </w:pBdr>
        <w:spacing w:after="60" w:before="480"/>
      </w:pPr>
      <w:r>
        <w:rPr>
          <w:b/>
          <w:bCs/>
          <w:color w:val="0A2540"/>
          <w:sz w:val="32"/>
          <w:szCs w:val="32"/>
        </w:rPr>
        <w:t xml:space="preserve">Q2 — What tech stack are you using, or planning to use, to build this product? Include AI models and AI coding tools you use.</w:t>
      </w:r>
    </w:p>
    <w:p>
      <w:pPr>
        <w:spacing w:after="160"/>
      </w:pPr>
    </w:p>
    <w:p>
      <w:pPr>
        <w:spacing w:after="240"/>
      </w:pPr>
      <w:r>
        <w:rPr>
          <w:sz w:val="22"/>
          <w:szCs w:val="22"/>
        </w:rPr>
        <w:t xml:space="preserve">Our stack is deliberately small and ship-fast: a TypeScript monorepo, a React SPA, and a single Express API. Everything is chosen for developer velocity and the constraints of the Mexican fintech ecosystem.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2%"/>
            <w:shd w:fill="0A2540" w:val="clear"/>
            <w:tcMar>
              <w:top w:type="dxa" w:w="80"/>
              <w:left w:type="dxa" w:w="120"/>
              <w:bottom w:type="dxa" w:w="80"/>
              <w:right w:type="dxa" w:w="120"/>
            </w:tcMar>
          </w:tcPr>
          <w:p>
            <w:r>
              <w:rPr>
                <w:b/>
                <w:bCs/>
                <w:color w:val="FFFFFF"/>
                <w:sz w:val="20"/>
                <w:szCs w:val="20"/>
              </w:rPr>
              <w:t xml:space="preserve">Layer</w:t>
            </w:r>
          </w:p>
        </w:tc>
        <w:tc>
          <w:tcPr>
            <w:tcW w:type="pct" w:w="78%"/>
            <w:shd w:fill="0A2540" w:val="clear"/>
            <w:tcMar>
              <w:top w:type="dxa" w:w="80"/>
              <w:left w:type="dxa" w:w="120"/>
              <w:bottom w:type="dxa" w:w="80"/>
              <w:right w:type="dxa" w:w="120"/>
            </w:tcMar>
          </w:tcPr>
          <w:p>
            <w:r>
              <w:rPr>
                <w:b/>
                <w:bCs/>
                <w:color w:val="FFFFFF"/>
                <w:sz w:val="20"/>
                <w:szCs w:val="20"/>
              </w:rPr>
              <w:t xml:space="preserve">Technology</w:t>
            </w:r>
          </w:p>
        </w:tc>
      </w:tr>
      <w:tr>
        <w:tc>
          <w:tcPr>
            <w:tcW w:type="pct" w:w="22%"/>
            <w:shd w:fill="F0FAF3" w:val="clear"/>
            <w:tcMar>
              <w:top w:type="dxa" w:w="80"/>
              <w:left w:type="dxa" w:w="120"/>
              <w:bottom w:type="dxa" w:w="80"/>
              <w:right w:type="dxa" w:w="120"/>
            </w:tcMar>
          </w:tcPr>
          <w:p>
            <w:r>
              <w:rPr>
                <w:b/>
                <w:bCs/>
                <w:color w:val="046C2C"/>
                <w:sz w:val="20"/>
                <w:szCs w:val="20"/>
              </w:rPr>
              <w:t xml:space="preserve">Frontend</w:t>
            </w:r>
          </w:p>
        </w:tc>
        <w:tc>
          <w:tcPr>
            <w:tcW w:type="pct" w:w="78%"/>
            <w:shd w:fill="F0FAF3" w:val="clear"/>
            <w:tcMar>
              <w:top w:type="dxa" w:w="80"/>
              <w:left w:type="dxa" w:w="120"/>
              <w:bottom w:type="dxa" w:w="80"/>
              <w:right w:type="dxa" w:w="120"/>
            </w:tcMar>
          </w:tcPr>
          <w:p>
            <w:r>
              <w:rPr>
                <w:sz w:val="20"/>
                <w:szCs w:val="20"/>
              </w:rPr>
              <w:t xml:space="preserve">React 18 + Vite, TypeScript, Wouter (client-side routing), Tailwind CSS + inline styles. Mobile-first, PWA-ready. No React Native — fully responsive and installable on iOS/Android.</w:t>
            </w:r>
          </w:p>
        </w:tc>
      </w:tr>
      <w:tr>
        <w:tc>
          <w:tcPr>
            <w:tcW w:type="pct" w:w="22%"/>
            <w:shd w:fill="FFFFFF" w:val="clear"/>
            <w:tcMar>
              <w:top w:type="dxa" w:w="80"/>
              <w:left w:type="dxa" w:w="120"/>
              <w:bottom w:type="dxa" w:w="80"/>
              <w:right w:type="dxa" w:w="120"/>
            </w:tcMar>
          </w:tcPr>
          <w:p>
            <w:r>
              <w:rPr>
                <w:b/>
                <w:bCs/>
                <w:color w:val="046C2C"/>
                <w:sz w:val="20"/>
                <w:szCs w:val="20"/>
              </w:rPr>
              <w:t xml:space="preserve">Backend</w:t>
            </w:r>
          </w:p>
        </w:tc>
        <w:tc>
          <w:tcPr>
            <w:tcW w:type="pct" w:w="78%"/>
            <w:shd w:fill="FFFFFF" w:val="clear"/>
            <w:tcMar>
              <w:top w:type="dxa" w:w="80"/>
              <w:left w:type="dxa" w:w="120"/>
              <w:bottom w:type="dxa" w:w="80"/>
              <w:right w:type="dxa" w:w="120"/>
            </w:tcMar>
          </w:tcPr>
          <w:p>
            <w:r>
              <w:rPr>
                <w:sz w:val="20"/>
                <w:szCs w:val="20"/>
              </w:rPr>
              <w:t xml:space="preserve">Node.js + Express (TypeScript), Drizzle ORM, PostgreSQL. pnpm monorepo with shared schema packages (lib/db) so frontend and backend stay in type-sync.</w:t>
            </w:r>
          </w:p>
        </w:tc>
      </w:tr>
      <w:tr>
        <w:tc>
          <w:tcPr>
            <w:tcW w:type="pct" w:w="22%"/>
            <w:shd w:fill="F0FAF3" w:val="clear"/>
            <w:tcMar>
              <w:top w:type="dxa" w:w="80"/>
              <w:left w:type="dxa" w:w="120"/>
              <w:bottom w:type="dxa" w:w="80"/>
              <w:right w:type="dxa" w:w="120"/>
            </w:tcMar>
          </w:tcPr>
          <w:p>
            <w:r>
              <w:rPr>
                <w:b/>
                <w:bCs/>
                <w:color w:val="046C2C"/>
                <w:sz w:val="20"/>
                <w:szCs w:val="20"/>
              </w:rPr>
              <w:t xml:space="preserve">Bill payment</w:t>
            </w:r>
          </w:p>
        </w:tc>
        <w:tc>
          <w:tcPr>
            <w:tcW w:type="pct" w:w="78%"/>
            <w:shd w:fill="F0FAF3" w:val="clear"/>
            <w:tcMar>
              <w:top w:type="dxa" w:w="80"/>
              <w:left w:type="dxa" w:w="120"/>
              <w:bottom w:type="dxa" w:w="80"/>
              <w:right w:type="dxa" w:w="120"/>
            </w:tcMar>
          </w:tcPr>
          <w:p>
            <w:r>
              <w:rPr>
                <w:sz w:val="20"/>
                <w:szCs w:val="20"/>
              </w:rPr>
              <w:t xml:space="preserve">SIPREL API (primary), Evoluciona (automatic failover). Supports 20+ Mexican service categories: CFE, Telmex, Telcel, Sky, Netflix, Izzi, Totalplay, AT&amp;T, Movistar, streaming, and more.</w:t>
            </w:r>
          </w:p>
        </w:tc>
      </w:tr>
      <w:tr>
        <w:tc>
          <w:tcPr>
            <w:tcW w:type="pct" w:w="22%"/>
            <w:shd w:fill="FFFFFF" w:val="clear"/>
            <w:tcMar>
              <w:top w:type="dxa" w:w="80"/>
              <w:left w:type="dxa" w:w="120"/>
              <w:bottom w:type="dxa" w:w="80"/>
              <w:right w:type="dxa" w:w="120"/>
            </w:tcMar>
          </w:tcPr>
          <w:p>
            <w:r>
              <w:rPr>
                <w:b/>
                <w:bCs/>
                <w:color w:val="046C2C"/>
                <w:sz w:val="20"/>
                <w:szCs w:val="20"/>
              </w:rPr>
              <w:t xml:space="preserve">Payments / wallet</w:t>
            </w:r>
          </w:p>
        </w:tc>
        <w:tc>
          <w:tcPr>
            <w:tcW w:type="pct" w:w="78%"/>
            <w:shd w:fill="FFFFFF" w:val="clear"/>
            <w:tcMar>
              <w:top w:type="dxa" w:w="80"/>
              <w:left w:type="dxa" w:w="120"/>
              <w:bottom w:type="dxa" w:w="80"/>
              <w:right w:type="dxa" w:w="120"/>
            </w:tcMar>
          </w:tcPr>
          <w:p>
            <w:r>
              <w:rPr>
                <w:sz w:val="20"/>
                <w:szCs w:val="20"/>
              </w:rPr>
              <w:t xml:space="preserve">Conekta (Mexican card tokenization, saved cards), Stripe (international cards / Elements), SPEI inbound via STP webhook (bank transfers), OXXO Pay (cash vouchers).</w:t>
            </w:r>
          </w:p>
        </w:tc>
      </w:tr>
      <w:tr>
        <w:tc>
          <w:tcPr>
            <w:tcW w:type="pct" w:w="22%"/>
            <w:shd w:fill="F0FAF3" w:val="clear"/>
            <w:tcMar>
              <w:top w:type="dxa" w:w="80"/>
              <w:left w:type="dxa" w:w="120"/>
              <w:bottom w:type="dxa" w:w="80"/>
              <w:right w:type="dxa" w:w="120"/>
            </w:tcMar>
          </w:tcPr>
          <w:p>
            <w:r>
              <w:rPr>
                <w:b/>
                <w:bCs/>
                <w:color w:val="046C2C"/>
                <w:sz w:val="20"/>
                <w:szCs w:val="20"/>
              </w:rPr>
              <w:t xml:space="preserve">AI — product</w:t>
            </w:r>
          </w:p>
        </w:tc>
        <w:tc>
          <w:tcPr>
            <w:tcW w:type="pct" w:w="78%"/>
            <w:shd w:fill="F0FAF3" w:val="clear"/>
            <w:tcMar>
              <w:top w:type="dxa" w:w="80"/>
              <w:left w:type="dxa" w:w="120"/>
              <w:bottom w:type="dxa" w:w="80"/>
              <w:right w:type="dxa" w:w="120"/>
            </w:tcMar>
          </w:tcPr>
          <w:p>
            <w:r>
              <w:rPr>
                <w:sz w:val="20"/>
                <w:szCs w:val="20"/>
              </w:rPr>
              <w:t xml:space="preserve">Anthropic Claude (claude-haiku-4-5). Two product features: (1) bill autofill — parses natural-language intent, returns structured JSON; (2) support chat — tool-use agent loop with 4 live-data tools (payment history, wallet balance, pending OXXO, human escalation).</w:t>
            </w:r>
          </w:p>
        </w:tc>
      </w:tr>
      <w:tr>
        <w:tc>
          <w:tcPr>
            <w:tcW w:type="pct" w:w="22%"/>
            <w:shd w:fill="FFFFFF" w:val="clear"/>
            <w:tcMar>
              <w:top w:type="dxa" w:w="80"/>
              <w:left w:type="dxa" w:w="120"/>
              <w:bottom w:type="dxa" w:w="80"/>
              <w:right w:type="dxa" w:w="120"/>
            </w:tcMar>
          </w:tcPr>
          <w:p>
            <w:r>
              <w:rPr>
                <w:b/>
                <w:bCs/>
                <w:color w:val="046C2C"/>
                <w:sz w:val="20"/>
                <w:szCs w:val="20"/>
              </w:rPr>
              <w:t xml:space="preserve">AI — coding</w:t>
            </w:r>
          </w:p>
        </w:tc>
        <w:tc>
          <w:tcPr>
            <w:tcW w:type="pct" w:w="78%"/>
            <w:shd w:fill="FFFFFF" w:val="clear"/>
            <w:tcMar>
              <w:top w:type="dxa" w:w="80"/>
              <w:left w:type="dxa" w:w="120"/>
              <w:bottom w:type="dxa" w:w="80"/>
              <w:right w:type="dxa" w:w="120"/>
            </w:tcMar>
          </w:tcPr>
          <w:p>
            <w:r>
              <w:rPr>
                <w:sz w:val="20"/>
                <w:szCs w:val="20"/>
              </w:rPr>
              <w:t xml:space="preserve">Replit Agent (Claude). The entire product was built using Replit Agent as the primary development tool. Zero external developers. Complete loyalty system, payment integrations, and all backend routes built and tested in collaborative AI sessions.</w:t>
            </w:r>
          </w:p>
        </w:tc>
      </w:tr>
      <w:tr>
        <w:tc>
          <w:tcPr>
            <w:tcW w:type="pct" w:w="22%"/>
            <w:shd w:fill="F0FAF3" w:val="clear"/>
            <w:tcMar>
              <w:top w:type="dxa" w:w="80"/>
              <w:left w:type="dxa" w:w="120"/>
              <w:bottom w:type="dxa" w:w="80"/>
              <w:right w:type="dxa" w:w="120"/>
            </w:tcMar>
          </w:tcPr>
          <w:p>
            <w:r>
              <w:rPr>
                <w:b/>
                <w:bCs/>
                <w:color w:val="046C2C"/>
                <w:sz w:val="20"/>
                <w:szCs w:val="20"/>
              </w:rPr>
              <w:t xml:space="preserve">Notifications</w:t>
            </w:r>
          </w:p>
        </w:tc>
        <w:tc>
          <w:tcPr>
            <w:tcW w:type="pct" w:w="78%"/>
            <w:shd w:fill="F0FAF3" w:val="clear"/>
            <w:tcMar>
              <w:top w:type="dxa" w:w="80"/>
              <w:left w:type="dxa" w:w="120"/>
              <w:bottom w:type="dxa" w:w="80"/>
              <w:right w:type="dxa" w:w="120"/>
            </w:tcMar>
          </w:tcPr>
          <w:p>
            <w:r>
              <w:rPr>
                <w:sz w:val="20"/>
                <w:szCs w:val="20"/>
              </w:rPr>
              <w:t xml:space="preserve">Twilio WhatsApp Business API — payment receipts, loyalty point updates, free-transaction token delivery, low-balance alerts, agent escalation.</w:t>
            </w:r>
          </w:p>
        </w:tc>
      </w:tr>
      <w:tr>
        <w:tc>
          <w:tcPr>
            <w:tcW w:type="pct" w:w="22%"/>
            <w:shd w:fill="FFFFFF" w:val="clear"/>
            <w:tcMar>
              <w:top w:type="dxa" w:w="80"/>
              <w:left w:type="dxa" w:w="120"/>
              <w:bottom w:type="dxa" w:w="80"/>
              <w:right w:type="dxa" w:w="120"/>
            </w:tcMar>
          </w:tcPr>
          <w:p>
            <w:r>
              <w:rPr>
                <w:b/>
                <w:bCs/>
                <w:color w:val="046C2C"/>
                <w:sz w:val="20"/>
                <w:szCs w:val="20"/>
              </w:rPr>
              <w:t xml:space="preserve">Infrastructure</w:t>
            </w:r>
          </w:p>
        </w:tc>
        <w:tc>
          <w:tcPr>
            <w:tcW w:type="pct" w:w="78%"/>
            <w:shd w:fill="FFFFFF" w:val="clear"/>
            <w:tcMar>
              <w:top w:type="dxa" w:w="80"/>
              <w:left w:type="dxa" w:w="120"/>
              <w:bottom w:type="dxa" w:w="80"/>
              <w:right w:type="dxa" w:w="120"/>
            </w:tcMar>
          </w:tcPr>
          <w:p>
            <w:r>
              <w:rPr>
                <w:sz w:val="20"/>
                <w:szCs w:val="20"/>
              </w:rPr>
              <w:t xml:space="preserve">Replit (compute, PostgreSQL, secrets, custom domain TLS, deployment). Zero DevOps overhead at this stage.</w:t>
            </w:r>
          </w:p>
        </w:tc>
      </w:tr>
      <w:tr>
        <w:tc>
          <w:tcPr>
            <w:tcW w:type="pct" w:w="22%"/>
            <w:shd w:fill="F0FAF3" w:val="clear"/>
            <w:tcMar>
              <w:top w:type="dxa" w:w="80"/>
              <w:left w:type="dxa" w:w="120"/>
              <w:bottom w:type="dxa" w:w="80"/>
              <w:right w:type="dxa" w:w="120"/>
            </w:tcMar>
          </w:tcPr>
          <w:p>
            <w:r>
              <w:rPr>
                <w:b/>
                <w:bCs/>
                <w:color w:val="046C2C"/>
                <w:sz w:val="20"/>
                <w:szCs w:val="20"/>
              </w:rPr>
              <w:t xml:space="preserve">Monitoring / testing</w:t>
            </w:r>
          </w:p>
        </w:tc>
        <w:tc>
          <w:tcPr>
            <w:tcW w:type="pct" w:w="78%"/>
            <w:shd w:fill="F0FAF3" w:val="clear"/>
            <w:tcMar>
              <w:top w:type="dxa" w:w="80"/>
              <w:left w:type="dxa" w:w="120"/>
              <w:bottom w:type="dxa" w:w="80"/>
              <w:right w:type="dxa" w:w="120"/>
            </w:tcMar>
          </w:tcPr>
          <w:p>
            <w:r>
              <w:rPr>
                <w:sz w:val="20"/>
                <w:szCs w:val="20"/>
              </w:rPr>
              <w:t xml:space="preserve">Pino structured JSON logging, Bugsnag (frontend). Vitest + Supertest — 70+ passing API integration tests.</w:t>
            </w:r>
          </w:p>
        </w:tc>
      </w:tr>
    </w:tbl>
    <w:p>
      <w:pPr>
        <w:spacing w:after="240"/>
      </w:pPr>
    </w:p>
    <w:p>
      <w:pPr>
        <w:spacing w:after="120"/>
      </w:pPr>
      <w:r>
        <w:rPr>
          <w:b/>
          <w:bCs/>
          <w:color w:val="0A2540"/>
          <w:sz w:val="22"/>
          <w:szCs w:val="22"/>
        </w:rPr>
        <w:t xml:space="preserve">Why this stack works for PagoYa specifically:</w:t>
      </w:r>
    </w:p>
    <w:p>
      <w:pPr>
        <w:pStyle w:val="ListParagraph"/>
        <w:numPr>
          <w:ilvl w:val="0"/>
          <w:numId w:val="1"/>
        </w:numPr>
        <w:spacing w:after="120"/>
      </w:pPr>
      <w:r>
        <w:rPr>
          <w:sz w:val="22"/>
          <w:szCs w:val="22"/>
        </w:rPr>
        <w:t xml:space="preserve">Mexican payment infrastructure (Conekta, STP/SPEI, OXXO) is natively supported — we are not adapting a US-centric stack to a different market.</w:t>
      </w:r>
    </w:p>
    <w:p>
      <w:pPr>
        <w:pStyle w:val="ListParagraph"/>
        <w:numPr>
          <w:ilvl w:val="0"/>
          <w:numId w:val="1"/>
        </w:numPr>
        <w:spacing w:after="120"/>
      </w:pPr>
      <w:r>
        <w:rPr>
          <w:sz w:val="22"/>
          <w:szCs w:val="22"/>
        </w:rPr>
        <w:t xml:space="preserve">Shared Drizzle schema in a monorepo means frontend and backend stay in type-sync without manual contract maintenance.</w:t>
      </w:r>
    </w:p>
    <w:p>
      <w:pPr>
        <w:pStyle w:val="ListParagraph"/>
        <w:numPr>
          <w:ilvl w:val="0"/>
          <w:numId w:val="1"/>
        </w:numPr>
        <w:spacing w:after="120"/>
      </w:pPr>
      <w:r>
        <w:rPr>
          <w:sz w:val="22"/>
          <w:szCs w:val="22"/>
        </w:rPr>
        <w:t xml:space="preserve">Claude's tool-use loop is the right abstraction for a support agent: answers account-specific questions without exposing raw database access to the model.</w:t>
      </w:r>
    </w:p>
    <w:p>
      <w:pPr>
        <w:pStyle w:val="ListParagraph"/>
        <w:numPr>
          <w:ilvl w:val="0"/>
          <w:numId w:val="1"/>
        </w:numPr>
        <w:spacing w:after="120"/>
      </w:pPr>
      <w:r>
        <w:rPr>
          <w:sz w:val="22"/>
          <w:szCs w:val="22"/>
        </w:rPr>
        <w:t xml:space="preserve">Replit Agent as a coding tool compresses a months-long engineering roadmap into weeks. The complete loyalty system — schema, earn/redeem service, API routes, frontend dashboard, token enforcement in the atomic payment transaction, and WhatsApp notifications — was designed, built, and tested in a single session.</w:t>
      </w:r>
    </w:p>
    <w:p>
      <w:pPr>
        <w:spacing w:after="480"/>
      </w:pPr>
    </w:p>
    <w:p>
      <w:pPr>
        <w:pBdr>
          <w:top w:val="single" w:color="EEEEEE" w:sz="1" w:space="8"/>
        </w:pBdr>
        <w:jc w:val="center"/>
      </w:pPr>
      <w:r>
        <w:rPr>
          <w:color w:val="BBBBBB"/>
          <w:sz w:val="18"/>
          <w:szCs w:val="18"/>
        </w:rPr>
        <w:t xml:space="preserve">PagoYa  •  Longview Meridian Technologies LLC  •  pagoyamx.com</w:t>
      </w:r>
    </w:p>
    <w:sectPr>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 Application — PagoYa</dc:title>
  <dc:creator>PagoYa — Longview Meridian Technologies LLC</dc:creator>
  <cp:lastModifiedBy>Un-named</cp:lastModifiedBy>
  <cp:revision>1</cp:revision>
  <dcterms:created xsi:type="dcterms:W3CDTF">2026-05-17T04:01:48.119Z</dcterms:created>
  <dcterms:modified xsi:type="dcterms:W3CDTF">2026-05-17T04:01:48.120Z</dcterms:modified>
</cp:coreProperties>
</file>

<file path=docProps/custom.xml><?xml version="1.0" encoding="utf-8"?>
<Properties xmlns="http://schemas.openxmlformats.org/officeDocument/2006/custom-properties" xmlns:vt="http://schemas.openxmlformats.org/officeDocument/2006/docPropsVTypes"/>
</file>