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A2744"/>
          <w:sz w:val="52"/>
          <w:szCs w:val="52"/>
        </w:rPr>
        <w:t xml:space="preserve">PagoYa Technologies</w:t>
      </w:r>
    </w:p>
    <w:p>
      <w:pPr>
        <w:spacing w:after="80" w:before="0"/>
        <w:jc w:val="center"/>
      </w:pPr>
      <w:r>
        <w:rPr>
          <w:rFonts w:ascii="Arial" w:cs="Arial" w:eastAsia="Arial" w:hAnsi="Arial"/>
          <w:b/>
          <w:bCs/>
          <w:color w:val="007B8A"/>
          <w:sz w:val="36"/>
          <w:szCs w:val="36"/>
        </w:rPr>
        <w:t xml:space="preserve">PTI BEHAVIORAL SCORING</w:t>
      </w:r>
    </w:p>
    <w:p>
      <w:pPr>
        <w:spacing w:after="240" w:before="0"/>
        <w:jc w:val="center"/>
      </w:pPr>
      <w:r>
        <w:rPr>
          <w:rFonts w:ascii="Arial" w:cs="Arial" w:eastAsia="Arial" w:hAnsi="Arial"/>
          <w:color w:val="4A5568"/>
          <w:sz w:val="24"/>
          <w:szCs w:val="24"/>
        </w:rPr>
        <w:t xml:space="preserve">Enhancement Strategy &amp; Alternative Data Commercialization Roadmap</w:t>
      </w:r>
    </w:p>
    <w:p>
      <w:pPr>
        <w:spacing w:after="720" w:before="0"/>
        <w:jc w:val="center"/>
      </w:pPr>
      <w:r>
        <w:rPr>
          <w:rFonts w:ascii="Arial" w:cs="Arial" w:eastAsia="Arial" w:hAnsi="Arial"/>
          <w:i/>
          <w:iCs/>
          <w:color w:val="4A5568"/>
          <w:sz w:val="18"/>
          <w:szCs w:val="18"/>
        </w:rPr>
        <w:t xml:space="preserve">Confidential | June 2026 | Longview Meridian Holdings LLC</w:t>
      </w:r>
    </w:p>
    <w:p>
      <w:pPr>
        <w:pBdr>
          <w:bottom w:val="single" w:color="007B8A" w:sz="4" w:space="1"/>
        </w:pBdr>
        <w:spacing w:after="160" w:before="80"/>
      </w:pPr>
      <w:r>
        <w:t xml:space="preserve"/>
      </w:r>
    </w:p>
    <w:p>
      <w:pPr>
        <w:pStyle w:val="Heading1"/>
        <w:spacing w:after="160" w:before="360"/>
      </w:pPr>
      <w:r>
        <w:rPr>
          <w:rFonts w:ascii="Arial" w:cs="Arial" w:eastAsia="Arial" w:hAnsi="Arial"/>
          <w:b/>
          <w:bCs/>
          <w:color w:val="1A2744"/>
          <w:sz w:val="30"/>
          <w:szCs w:val="30"/>
        </w:rPr>
        <w:t xml:space="preserve">Executive Summary</w:t>
      </w:r>
    </w:p>
    <w:p>
      <w:pPr>
        <w:spacing w:after="80" w:before="80"/>
      </w:pPr>
      <w:r>
        <w:rPr>
          <w:rFonts w:ascii="Arial" w:cs="Arial" w:eastAsia="Arial" w:hAnsi="Arial"/>
          <w:color w:val="4A5568"/>
          <w:sz w:val="20"/>
          <w:szCs w:val="20"/>
        </w:rPr>
        <w:t xml:space="preserve">PagoYa has a live, revenue-generating behavioral data asset that most fintech lenders in Mexico would pay to access. The PagoYa Trust Index (PTI) currently captures payment reliability as its strongest dimension, but leaves three signal classes — behavioral consistency, engagement depth, and cash-flow stability — materially underdeveloped because the raw data already exists in the database and is not yet being scored.</w:t>
      </w:r>
    </w:p>
    <w:p>
      <w:pPr>
        <w:spacing w:after="80" w:before="80"/>
      </w:pPr>
      <w:r>
        <w:rPr>
          <w:rFonts w:ascii="Arial" w:cs="Arial" w:eastAsia="Arial" w:hAnsi="Arial"/>
          <w:color w:val="4A5568"/>
          <w:sz w:val="20"/>
          <w:szCs w:val="20"/>
        </w:rPr>
        <w:t xml:space="preserve">This strategy document does three things: (1) maps every available behavioral signal against the PTI scoring architecture and identifies precise gaps versus what the current codebase already captures; (2) defines a phased technical roadmap to close those gaps without waiting on any external credential blockers; and (3) lays out a B2B data commercialization model that converts anonymized PTI outputs into a recurring revenue line targeting lenders, insurers, and financial inclusion program operators in Mexico.</w:t>
      </w:r>
    </w:p>
    <w:p>
      <w:pPr>
        <w:spacing w:after="80" w:before="80"/>
      </w:pPr>
      <w:r>
        <w:rPr>
          <w:rFonts w:ascii="Arial" w:cs="Arial" w:eastAsia="Arial" w:hAnsi="Arial"/>
          <w:color w:val="4A5568"/>
          <w:sz w:val="20"/>
          <w:szCs w:val="20"/>
        </w:rPr>
        <w:t xml:space="preserve">The STP/SPEI credential unblock will materially improve the Cash-Flow dimension by enabling inbound income timing data. The RENAPO/Metamap credential unblock will close the Identity Integrity gap. But neither is on the critical path for the Phase 1 signal capture work — all Phase 1 items execute against data PagoYa already holds.</w:t>
      </w:r>
    </w:p>
    <w:p>
      <w:pPr>
        <w:spacing w:after="40" w:before="40"/>
      </w:pPr>
      <w:r>
        <w:t xml:space="preserve"/>
      </w:r>
    </w:p>
    <w:p>
      <w:pPr>
        <w:pStyle w:val="Heading1"/>
        <w:spacing w:after="160" w:before="360"/>
      </w:pPr>
      <w:r>
        <w:rPr>
          <w:rFonts w:ascii="Arial" w:cs="Arial" w:eastAsia="Arial" w:hAnsi="Arial"/>
          <w:b/>
          <w:bCs/>
          <w:color w:val="1A2744"/>
          <w:sz w:val="30"/>
          <w:szCs w:val="30"/>
        </w:rPr>
        <w:t xml:space="preserve">1. Behavioral Signal Inventory — Current State vs. PTI Gap</w:t>
      </w:r>
    </w:p>
    <w:p>
      <w:pPr>
        <w:spacing w:after="80" w:before="80"/>
      </w:pPr>
      <w:r>
        <w:rPr>
          <w:rFonts w:ascii="Arial" w:cs="Arial" w:eastAsia="Arial" w:hAnsi="Arial"/>
          <w:color w:val="4A5568"/>
          <w:sz w:val="20"/>
          <w:szCs w:val="20"/>
        </w:rPr>
        <w:t xml:space="preserve">The table below cross-references every signal type identified in the alternative data framework against PagoYa's live platform capabilities. PTI dimensions are: Payment Reliability (PR), Behavioral Consistency (BC), Engagement Depth (ED), and Cash-Flow Stability (CF).</w:t>
      </w:r>
    </w:p>
    <w:p>
      <w:pPr>
        <w:spacing w:after="40" w:before="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1400"/>
        <w:gridCol w:w="1800"/>
        <w:gridCol w:w="1460"/>
      </w:tblGrid>
      <w:tr>
        <w:trPr>
          <w:tblHeader/>
        </w:trPr>
        <w:tc>
          <w:tcPr>
            <w:tcW w:type="dxa" w:w="2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Current Source</w:t>
            </w:r>
          </w:p>
        </w:tc>
        <w:tc>
          <w:tcPr>
            <w:tcW w:type="dxa" w:w="1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Latency</w:t>
            </w:r>
          </w:p>
        </w:tc>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PTI Dimension</w:t>
            </w:r>
          </w:p>
        </w:tc>
        <w:tc>
          <w:tcPr>
            <w:tcW w:type="dxa" w:w="14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Gap / Strength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Bill payment on-time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Siprel/Taecel tx 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Real-time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Payment Reliability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STRENGTH — core signal already captured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Payment day-of-month pattern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transactions table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Nightly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Behavioral Consistency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GAP — pattern not yet extracted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Session login cadence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App/WhatsApp inbound 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Real-time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Engagement Depth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GAP — frequency not scored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Time-on-site / engagement depth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PWA analytics / PostHog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Daily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Engagement Depth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PARTIAL — PostHog installed, not scored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Wallet load frequency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wallet_transactions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Real-time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Cash-Flow Stability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GAP — load rhythm not modeled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Recurring income timing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Inbound SPEI CLABEs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Real-time on STP 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Cash-Flow Stability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GAP — STP credentials pending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Spend category mix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Siprel SKU codes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Nightly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Payment Reliability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PARTIAL — categories not aggregated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Wallet-to-wallet send pattern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p2p_transfers table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Real-time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Behavioral Consistency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GAP — not yet incorporated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KYC tier progression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users.kyc_level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Event-based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Identity Integrity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STRENGTH — Nivel 1/2 captured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Loyalty tier advancement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tier / points ledger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Nightly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Behavioral Consistency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STRENGTH — Bronce/Plata/Oro live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Signup bonus utilization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wallet_transactions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Event-based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Engagement Depth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GAP — first-use speed not scored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Game participation cadence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spin_wheel / scratch 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Event-based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Engagement Depth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GAP — not yet incorporated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SPEI outbound (bank withdrawal)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STP credentials pending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Real-time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Cash-Flow Stability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GAP — unblocked by STP go-live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Belvo bank account link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Belvo API (deferred)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Daily batch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Cash-Flow Stability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DEFERRED — post-scale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RENAPO identity confirm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Metamap/Truora (stubbed)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Real-time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Identity Integrity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GAP — API credentials needed</w:t>
            </w:r>
          </w:p>
        </w:tc>
      </w:tr>
    </w:tbl>
    <w:p>
      <w:pPr>
        <w:spacing w:after="40" w:before="40"/>
      </w:pPr>
      <w:r>
        <w:t xml:space="preserve"/>
      </w:r>
    </w:p>
    <w:p>
      <w:pPr>
        <w:pStyle w:val="Heading1"/>
        <w:spacing w:after="160" w:before="360"/>
      </w:pPr>
      <w:r>
        <w:rPr>
          <w:rFonts w:ascii="Arial" w:cs="Arial" w:eastAsia="Arial" w:hAnsi="Arial"/>
          <w:b/>
          <w:bCs/>
          <w:color w:val="1A2744"/>
          <w:sz w:val="30"/>
          <w:szCs w:val="30"/>
        </w:rPr>
        <w:t xml:space="preserve">2. PTI Architecture Upgrades</w:t>
      </w:r>
    </w:p>
    <w:p>
      <w:pPr>
        <w:pStyle w:val="Heading2"/>
        <w:spacing w:after="120" w:before="280"/>
      </w:pPr>
      <w:r>
        <w:rPr>
          <w:rFonts w:ascii="Arial" w:cs="Arial" w:eastAsia="Arial" w:hAnsi="Arial"/>
          <w:b/>
          <w:bCs/>
          <w:color w:val="007B8A"/>
          <w:sz w:val="24"/>
          <w:szCs w:val="24"/>
        </w:rPr>
        <w:t xml:space="preserve">2.1  Payment Reliability (PR) — Strengthen Existing Lead</w:t>
      </w:r>
    </w:p>
    <w:p>
      <w:pPr>
        <w:spacing w:after="80" w:before="80"/>
      </w:pPr>
      <w:r>
        <w:rPr>
          <w:rFonts w:ascii="Arial" w:cs="Arial" w:eastAsia="Arial" w:hAnsi="Arial"/>
          <w:color w:val="4A5568"/>
          <w:sz w:val="20"/>
          <w:szCs w:val="20"/>
        </w:rPr>
        <w:t xml:space="preserve">Payment Reliability is PagoYa's deepest signal today. Every Siprel/Taecel transaction is timestamped, categorized by SKU, and tied to a user. The gap is that the PTI engine scores the fact of payment, not the pattern.</w:t>
      </w:r>
    </w:p>
    <w:p>
      <w:pPr>
        <w:pStyle w:val="ListParagraph"/>
        <w:numPr>
          <w:ilvl w:val="0"/>
          <w:numId w:val="2"/>
        </w:numPr>
        <w:spacing w:after="40" w:before="40"/>
      </w:pPr>
      <w:r>
        <w:rPr>
          <w:rFonts w:ascii="Arial" w:cs="Arial" w:eastAsia="Arial" w:hAnsi="Arial"/>
          <w:color w:val="4A5568"/>
          <w:sz w:val="20"/>
          <w:szCs w:val="20"/>
        </w:rPr>
        <w:t xml:space="preserve">Extract payment_day_of_month and payment_day_of_week from the transactions table for each user. A user who pays CFE on the 5th of every month for three consecutive months has a pattern score; a user who pays sporadically does not.</w:t>
      </w:r>
    </w:p>
    <w:p>
      <w:pPr>
        <w:pStyle w:val="ListParagraph"/>
        <w:numPr>
          <w:ilvl w:val="0"/>
          <w:numId w:val="2"/>
        </w:numPr>
        <w:spacing w:after="40" w:before="40"/>
      </w:pPr>
      <w:r>
        <w:rPr>
          <w:rFonts w:ascii="Arial" w:cs="Arial" w:eastAsia="Arial" w:hAnsi="Arial"/>
          <w:color w:val="4A5568"/>
          <w:sz w:val="20"/>
          <w:szCs w:val="20"/>
        </w:rPr>
        <w:t xml:space="preserve">Build a spend_category_mix index from Siprel SKU codes grouping spend into utility (CFE, SACMEX, water, gas), telecom (Telmex, Izzi, etc.), and discretionary (gift cards, recargas). A high utility-to-discretionary ratio signals essential-expense prioritization — a positive credit indicator.</w:t>
      </w:r>
    </w:p>
    <w:p>
      <w:pPr>
        <w:pStyle w:val="ListParagraph"/>
        <w:numPr>
          <w:ilvl w:val="0"/>
          <w:numId w:val="2"/>
        </w:numPr>
        <w:spacing w:after="40" w:before="40"/>
      </w:pPr>
      <w:r>
        <w:rPr>
          <w:rFonts w:ascii="Arial" w:cs="Arial" w:eastAsia="Arial" w:hAnsi="Arial"/>
          <w:color w:val="4A5568"/>
          <w:sz w:val="20"/>
          <w:szCs w:val="20"/>
        </w:rPr>
        <w:t xml:space="preserve">Score on-time rate relative to due-date proximity. PagoYa does not currently capture bill due dates from users, but payment clustering in the last 3 days of month-end is a proxy for urgency-driven payment versus proactive payment. Proactive scores higher.</w:t>
      </w:r>
    </w:p>
    <w:p>
      <w:pPr>
        <w:spacing w:after="40" w:before="40"/>
      </w:pPr>
      <w:r>
        <w:t xml:space="preserve"/>
      </w:r>
    </w:p>
    <w:p>
      <w:pPr>
        <w:pStyle w:val="Heading2"/>
        <w:spacing w:after="120" w:before="280"/>
      </w:pPr>
      <w:r>
        <w:rPr>
          <w:rFonts w:ascii="Arial" w:cs="Arial" w:eastAsia="Arial" w:hAnsi="Arial"/>
          <w:b/>
          <w:bCs/>
          <w:color w:val="007B8A"/>
          <w:sz w:val="24"/>
          <w:szCs w:val="24"/>
        </w:rPr>
        <w:t xml:space="preserve">2.2  Behavioral Consistency (BC) — Primary Gap to Close</w:t>
      </w:r>
    </w:p>
    <w:p>
      <w:pPr>
        <w:spacing w:after="80" w:before="80"/>
      </w:pPr>
      <w:r>
        <w:rPr>
          <w:rFonts w:ascii="Arial" w:cs="Arial" w:eastAsia="Arial" w:hAnsi="Arial"/>
          <w:color w:val="4A5568"/>
          <w:sz w:val="20"/>
          <w:szCs w:val="20"/>
        </w:rPr>
        <w:t xml:space="preserve">Behavioral Consistency is the weakest PTI dimension because the platform captures session data but does not score it. PostHog is instrumented; the events are firing. The work is aggregation and scoring, not new instrumentation.</w:t>
      </w:r>
    </w:p>
    <w:p>
      <w:pPr>
        <w:pStyle w:val="ListParagraph"/>
        <w:numPr>
          <w:ilvl w:val="0"/>
          <w:numId w:val="2"/>
        </w:numPr>
        <w:spacing w:after="40" w:before="40"/>
      </w:pPr>
      <w:r>
        <w:rPr>
          <w:rFonts w:ascii="Arial" w:cs="Arial" w:eastAsia="Arial" w:hAnsi="Arial"/>
          <w:color w:val="4A5568"/>
          <w:sz w:val="20"/>
          <w:szCs w:val="20"/>
        </w:rPr>
        <w:t xml:space="preserve">Build a pti_behavioral_signals materialized view that aggregates: login count per 30-day window, average days between sessions, standard deviation of session intervals (lower std = more consistent), and WhatsApp Paula interaction count.</w:t>
      </w:r>
    </w:p>
    <w:p>
      <w:pPr>
        <w:pStyle w:val="ListParagraph"/>
        <w:numPr>
          <w:ilvl w:val="0"/>
          <w:numId w:val="2"/>
        </w:numPr>
        <w:spacing w:after="40" w:before="40"/>
      </w:pPr>
      <w:r>
        <w:rPr>
          <w:rFonts w:ascii="Arial" w:cs="Arial" w:eastAsia="Arial" w:hAnsi="Arial"/>
          <w:color w:val="4A5568"/>
          <w:sz w:val="20"/>
          <w:szCs w:val="20"/>
        </w:rPr>
        <w:t xml:space="preserve">Loyalty tier velocity is a strong consistency proxy that is already fully computed. A user who advances from Bronce to Plata in 45 days versus 90 days has twice the engagement density. Add tier_advance_days to BC scoring inputs.</w:t>
      </w:r>
    </w:p>
    <w:p>
      <w:pPr>
        <w:pStyle w:val="ListParagraph"/>
        <w:numPr>
          <w:ilvl w:val="0"/>
          <w:numId w:val="2"/>
        </w:numPr>
        <w:spacing w:after="40" w:before="40"/>
      </w:pPr>
      <w:r>
        <w:rPr>
          <w:rFonts w:ascii="Arial" w:cs="Arial" w:eastAsia="Arial" w:hAnsi="Arial"/>
          <w:color w:val="4A5568"/>
          <w:sz w:val="20"/>
          <w:szCs w:val="20"/>
        </w:rPr>
        <w:t xml:space="preserve">Wallet-to-wallet P2P transfers signal network depth and platform trust. Score recipient diversity (unique counterparties) and send frequency as BC sub-signals.</w:t>
      </w:r>
    </w:p>
    <w:p>
      <w:pPr>
        <w:pStyle w:val="ListParagraph"/>
        <w:numPr>
          <w:ilvl w:val="0"/>
          <w:numId w:val="2"/>
        </w:numPr>
        <w:spacing w:after="40" w:before="40"/>
      </w:pPr>
      <w:r>
        <w:rPr>
          <w:rFonts w:ascii="Arial" w:cs="Arial" w:eastAsia="Arial" w:hAnsi="Arial"/>
          <w:color w:val="4A5568"/>
          <w:sz w:val="20"/>
          <w:szCs w:val="20"/>
        </w:rPr>
        <w:t xml:space="preserve">Signup bonus utilization speed (hours elapsed between OTP verification and first transaction) is a leading indicator of platform engagement. Users who spend within 24 hours have materially higher 30-day retention in comparable platforms.</w:t>
      </w:r>
    </w:p>
    <w:p>
      <w:pPr>
        <w:spacing w:after="40" w:before="40"/>
      </w:pPr>
      <w:r>
        <w:t xml:space="preserve"/>
      </w:r>
    </w:p>
    <w:p>
      <w:pPr>
        <w:pStyle w:val="Heading2"/>
        <w:spacing w:after="120" w:before="280"/>
      </w:pPr>
      <w:r>
        <w:rPr>
          <w:rFonts w:ascii="Arial" w:cs="Arial" w:eastAsia="Arial" w:hAnsi="Arial"/>
          <w:b/>
          <w:bCs/>
          <w:color w:val="007B8A"/>
          <w:sz w:val="24"/>
          <w:szCs w:val="24"/>
        </w:rPr>
        <w:t xml:space="preserve">2.3  Engagement Depth (ED) — Instrument What Is Already Live</w:t>
      </w:r>
    </w:p>
    <w:p>
      <w:pPr>
        <w:spacing w:after="80" w:before="80"/>
      </w:pPr>
      <w:r>
        <w:rPr>
          <w:rFonts w:ascii="Arial" w:cs="Arial" w:eastAsia="Arial" w:hAnsi="Arial"/>
          <w:color w:val="4A5568"/>
          <w:sz w:val="20"/>
          <w:szCs w:val="20"/>
        </w:rPr>
        <w:t xml:space="preserve">Engagement Depth captures how deeply a user is integrated into the platform across channels and features. PagoYa has more live surface area than any comparable platform at this stage of development.</w:t>
      </w:r>
    </w:p>
    <w:p>
      <w:pPr>
        <w:pStyle w:val="ListParagraph"/>
        <w:numPr>
          <w:ilvl w:val="0"/>
          <w:numId w:val="2"/>
        </w:numPr>
        <w:spacing w:after="40" w:before="40"/>
      </w:pPr>
      <w:r>
        <w:rPr>
          <w:rFonts w:ascii="Arial" w:cs="Arial" w:eastAsia="Arial" w:hAnsi="Arial"/>
          <w:color w:val="4A5568"/>
          <w:sz w:val="20"/>
          <w:szCs w:val="20"/>
        </w:rPr>
        <w:t xml:space="preserve">Paula WhatsApp interactions: number of inbound messages, query types resolved without escalation, and 2FA confirmation completion rate on bill payments. A user who initiates payments via WhatsApp rather than the app UI is demonstrating a different (and trackable) engagement pattern.</w:t>
      </w:r>
    </w:p>
    <w:p>
      <w:pPr>
        <w:pStyle w:val="ListParagraph"/>
        <w:numPr>
          <w:ilvl w:val="0"/>
          <w:numId w:val="2"/>
        </w:numPr>
        <w:spacing w:after="40" w:before="40"/>
      </w:pPr>
      <w:r>
        <w:rPr>
          <w:rFonts w:ascii="Arial" w:cs="Arial" w:eastAsia="Arial" w:hAnsi="Arial"/>
          <w:color w:val="4A5568"/>
          <w:sz w:val="20"/>
          <w:szCs w:val="20"/>
        </w:rPr>
        <w:t xml:space="preserve">Game participation cadence: scratch card plays per week and spin wheel utilization are not currently scored. Daily game players demonstrate consistent re-engagement — a strong retention signal that correlates with payment regularity in loyalty program data.</w:t>
      </w:r>
    </w:p>
    <w:p>
      <w:pPr>
        <w:pStyle w:val="ListParagraph"/>
        <w:numPr>
          <w:ilvl w:val="0"/>
          <w:numId w:val="2"/>
        </w:numPr>
        <w:spacing w:after="40" w:before="40"/>
      </w:pPr>
      <w:r>
        <w:rPr>
          <w:rFonts w:ascii="Arial" w:cs="Arial" w:eastAsia="Arial" w:hAnsi="Arial"/>
          <w:color w:val="4A5568"/>
          <w:sz w:val="20"/>
          <w:szCs w:val="20"/>
        </w:rPr>
        <w:t xml:space="preserve">PWA push notification opt-in and click-through rate (where available from service worker analytics) signals user receptivity and channel depth.</w:t>
      </w:r>
    </w:p>
    <w:p>
      <w:pPr>
        <w:pStyle w:val="ListParagraph"/>
        <w:numPr>
          <w:ilvl w:val="0"/>
          <w:numId w:val="2"/>
        </w:numPr>
        <w:spacing w:after="40" w:before="40"/>
      </w:pPr>
      <w:r>
        <w:rPr>
          <w:rFonts w:ascii="Arial" w:cs="Arial" w:eastAsia="Arial" w:hAnsi="Arial"/>
          <w:color w:val="4A5568"/>
          <w:sz w:val="20"/>
          <w:szCs w:val="20"/>
        </w:rPr>
        <w:t xml:space="preserve">KYC tier progression from Nivel 1 to Nivel 2 is already captured in users.kyc_level. CURP submission is a voluntary identity commitment that should carry a positive ED score premium.</w:t>
      </w:r>
    </w:p>
    <w:p>
      <w:pPr>
        <w:spacing w:after="40" w:before="40"/>
      </w:pPr>
      <w:r>
        <w:t xml:space="preserve"/>
      </w:r>
    </w:p>
    <w:p>
      <w:pPr>
        <w:pStyle w:val="Heading2"/>
        <w:spacing w:after="120" w:before="280"/>
      </w:pPr>
      <w:r>
        <w:rPr>
          <w:rFonts w:ascii="Arial" w:cs="Arial" w:eastAsia="Arial" w:hAnsi="Arial"/>
          <w:b/>
          <w:bCs/>
          <w:color w:val="007B8A"/>
          <w:sz w:val="24"/>
          <w:szCs w:val="24"/>
        </w:rPr>
        <w:t xml:space="preserve">2.4  Cash-Flow Stability (CF) — Blocked but Architecturally Ready</w:t>
      </w:r>
    </w:p>
    <w:p>
      <w:pPr>
        <w:spacing w:after="80" w:before="80"/>
      </w:pPr>
      <w:r>
        <w:rPr>
          <w:rFonts w:ascii="Arial" w:cs="Arial" w:eastAsia="Arial" w:hAnsi="Arial"/>
          <w:color w:val="4A5568"/>
          <w:sz w:val="20"/>
          <w:szCs w:val="20"/>
        </w:rPr>
        <w:t xml:space="preserve">Cash-Flow Stability is the hardest dimension to score without bank-link data, but PagoYa has two native signals that approximate it:</w:t>
      </w:r>
    </w:p>
    <w:p>
      <w:pPr>
        <w:pStyle w:val="ListParagraph"/>
        <w:numPr>
          <w:ilvl w:val="0"/>
          <w:numId w:val="2"/>
        </w:numPr>
        <w:spacing w:after="40" w:before="40"/>
      </w:pPr>
      <w:r>
        <w:rPr>
          <w:rFonts w:ascii="Arial" w:cs="Arial" w:eastAsia="Arial" w:hAnsi="Arial"/>
          <w:color w:val="4A5568"/>
          <w:sz w:val="20"/>
          <w:szCs w:val="20"/>
        </w:rPr>
        <w:t xml:space="preserve">Wallet load rhythm: frequency distribution of OXXO deposits, SPEI inbound credits, and card charges. A user who loads $500 MXN every Friday for 6 weeks has a detectable payroll-adjacent pattern even without a bank account link. Build a load_rhythm_score from wallet_transactions.</w:t>
      </w:r>
    </w:p>
    <w:p>
      <w:pPr>
        <w:pStyle w:val="ListParagraph"/>
        <w:numPr>
          <w:ilvl w:val="0"/>
          <w:numId w:val="2"/>
        </w:numPr>
        <w:spacing w:after="40" w:before="40"/>
      </w:pPr>
      <w:r>
        <w:rPr>
          <w:rFonts w:ascii="Arial" w:cs="Arial" w:eastAsia="Arial" w:hAnsi="Arial"/>
          <w:color w:val="4A5568"/>
          <w:sz w:val="20"/>
          <w:szCs w:val="20"/>
        </w:rPr>
        <w:t xml:space="preserve">On STP go-live, inbound SPEI timestamps will be the highest-quality CF signal on the platform: recurring deposits from the same originating CLABE at regular intervals are a direct income regularity indicator.</w:t>
      </w:r>
    </w:p>
    <w:p>
      <w:pPr>
        <w:pStyle w:val="ListParagraph"/>
        <w:numPr>
          <w:ilvl w:val="0"/>
          <w:numId w:val="2"/>
        </w:numPr>
        <w:spacing w:after="40" w:before="40"/>
      </w:pPr>
      <w:r>
        <w:rPr>
          <w:rFonts w:ascii="Arial" w:cs="Arial" w:eastAsia="Arial" w:hAnsi="Arial"/>
          <w:color w:val="4A5568"/>
          <w:sz w:val="20"/>
          <w:szCs w:val="20"/>
        </w:rPr>
        <w:t xml:space="preserve">Belvo bank-account linking (deferred to post-scale) will eventually be the most precise CF source. Architecture should be designed so Belvo data drops into CF inputs without restructuring the scoring model.</w:t>
      </w:r>
    </w:p>
    <w:p>
      <w:pPr>
        <w:spacing w:after="40" w:before="40"/>
      </w:pPr>
      <w:r>
        <w:t xml:space="preserve"/>
      </w:r>
    </w:p>
    <w:p>
      <w:pPr>
        <w:pStyle w:val="Heading1"/>
        <w:spacing w:after="160" w:before="360"/>
      </w:pPr>
      <w:r>
        <w:rPr>
          <w:rFonts w:ascii="Arial" w:cs="Arial" w:eastAsia="Arial" w:hAnsi="Arial"/>
          <w:b/>
          <w:bCs/>
          <w:color w:val="1A2744"/>
          <w:sz w:val="30"/>
          <w:szCs w:val="30"/>
        </w:rPr>
        <w:t xml:space="preserve">3. Implementation Roadmap</w:t>
      </w:r>
    </w:p>
    <w:p>
      <w:pPr>
        <w:spacing w:after="80" w:before="80"/>
      </w:pPr>
      <w:r>
        <w:rPr>
          <w:rFonts w:ascii="Arial" w:cs="Arial" w:eastAsia="Arial" w:hAnsi="Arial"/>
          <w:color w:val="4A5568"/>
          <w:sz w:val="20"/>
          <w:szCs w:val="20"/>
        </w:rPr>
        <w:t xml:space="preserve">The roadmap is structured in three phases aligned to the 90-day post-launch checklist. Phase 1 requires no external dependencies. Phase 2 gates on STP go-live for maximum CF signal quality but can proceed partially without it. Phase 3 gates on having sufficient user volume (target: 500+ scored users) and legal infrastructure (SA de CV formation, data services contract template).</w:t>
      </w:r>
    </w:p>
    <w:p>
      <w:pPr>
        <w:spacing w:after="40" w:before="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360"/>
        <w:gridCol w:w="2400"/>
      </w:tblGrid>
      <w:tr>
        <w:trPr>
          <w:tblHeader/>
        </w:trPr>
        <w:tc>
          <w:tcPr>
            <w:tcW w:type="dxa" w:w="1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Timeframe</w:t>
            </w:r>
          </w:p>
        </w:tc>
        <w:tc>
          <w:tcPr>
            <w:tcW w:type="dxa" w:w="4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Key Deliverables</w:t>
            </w:r>
          </w:p>
        </w:tc>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Success KPI</w:t>
            </w:r>
          </w:p>
        </w:tc>
      </w:tr>
      <w:tr>
        <w:tc>
          <w:tcPr>
            <w:tcW w:type="dxa" w:w="1400"/>
            <w:tcBorders>
              <w:top w:val="single" w:color="CCCCCC" w:sz="1"/>
              <w:left w:val="single" w:color="CCCCCC" w:sz="1"/>
              <w:bottom w:val="single" w:color="CCCCCC" w:sz="1"/>
              <w:right w:val="single" w:color="CCCCCC" w:sz="1"/>
            </w:tcBorders>
            <w:shd w:fill="007B8A" w:val="clear"/>
            <w:tcMar>
              <w:top w:type="dxa" w:w="80"/>
              <w:left w:type="dxa" w:w="120"/>
              <w:bottom w:type="dxa" w:w="80"/>
              <w:right w:type="dxa" w:w="120"/>
            </w:tcMar>
            <w:vAlign w:val="top"/>
          </w:tcPr>
          <w:p>
            <w:r>
              <w:rPr>
                <w:rFonts w:ascii="Arial" w:cs="Arial" w:eastAsia="Arial" w:hAnsi="Arial"/>
                <w:b/>
                <w:bCs/>
                <w:color w:val="FFFFFF"/>
                <w:sz w:val="18"/>
                <w:szCs w:val="18"/>
              </w:rPr>
              <w:t xml:space="preserve">Phase 1
Foundation</w:t>
            </w:r>
          </w:p>
        </w:tc>
        <w:tc>
          <w:tcPr>
            <w:tcW w:type="dxa" w:w="1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color w:val="4A5568"/>
                <w:sz w:val="18"/>
                <w:szCs w:val="18"/>
              </w:rPr>
              <w:t xml:space="preserve">Now — Day 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color w:val="4A5568"/>
                <w:sz w:val="18"/>
                <w:szCs w:val="18"/>
              </w:rPr>
              <w:t xml:space="preserve">Extract payment day-of-month &amp; week patterns from transactions table</w:t>
            </w:r>
          </w:p>
          <w:p>
            <w:pPr>
              <w:pStyle w:val="ListParagraph"/>
              <w:numPr>
                <w:ilvl w:val="0"/>
                <w:numId w:val="2"/>
              </w:numPr>
              <w:spacing w:after="30" w:before="30"/>
            </w:pPr>
            <w:r>
              <w:rPr>
                <w:rFonts w:ascii="Arial" w:cs="Arial" w:eastAsia="Arial" w:hAnsi="Arial"/>
                <w:color w:val="4A5568"/>
                <w:sz w:val="18"/>
                <w:szCs w:val="18"/>
              </w:rPr>
              <w:t xml:space="preserve">Build pti_behavioral_signals view aggregating session cadence from WhatsApp inbound log</w:t>
            </w:r>
          </w:p>
          <w:p>
            <w:pPr>
              <w:pStyle w:val="ListParagraph"/>
              <w:numPr>
                <w:ilvl w:val="0"/>
                <w:numId w:val="2"/>
              </w:numPr>
              <w:spacing w:after="30" w:before="30"/>
            </w:pPr>
            <w:r>
              <w:rPr>
                <w:rFonts w:ascii="Arial" w:cs="Arial" w:eastAsia="Arial" w:hAnsi="Arial"/>
                <w:color w:val="4A5568"/>
                <w:sz w:val="18"/>
                <w:szCs w:val="18"/>
              </w:rPr>
              <w:t xml:space="preserve">Score wallet load rhythm: avg days between loads, std deviation</w:t>
            </w:r>
          </w:p>
          <w:p>
            <w:pPr>
              <w:pStyle w:val="ListParagraph"/>
              <w:numPr>
                <w:ilvl w:val="0"/>
                <w:numId w:val="2"/>
              </w:numPr>
              <w:spacing w:after="30" w:before="30"/>
            </w:pPr>
            <w:r>
              <w:rPr>
                <w:rFonts w:ascii="Arial" w:cs="Arial" w:eastAsia="Arial" w:hAnsi="Arial"/>
                <w:color w:val="4A5568"/>
                <w:sz w:val="18"/>
                <w:szCs w:val="18"/>
              </w:rPr>
              <w:t xml:space="preserve">Add signup bonus utilization speed (hours to first spend) to PTI inputs</w:t>
            </w:r>
          </w:p>
          <w:p>
            <w:pPr>
              <w:pStyle w:val="ListParagraph"/>
              <w:numPr>
                <w:ilvl w:val="0"/>
                <w:numId w:val="2"/>
              </w:numPr>
              <w:spacing w:after="30" w:before="30"/>
            </w:pPr>
            <w:r>
              <w:rPr>
                <w:rFonts w:ascii="Arial" w:cs="Arial" w:eastAsia="Arial" w:hAnsi="Arial"/>
                <w:color w:val="4A5568"/>
                <w:sz w:val="18"/>
                <w:szCs w:val="18"/>
              </w:rPr>
              <w:t xml:space="preserve">Incorporate loyalty tier velocity (days per tier advance) into Consistency dimension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5568"/>
                <w:sz w:val="18"/>
                <w:szCs w:val="18"/>
              </w:rPr>
              <w:t xml:space="preserve">PTI score coverage: 70% of users have all 4 dimensions populated</w:t>
            </w:r>
          </w:p>
        </w:tc>
      </w:tr>
      <w:tr>
        <w:tc>
          <w:tcPr>
            <w:tcW w:type="dxa" w:w="1400"/>
            <w:tcBorders>
              <w:top w:val="single" w:color="CCCCCC" w:sz="1"/>
              <w:left w:val="single" w:color="CCCCCC" w:sz="1"/>
              <w:bottom w:val="single" w:color="CCCCCC" w:sz="1"/>
              <w:right w:val="single" w:color="CCCCCC" w:sz="1"/>
            </w:tcBorders>
            <w:shd w:fill="C8922A" w:val="clear"/>
            <w:tcMar>
              <w:top w:type="dxa" w:w="80"/>
              <w:left w:type="dxa" w:w="120"/>
              <w:bottom w:type="dxa" w:w="80"/>
              <w:right w:type="dxa" w:w="120"/>
            </w:tcMar>
            <w:vAlign w:val="top"/>
          </w:tcPr>
          <w:p>
            <w:r>
              <w:rPr>
                <w:rFonts w:ascii="Arial" w:cs="Arial" w:eastAsia="Arial" w:hAnsi="Arial"/>
                <w:b/>
                <w:bCs/>
                <w:color w:val="FFFFFF"/>
                <w:sz w:val="18"/>
                <w:szCs w:val="18"/>
              </w:rPr>
              <w:t xml:space="preserve">Phase 2
Depth</w:t>
            </w:r>
          </w:p>
        </w:tc>
        <w:tc>
          <w:tcPr>
            <w:tcW w:type="dxa" w:w="1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color w:val="4A5568"/>
                <w:sz w:val="18"/>
                <w:szCs w:val="18"/>
              </w:rPr>
              <w:t xml:space="preserve">Day 31 — Day 75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color w:val="4A5568"/>
                <w:sz w:val="18"/>
                <w:szCs w:val="18"/>
              </w:rPr>
              <w:t xml:space="preserve">Build spend-category mix index from Siprel SKU codes (utility vs. telecom vs. gas ratio)</w:t>
            </w:r>
          </w:p>
          <w:p>
            <w:pPr>
              <w:pStyle w:val="ListParagraph"/>
              <w:numPr>
                <w:ilvl w:val="0"/>
                <w:numId w:val="2"/>
              </w:numPr>
              <w:spacing w:after="30" w:before="30"/>
            </w:pPr>
            <w:r>
              <w:rPr>
                <w:rFonts w:ascii="Arial" w:cs="Arial" w:eastAsia="Arial" w:hAnsi="Arial"/>
                <w:color w:val="4A5568"/>
                <w:sz w:val="18"/>
                <w:szCs w:val="18"/>
              </w:rPr>
              <w:t xml:space="preserve">Score game engagement cadence as proxy for platform trust</w:t>
            </w:r>
          </w:p>
          <w:p>
            <w:pPr>
              <w:pStyle w:val="ListParagraph"/>
              <w:numPr>
                <w:ilvl w:val="0"/>
                <w:numId w:val="2"/>
              </w:numPr>
              <w:spacing w:after="30" w:before="30"/>
            </w:pPr>
            <w:r>
              <w:rPr>
                <w:rFonts w:ascii="Arial" w:cs="Arial" w:eastAsia="Arial" w:hAnsi="Arial"/>
                <w:color w:val="4A5568"/>
                <w:sz w:val="18"/>
                <w:szCs w:val="18"/>
              </w:rPr>
              <w:t xml:space="preserve">Integrate PostHog session depth events into PTI Engagement dimension</w:t>
            </w:r>
          </w:p>
          <w:p>
            <w:pPr>
              <w:pStyle w:val="ListParagraph"/>
              <w:numPr>
                <w:ilvl w:val="0"/>
                <w:numId w:val="2"/>
              </w:numPr>
              <w:spacing w:after="30" w:before="30"/>
            </w:pPr>
            <w:r>
              <w:rPr>
                <w:rFonts w:ascii="Arial" w:cs="Arial" w:eastAsia="Arial" w:hAnsi="Arial"/>
                <w:color w:val="4A5568"/>
                <w:sz w:val="18"/>
                <w:szCs w:val="18"/>
              </w:rPr>
              <w:t xml:space="preserve">Activate P2P transfer pattern scoring (send frequency, recipient diversity)</w:t>
            </w:r>
          </w:p>
          <w:p>
            <w:pPr>
              <w:pStyle w:val="ListParagraph"/>
              <w:numPr>
                <w:ilvl w:val="0"/>
                <w:numId w:val="2"/>
              </w:numPr>
              <w:spacing w:after="30" w:before="30"/>
            </w:pPr>
            <w:r>
              <w:rPr>
                <w:rFonts w:ascii="Arial" w:cs="Arial" w:eastAsia="Arial" w:hAnsi="Arial"/>
                <w:color w:val="4A5568"/>
                <w:sz w:val="18"/>
                <w:szCs w:val="18"/>
              </w:rPr>
              <w:t xml:space="preserve">On STP go-live: ingest SPEI inbound timestamps as income regularity signal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5568"/>
                <w:sz w:val="18"/>
                <w:szCs w:val="18"/>
              </w:rPr>
              <w:t xml:space="preserve">PTI score precision: Gini separation between Bronce vs. Oro ≥0.20</w:t>
            </w:r>
          </w:p>
        </w:tc>
      </w:tr>
      <w:tr>
        <w:tc>
          <w:tcPr>
            <w:tcW w:type="dxa" w:w="1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top"/>
          </w:tcPr>
          <w:p>
            <w:r>
              <w:rPr>
                <w:rFonts w:ascii="Arial" w:cs="Arial" w:eastAsia="Arial" w:hAnsi="Arial"/>
                <w:b/>
                <w:bCs/>
                <w:color w:val="FFFFFF"/>
                <w:sz w:val="18"/>
                <w:szCs w:val="18"/>
              </w:rPr>
              <w:t xml:space="preserve">Phase 3
Commercial</w:t>
            </w:r>
          </w:p>
        </w:tc>
        <w:tc>
          <w:tcPr>
            <w:tcW w:type="dxa" w:w="1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color w:val="4A5568"/>
                <w:sz w:val="18"/>
                <w:szCs w:val="18"/>
              </w:rPr>
              <w:t xml:space="preserve">Day 76 — Day 120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color w:val="4A5568"/>
                <w:sz w:val="18"/>
                <w:szCs w:val="18"/>
              </w:rPr>
              <w:t xml:space="preserve">Design anonymized, aggregated PTI export schema (no PII, colonia-level only)</w:t>
            </w:r>
          </w:p>
          <w:p>
            <w:pPr>
              <w:pStyle w:val="ListParagraph"/>
              <w:numPr>
                <w:ilvl w:val="0"/>
                <w:numId w:val="2"/>
              </w:numPr>
              <w:spacing w:after="30" w:before="30"/>
            </w:pPr>
            <w:r>
              <w:rPr>
                <w:rFonts w:ascii="Arial" w:cs="Arial" w:eastAsia="Arial" w:hAnsi="Arial"/>
                <w:color w:val="4A5568"/>
                <w:sz w:val="18"/>
                <w:szCs w:val="18"/>
              </w:rPr>
              <w:t xml:space="preserve">Build B2B data API: /v1/pti/segment endpoint returning risk bands + behavioral clusters</w:t>
            </w:r>
          </w:p>
          <w:p>
            <w:pPr>
              <w:pStyle w:val="ListParagraph"/>
              <w:numPr>
                <w:ilvl w:val="0"/>
                <w:numId w:val="2"/>
              </w:numPr>
              <w:spacing w:after="30" w:before="30"/>
            </w:pPr>
            <w:r>
              <w:rPr>
                <w:rFonts w:ascii="Arial" w:cs="Arial" w:eastAsia="Arial" w:hAnsi="Arial"/>
                <w:color w:val="4A5568"/>
                <w:sz w:val="18"/>
                <w:szCs w:val="18"/>
              </w:rPr>
              <w:t xml:space="preserve">Develop PTI Data Card (standardized product spec for lenders/insurers)</w:t>
            </w:r>
          </w:p>
          <w:p>
            <w:pPr>
              <w:pStyle w:val="ListParagraph"/>
              <w:numPr>
                <w:ilvl w:val="0"/>
                <w:numId w:val="2"/>
              </w:numPr>
              <w:spacing w:after="30" w:before="30"/>
            </w:pPr>
            <w:r>
              <w:rPr>
                <w:rFonts w:ascii="Arial" w:cs="Arial" w:eastAsia="Arial" w:hAnsi="Arial"/>
                <w:color w:val="4A5568"/>
                <w:sz w:val="18"/>
                <w:szCs w:val="18"/>
              </w:rPr>
              <w:t xml:space="preserve">Initiate NDA-gated pilot with 1-2 Mexican fintech lenders or insurers</w:t>
            </w:r>
          </w:p>
          <w:p>
            <w:pPr>
              <w:pStyle w:val="ListParagraph"/>
              <w:numPr>
                <w:ilvl w:val="0"/>
                <w:numId w:val="2"/>
              </w:numPr>
              <w:spacing w:after="30" w:before="30"/>
            </w:pPr>
            <w:r>
              <w:rPr>
                <w:rFonts w:ascii="Arial" w:cs="Arial" w:eastAsia="Arial" w:hAnsi="Arial"/>
                <w:color w:val="4A5568"/>
                <w:sz w:val="18"/>
                <w:szCs w:val="18"/>
              </w:rPr>
              <w:t xml:space="preserve">Layer Belvo bank-link data into Cash-Flow dimension (post-RENAPO activation)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5568"/>
                <w:sz w:val="18"/>
                <w:szCs w:val="18"/>
              </w:rPr>
              <w:t xml:space="preserve">First signed B2B data pilot agreement; revenue recognition begins</w:t>
            </w:r>
          </w:p>
        </w:tc>
      </w:tr>
    </w:tbl>
    <w:p>
      <w:pPr>
        <w:spacing w:after="40" w:before="40"/>
      </w:pPr>
      <w:r>
        <w:t xml:space="preserve"/>
      </w:r>
    </w:p>
    <w:p>
      <w:pPr>
        <w:pStyle w:val="Heading1"/>
        <w:spacing w:after="160" w:before="360"/>
      </w:pPr>
      <w:r>
        <w:rPr>
          <w:rFonts w:ascii="Arial" w:cs="Arial" w:eastAsia="Arial" w:hAnsi="Arial"/>
          <w:b/>
          <w:bCs/>
          <w:color w:val="1A2744"/>
          <w:sz w:val="30"/>
          <w:szCs w:val="30"/>
        </w:rPr>
        <w:t xml:space="preserve">4. B2B Alternative Data Commercialization</w:t>
      </w:r>
    </w:p>
    <w:p>
      <w:pPr>
        <w:pStyle w:val="Heading2"/>
        <w:spacing w:after="120" w:before="280"/>
      </w:pPr>
      <w:r>
        <w:rPr>
          <w:rFonts w:ascii="Arial" w:cs="Arial" w:eastAsia="Arial" w:hAnsi="Arial"/>
          <w:b/>
          <w:bCs/>
          <w:color w:val="007B8A"/>
          <w:sz w:val="24"/>
          <w:szCs w:val="24"/>
        </w:rPr>
        <w:t xml:space="preserve">4.1  The Asset</w:t>
      </w:r>
    </w:p>
    <w:p>
      <w:pPr>
        <w:spacing w:after="80" w:before="80"/>
      </w:pPr>
      <w:r>
        <w:rPr>
          <w:rFonts w:ascii="Arial" w:cs="Arial" w:eastAsia="Arial" w:hAnsi="Arial"/>
          <w:color w:val="4A5568"/>
          <w:sz w:val="20"/>
          <w:szCs w:val="20"/>
        </w:rPr>
        <w:t xml:space="preserve">What PagoYa is selling is not raw transaction data — it is a behavioral risk classification product derived from a population of users who have no formal credit history anywhere in Mexico. TransUnion (Buro de Credito) and Circulo de Credito have no file on these users. Equifax has no meaningful Mexico presence. PTI scores fill a genuine whitespace in the Mexican alternative data market.</w:t>
      </w:r>
    </w:p>
    <w:p>
      <w:pPr>
        <w:spacing w:after="80" w:before="80"/>
      </w:pPr>
      <w:r>
        <w:rPr>
          <w:rFonts w:ascii="Arial" w:cs="Arial" w:eastAsia="Arial" w:hAnsi="Arial"/>
          <w:color w:val="4A5568"/>
          <w:sz w:val="20"/>
          <w:szCs w:val="20"/>
        </w:rPr>
        <w:t xml:space="preserve">The strategic positioning is as a B2B2C alternative data risk classification asset. The B2B buyer (lender, insurer, telecom) uses PTI scores to underwrite users they could not previously assess. The user benefits from access to credit, insurance, or services they were previously excluded from. PagoYa earns a data licensing fee.</w:t>
      </w:r>
    </w:p>
    <w:p>
      <w:pPr>
        <w:spacing w:after="40" w:before="40"/>
      </w:pPr>
      <w:r>
        <w:t xml:space="preserve"/>
      </w:r>
    </w:p>
    <w:p>
      <w:pPr>
        <w:pStyle w:val="Heading2"/>
        <w:spacing w:after="120" w:before="280"/>
      </w:pPr>
      <w:r>
        <w:rPr>
          <w:rFonts w:ascii="Arial" w:cs="Arial" w:eastAsia="Arial" w:hAnsi="Arial"/>
          <w:b/>
          <w:bCs/>
          <w:color w:val="007B8A"/>
          <w:sz w:val="24"/>
          <w:szCs w:val="24"/>
        </w:rPr>
        <w:t xml:space="preserve">4.2  Product Tiers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400"/>
      </w:tblGrid>
      <w:tr>
        <w:trPr>
          <w:tblHeader/>
        </w:trPr>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Product Tier</w:t>
            </w:r>
          </w:p>
        </w:tc>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Data Included</w:t>
            </w:r>
          </w:p>
        </w:tc>
        <w:tc>
          <w:tcPr>
            <w:tcW w:type="dxa" w:w="2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Target Buyer</w:t>
            </w:r>
          </w:p>
        </w:tc>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Pricing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PTI Score Feed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Anonymized PTI score band + tier + 4-dimension sub-scores per user cohort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BNPL lenders, digital credit, telecom credit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Per-record API call or monthly batch subscription</w:t>
            </w:r>
          </w:p>
        </w:tc>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color w:val="4A5568"/>
                <w:sz w:val="18"/>
                <w:szCs w:val="18"/>
              </w:rPr>
              <w:t xml:space="preserve">Behavioral Cluster Report</w:t>
            </w:r>
          </w:p>
        </w:tc>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color w:val="4A5568"/>
                <w:sz w:val="18"/>
                <w:szCs w:val="18"/>
              </w:rPr>
              <w:t xml:space="preserve">Colonia-level aggregates: avg. payment reliability, cash-flow stability index, engagement depth</w:t>
            </w:r>
          </w:p>
        </w:tc>
        <w:tc>
          <w:tcPr>
            <w:tcW w:type="dxa" w:w="25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color w:val="4A5568"/>
                <w:sz w:val="18"/>
                <w:szCs w:val="18"/>
              </w:rPr>
              <w:t xml:space="preserve">Banks, insurers, gov. financial inclusion programs</w:t>
            </w:r>
          </w:p>
        </w:tc>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color w:val="4A5568"/>
                <w:sz w:val="18"/>
                <w:szCs w:val="18"/>
              </w:rPr>
              <w:t xml:space="preserve">SaaS monthly flat fee by colonia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PTI Identity Attestation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KYC tier level + CURP format validation flag + RENAPO confirm status (when live)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Remittance corridors, wage advance platforms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Per-verification ping</w:t>
            </w:r>
          </w:p>
        </w:tc>
      </w:tr>
    </w:tbl>
    <w:p>
      <w:pPr>
        <w:spacing w:after="40" w:before="40"/>
      </w:pPr>
      <w:r>
        <w:t xml:space="preserve"/>
      </w:r>
    </w:p>
    <w:p>
      <w:pPr>
        <w:pStyle w:val="Heading2"/>
        <w:spacing w:after="120" w:before="280"/>
      </w:pPr>
      <w:r>
        <w:rPr>
          <w:rFonts w:ascii="Arial" w:cs="Arial" w:eastAsia="Arial" w:hAnsi="Arial"/>
          <w:b/>
          <w:bCs/>
          <w:color w:val="007B8A"/>
          <w:sz w:val="24"/>
          <w:szCs w:val="24"/>
        </w:rPr>
        <w:t xml:space="preserve">4.3  Data Architecture for Commercialization</w:t>
      </w:r>
    </w:p>
    <w:p>
      <w:pPr>
        <w:spacing w:after="80" w:before="80"/>
      </w:pPr>
      <w:r>
        <w:rPr>
          <w:rFonts w:ascii="Arial" w:cs="Arial" w:eastAsia="Arial" w:hAnsi="Arial"/>
          <w:color w:val="4A5568"/>
          <w:sz w:val="20"/>
          <w:szCs w:val="20"/>
        </w:rPr>
        <w:t xml:space="preserve">Three technical requirements must be met before any B2B data delivery:</w:t>
      </w:r>
    </w:p>
    <w:p>
      <w:pPr>
        <w:pStyle w:val="ListParagraph"/>
        <w:numPr>
          <w:ilvl w:val="0"/>
          <w:numId w:val="2"/>
        </w:numPr>
        <w:spacing w:after="40" w:before="40"/>
      </w:pPr>
      <w:r>
        <w:rPr>
          <w:rFonts w:ascii="Arial" w:cs="Arial" w:eastAsia="Arial" w:hAnsi="Arial"/>
          <w:color w:val="4A5568"/>
          <w:sz w:val="20"/>
          <w:szCs w:val="20"/>
        </w:rPr>
        <w:t xml:space="preserve">pti_export_safe view: hashes user_id to a one-way token, strips phone number and CURP, retains colonia (not street address), retains score bands (not raw scores), retains behavioral cluster labels.</w:t>
      </w:r>
    </w:p>
    <w:p>
      <w:pPr>
        <w:pStyle w:val="ListParagraph"/>
        <w:numPr>
          <w:ilvl w:val="0"/>
          <w:numId w:val="2"/>
        </w:numPr>
        <w:spacing w:after="40" w:before="40"/>
      </w:pPr>
      <w:r>
        <w:rPr>
          <w:rFonts w:ascii="Arial" w:cs="Arial" w:eastAsia="Arial" w:hAnsi="Arial"/>
          <w:color w:val="4A5568"/>
          <w:sz w:val="20"/>
          <w:szCs w:val="20"/>
        </w:rPr>
        <w:t xml:space="preserve">Differential privacy budget: when delivering colonia-level aggregates with fewer than 30 users in a cell, suppress the cell or add calibrated noise to prevent re-identification.</w:t>
      </w:r>
    </w:p>
    <w:p>
      <w:pPr>
        <w:pStyle w:val="ListParagraph"/>
        <w:numPr>
          <w:ilvl w:val="0"/>
          <w:numId w:val="2"/>
        </w:numPr>
        <w:spacing w:after="40" w:before="40"/>
      </w:pPr>
      <w:r>
        <w:rPr>
          <w:rFonts w:ascii="Arial" w:cs="Arial" w:eastAsia="Arial" w:hAnsi="Arial"/>
          <w:color w:val="4A5568"/>
          <w:sz w:val="20"/>
          <w:szCs w:val="20"/>
        </w:rPr>
        <w:t xml:space="preserve">Data lineage audit log: every B2B query against the PTI data API must be logged with buyer identity, timestamp, query parameters, and record count. This is both a compliance requirement under LFPDPPP and a commercial asset (demonstrates data governance to enterprise buyers).</w:t>
      </w:r>
    </w:p>
    <w:p>
      <w:pPr>
        <w:spacing w:after="40" w:before="40"/>
      </w:pPr>
      <w:r>
        <w:t xml:space="preserve"/>
      </w:r>
    </w:p>
    <w:p>
      <w:pPr>
        <w:pStyle w:val="Heading2"/>
        <w:spacing w:after="120" w:before="280"/>
      </w:pPr>
      <w:r>
        <w:rPr>
          <w:rFonts w:ascii="Arial" w:cs="Arial" w:eastAsia="Arial" w:hAnsi="Arial"/>
          <w:b/>
          <w:bCs/>
          <w:color w:val="007B8A"/>
          <w:sz w:val="24"/>
          <w:szCs w:val="24"/>
        </w:rPr>
        <w:t xml:space="preserve">4.4  Go-to-Market Sequence</w:t>
      </w:r>
    </w:p>
    <w:p>
      <w:pPr>
        <w:spacing w:after="80" w:before="80"/>
      </w:pPr>
      <w:r>
        <w:rPr>
          <w:rFonts w:ascii="Arial" w:cs="Arial" w:eastAsia="Arial" w:hAnsi="Arial"/>
          <w:color w:val="4A5568"/>
          <w:sz w:val="20"/>
          <w:szCs w:val="20"/>
        </w:rPr>
        <w:t xml:space="preserve">The fastest path to a signed B2B pilot is not cold outreach to large banks — it is warm introduction to mid-tier Mexican fintech lenders (BNPL, salary advance, digital microcredit) who (a) already have mobile-first distribution, (b) are actively seeking thin-file underwriting data, and (c) can move to a pilot agreement in weeks, not quarters. The broker outreach network (67 contacts, HubSpot/Brevo pipeline) is a secondary channel for insurance and financial services referrals.</w:t>
      </w:r>
    </w:p>
    <w:p>
      <w:pPr>
        <w:pStyle w:val="ListParagraph"/>
        <w:numPr>
          <w:ilvl w:val="0"/>
          <w:numId w:val="2"/>
        </w:numPr>
        <w:spacing w:after="40" w:before="40"/>
      </w:pPr>
      <w:r>
        <w:rPr>
          <w:rFonts w:ascii="Arial" w:cs="Arial" w:eastAsia="Arial" w:hAnsi="Arial"/>
          <w:color w:val="4A5568"/>
          <w:sz w:val="20"/>
          <w:szCs w:val="20"/>
        </w:rPr>
        <w:t xml:space="preserve">Target buyer archetype: Mexican BNPL or wage-advance platform, 10,000-200,000 users, already operating in JALISCO or CDMX, seeking thin-file risk data to expand credit access.</w:t>
      </w:r>
    </w:p>
    <w:p>
      <w:pPr>
        <w:pStyle w:val="ListParagraph"/>
        <w:numPr>
          <w:ilvl w:val="0"/>
          <w:numId w:val="2"/>
        </w:numPr>
        <w:spacing w:after="40" w:before="40"/>
      </w:pPr>
      <w:r>
        <w:rPr>
          <w:rFonts w:ascii="Arial" w:cs="Arial" w:eastAsia="Arial" w:hAnsi="Arial"/>
          <w:color w:val="4A5568"/>
          <w:sz w:val="20"/>
          <w:szCs w:val="20"/>
        </w:rPr>
        <w:t xml:space="preserve">Pilot structure: 90-day NDA-gated data pilot, 500 user cohort, buyer pays $0.50-$1.50 USD per PTI score record, provides PagoYa with default outcome data to validate model.</w:t>
      </w:r>
    </w:p>
    <w:p>
      <w:pPr>
        <w:pStyle w:val="ListParagraph"/>
        <w:numPr>
          <w:ilvl w:val="0"/>
          <w:numId w:val="2"/>
        </w:numPr>
        <w:spacing w:after="40" w:before="40"/>
      </w:pPr>
      <w:r>
        <w:rPr>
          <w:rFonts w:ascii="Arial" w:cs="Arial" w:eastAsia="Arial" w:hAnsi="Arial"/>
          <w:color w:val="4A5568"/>
          <w:sz w:val="20"/>
          <w:szCs w:val="20"/>
        </w:rPr>
        <w:t xml:space="preserve">Validation flywheel: buyer outcome data (did the user repay?) feeds back into PTI model training, improving score precision over time. This is the moat. The score gets better as more B2B partners use it.</w:t>
      </w:r>
    </w:p>
    <w:p>
      <w:pPr>
        <w:spacing w:after="40" w:before="40"/>
      </w:pPr>
      <w:r>
        <w:t xml:space="preserve"/>
      </w:r>
    </w:p>
    <w:p>
      <w:pPr>
        <w:pStyle w:val="Heading1"/>
        <w:spacing w:after="160" w:before="360"/>
      </w:pPr>
      <w:r>
        <w:rPr>
          <w:rFonts w:ascii="Arial" w:cs="Arial" w:eastAsia="Arial" w:hAnsi="Arial"/>
          <w:b/>
          <w:bCs/>
          <w:color w:val="1A2744"/>
          <w:sz w:val="30"/>
          <w:szCs w:val="30"/>
        </w:rPr>
        <w:t xml:space="preserve">5. Compliance &amp; Legal Requirements</w:t>
      </w:r>
    </w:p>
    <w:p>
      <w:pPr>
        <w:spacing w:after="80" w:before="80"/>
      </w:pPr>
      <w:r>
        <w:rPr>
          <w:rFonts w:ascii="Arial" w:cs="Arial" w:eastAsia="Arial" w:hAnsi="Arial"/>
          <w:color w:val="4A5568"/>
          <w:sz w:val="20"/>
          <w:szCs w:val="20"/>
        </w:rPr>
        <w:t xml:space="preserve">PTI commercialization requires careful navigation of three Mexican regulatory frameworks: LFPDPPP (data privacy), the Open Finance regulatory framework (unpublished but anticipated from CNBV), and the Ley para Regular las Instituciones de Tecnologia Financiera (Fintech Law). The good news: at the data aggregation and behavioral scoring layer PagoYa is operating in today, the compliance requirements are manageable without a SIC (Sociedad de Informacion Crediticia) license.</w:t>
      </w:r>
    </w:p>
    <w:p>
      <w:pPr>
        <w:spacing w:after="40" w:before="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60"/>
      </w:tblGrid>
      <w:tr>
        <w:trPr>
          <w:tblHeader/>
        </w:trPr>
        <w:tc>
          <w:tcPr>
            <w:tcW w:type="dxa" w:w="3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3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Current Status</w:t>
            </w:r>
          </w:p>
        </w:tc>
        <w:tc>
          <w:tcPr>
            <w:tcW w:type="dxa" w:w="31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LFPDPPP user consent for behavioral data collection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Registration consent covers basic transaction processing; behavioral profiling not explicitly scoped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Add behavioral scoring consent checkbox at registration and in Paula WhatsApp onboarding flow</w:t>
            </w:r>
          </w:p>
        </w:tc>
      </w:tr>
      <w:tr>
        <w:tc>
          <w:tcPr>
            <w:tcW w:type="dxa" w:w="3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color w:val="4A5568"/>
                <w:sz w:val="18"/>
                <w:szCs w:val="18"/>
              </w:rPr>
              <w:t xml:space="preserve">Open Finance transactional data rules (CNBV)</w:t>
            </w:r>
          </w:p>
        </w:tc>
        <w:tc>
          <w:tcPr>
            <w:tcW w:type="dxa" w:w="3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color w:val="4A5568"/>
                <w:sz w:val="18"/>
                <w:szCs w:val="18"/>
              </w:rPr>
              <w:t xml:space="preserve">Regulatory framework unpublished — PagoYa positioned ahead of curve</w:t>
            </w:r>
          </w:p>
        </w:tc>
        <w:tc>
          <w:tcPr>
            <w:tcW w:type="dxa" w:w="31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color w:val="4A5568"/>
                <w:sz w:val="18"/>
                <w:szCs w:val="18"/>
              </w:rPr>
              <w:t xml:space="preserve">Monitor CNBV publications; maintain data architecture that can comply without refactor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B2B data services contract (for PTI commercialization)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Not yet drafted; no SIC license required at current stage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Engage Julio Leon to draft data services agreement template for B2B pilots</w:t>
            </w:r>
          </w:p>
        </w:tc>
      </w:tr>
      <w:tr>
        <w:tc>
          <w:tcPr>
            <w:tcW w:type="dxa" w:w="3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color w:val="4A5568"/>
                <w:sz w:val="18"/>
                <w:szCs w:val="18"/>
              </w:rPr>
              <w:t xml:space="preserve">CONDUSEF registration (SA de CV formation)</w:t>
            </w:r>
          </w:p>
        </w:tc>
        <w:tc>
          <w:tcPr>
            <w:tcW w:type="dxa" w:w="3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color w:val="4A5568"/>
                <w:sz w:val="18"/>
                <w:szCs w:val="18"/>
              </w:rPr>
              <w:t xml:space="preserve">In progress — assigned to Julio Leon</w:t>
            </w:r>
          </w:p>
        </w:tc>
        <w:tc>
          <w:tcPr>
            <w:tcW w:type="dxa" w:w="316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color w:val="4A5568"/>
                <w:sz w:val="18"/>
                <w:szCs w:val="18"/>
              </w:rPr>
              <w:t xml:space="preserve">Prerequisite for formal LAIP/IFPE positioning; complete before first B2B lender engagement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Data anonymization / PII scrubbing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No anonymization layer exists today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Build pti_export_safe view: hash user_id, suppress phone/CURP, aggregate to colonia level only</w:t>
            </w:r>
          </w:p>
        </w:tc>
      </w:tr>
    </w:tbl>
    <w:p>
      <w:pPr>
        <w:spacing w:after="40" w:before="40"/>
      </w:pPr>
      <w:r>
        <w:t xml:space="preserve"/>
      </w:r>
    </w:p>
    <w:p>
      <w:pPr>
        <w:pStyle w:val="Heading1"/>
        <w:spacing w:after="160" w:before="360"/>
      </w:pPr>
      <w:r>
        <w:rPr>
          <w:rFonts w:ascii="Arial" w:cs="Arial" w:eastAsia="Arial" w:hAnsi="Arial"/>
          <w:b/>
          <w:bCs/>
          <w:color w:val="1A2744"/>
          <w:sz w:val="30"/>
          <w:szCs w:val="30"/>
        </w:rPr>
        <w:t xml:space="preserve">6. Success Metrics</w:t>
      </w:r>
    </w:p>
    <w:p>
      <w:pPr>
        <w:pStyle w:val="Heading2"/>
        <w:spacing w:after="120" w:before="280"/>
      </w:pPr>
      <w:r>
        <w:rPr>
          <w:rFonts w:ascii="Arial" w:cs="Arial" w:eastAsia="Arial" w:hAnsi="Arial"/>
          <w:b/>
          <w:bCs/>
          <w:color w:val="007B8A"/>
          <w:sz w:val="24"/>
          <w:szCs w:val="24"/>
        </w:rPr>
        <w:t xml:space="preserve">PTI Quality Metrics</w:t>
      </w:r>
    </w:p>
    <w:p>
      <w:pPr>
        <w:pStyle w:val="ListParagraph"/>
        <w:numPr>
          <w:ilvl w:val="0"/>
          <w:numId w:val="2"/>
        </w:numPr>
        <w:spacing w:after="40" w:before="40"/>
      </w:pPr>
      <w:r>
        <w:rPr>
          <w:rFonts w:ascii="Arial" w:cs="Arial" w:eastAsia="Arial" w:hAnsi="Arial"/>
          <w:color w:val="4A5568"/>
          <w:sz w:val="20"/>
          <w:szCs w:val="20"/>
        </w:rPr>
        <w:t xml:space="preserve">Score coverage: % of active users with all 4 PTI dimensions populated (target: 70% by Day 30, 90% by Day 75)</w:t>
      </w:r>
    </w:p>
    <w:p>
      <w:pPr>
        <w:pStyle w:val="ListParagraph"/>
        <w:numPr>
          <w:ilvl w:val="0"/>
          <w:numId w:val="2"/>
        </w:numPr>
        <w:spacing w:after="40" w:before="40"/>
      </w:pPr>
      <w:r>
        <w:rPr>
          <w:rFonts w:ascii="Arial" w:cs="Arial" w:eastAsia="Arial" w:hAnsi="Arial"/>
          <w:color w:val="4A5568"/>
          <w:sz w:val="20"/>
          <w:szCs w:val="20"/>
        </w:rPr>
        <w:t xml:space="preserve">Score stability: 30-day score variance for consistent users (target: &lt;10 point swing for users with no payment defaults)</w:t>
      </w:r>
    </w:p>
    <w:p>
      <w:pPr>
        <w:pStyle w:val="ListParagraph"/>
        <w:numPr>
          <w:ilvl w:val="0"/>
          <w:numId w:val="2"/>
        </w:numPr>
        <w:spacing w:after="40" w:before="40"/>
      </w:pPr>
      <w:r>
        <w:rPr>
          <w:rFonts w:ascii="Arial" w:cs="Arial" w:eastAsia="Arial" w:hAnsi="Arial"/>
          <w:color w:val="4A5568"/>
          <w:sz w:val="20"/>
          <w:szCs w:val="20"/>
        </w:rPr>
        <w:t xml:space="preserve">Predictive validity: Gini coefficient separation between users who churn vs. retain at 90 days (target: ≥0.25)</w:t>
      </w:r>
    </w:p>
    <w:p>
      <w:pPr>
        <w:pStyle w:val="ListParagraph"/>
        <w:numPr>
          <w:ilvl w:val="0"/>
          <w:numId w:val="2"/>
        </w:numPr>
        <w:spacing w:after="40" w:before="40"/>
      </w:pPr>
      <w:r>
        <w:rPr>
          <w:rFonts w:ascii="Arial" w:cs="Arial" w:eastAsia="Arial" w:hAnsi="Arial"/>
          <w:color w:val="4A5568"/>
          <w:sz w:val="20"/>
          <w:szCs w:val="20"/>
        </w:rPr>
        <w:t xml:space="preserve">Dimension correlation: low correlation between PR, BC, ED, CF sub-scores confirms they are measuring distinct behaviors (target: pairwise correlation &lt;0.6)</w:t>
      </w:r>
    </w:p>
    <w:p>
      <w:pPr>
        <w:pStyle w:val="Heading2"/>
        <w:spacing w:after="120" w:before="280"/>
      </w:pPr>
      <w:r>
        <w:rPr>
          <w:rFonts w:ascii="Arial" w:cs="Arial" w:eastAsia="Arial" w:hAnsi="Arial"/>
          <w:b/>
          <w:bCs/>
          <w:color w:val="007B8A"/>
          <w:sz w:val="24"/>
          <w:szCs w:val="24"/>
        </w:rPr>
        <w:t xml:space="preserve">Commercial Metrics</w:t>
      </w:r>
    </w:p>
    <w:p>
      <w:pPr>
        <w:pStyle w:val="ListParagraph"/>
        <w:numPr>
          <w:ilvl w:val="0"/>
          <w:numId w:val="2"/>
        </w:numPr>
        <w:spacing w:after="40" w:before="40"/>
      </w:pPr>
      <w:r>
        <w:rPr>
          <w:rFonts w:ascii="Arial" w:cs="Arial" w:eastAsia="Arial" w:hAnsi="Arial"/>
          <w:color w:val="4A5568"/>
          <w:sz w:val="20"/>
          <w:szCs w:val="20"/>
        </w:rPr>
        <w:t xml:space="preserve">B2B pilot signed: 1 NDA-gated pilot agreement by Day 120</w:t>
      </w:r>
    </w:p>
    <w:p>
      <w:pPr>
        <w:pStyle w:val="ListParagraph"/>
        <w:numPr>
          <w:ilvl w:val="0"/>
          <w:numId w:val="2"/>
        </w:numPr>
        <w:spacing w:after="40" w:before="40"/>
      </w:pPr>
      <w:r>
        <w:rPr>
          <w:rFonts w:ascii="Arial" w:cs="Arial" w:eastAsia="Arial" w:hAnsi="Arial"/>
          <w:color w:val="4A5568"/>
          <w:sz w:val="20"/>
          <w:szCs w:val="20"/>
        </w:rPr>
        <w:t xml:space="preserve">Score volume: 500+ users with full PTI profiles available for pilot delivery</w:t>
      </w:r>
    </w:p>
    <w:p>
      <w:pPr>
        <w:pStyle w:val="ListParagraph"/>
        <w:numPr>
          <w:ilvl w:val="0"/>
          <w:numId w:val="2"/>
        </w:numPr>
        <w:spacing w:after="40" w:before="40"/>
      </w:pPr>
      <w:r>
        <w:rPr>
          <w:rFonts w:ascii="Arial" w:cs="Arial" w:eastAsia="Arial" w:hAnsi="Arial"/>
          <w:color w:val="4A5568"/>
          <w:sz w:val="20"/>
          <w:szCs w:val="20"/>
        </w:rPr>
        <w:t xml:space="preserve">Data revenue: first invoiced data licensing fee by end of FI Austin cohort (March 2027)</w:t>
      </w:r>
    </w:p>
    <w:p>
      <w:pPr>
        <w:pStyle w:val="ListParagraph"/>
        <w:numPr>
          <w:ilvl w:val="0"/>
          <w:numId w:val="2"/>
        </w:numPr>
        <w:spacing w:after="40" w:before="40"/>
      </w:pPr>
      <w:r>
        <w:rPr>
          <w:rFonts w:ascii="Arial" w:cs="Arial" w:eastAsia="Arial" w:hAnsi="Arial"/>
          <w:color w:val="4A5568"/>
          <w:sz w:val="20"/>
          <w:szCs w:val="20"/>
        </w:rPr>
        <w:t xml:space="preserve">Validation loop: first buyer outcome data received and ingested into PTI model by Q2 2027</w:t>
      </w:r>
    </w:p>
    <w:p>
      <w:pPr>
        <w:pStyle w:val="Heading2"/>
        <w:spacing w:after="120" w:before="280"/>
      </w:pPr>
      <w:r>
        <w:rPr>
          <w:rFonts w:ascii="Arial" w:cs="Arial" w:eastAsia="Arial" w:hAnsi="Arial"/>
          <w:b/>
          <w:bCs/>
          <w:color w:val="007B8A"/>
          <w:sz w:val="24"/>
          <w:szCs w:val="24"/>
        </w:rPr>
        <w:t xml:space="preserve">Platform Metrics That Feed PTI</w:t>
      </w:r>
    </w:p>
    <w:p>
      <w:pPr>
        <w:pStyle w:val="ListParagraph"/>
        <w:numPr>
          <w:ilvl w:val="0"/>
          <w:numId w:val="2"/>
        </w:numPr>
        <w:spacing w:after="40" w:before="40"/>
      </w:pPr>
      <w:r>
        <w:rPr>
          <w:rFonts w:ascii="Arial" w:cs="Arial" w:eastAsia="Arial" w:hAnsi="Arial"/>
          <w:color w:val="4A5568"/>
          <w:sz w:val="20"/>
          <w:szCs w:val="20"/>
        </w:rPr>
        <w:t xml:space="preserve">STP/SPEI go-live: unlocks CF dimension's highest-quality signal</w:t>
      </w:r>
    </w:p>
    <w:p>
      <w:pPr>
        <w:pStyle w:val="ListParagraph"/>
        <w:numPr>
          <w:ilvl w:val="0"/>
          <w:numId w:val="2"/>
        </w:numPr>
        <w:spacing w:after="40" w:before="40"/>
      </w:pPr>
      <w:r>
        <w:rPr>
          <w:rFonts w:ascii="Arial" w:cs="Arial" w:eastAsia="Arial" w:hAnsi="Arial"/>
          <w:color w:val="4A5568"/>
          <w:sz w:val="20"/>
          <w:szCs w:val="20"/>
        </w:rPr>
        <w:t xml:space="preserve">RENAPO activation: closes Identity Integrity gap, enables Identity Attestation product tier</w:t>
      </w:r>
    </w:p>
    <w:p>
      <w:pPr>
        <w:pStyle w:val="ListParagraph"/>
        <w:numPr>
          <w:ilvl w:val="0"/>
          <w:numId w:val="2"/>
        </w:numPr>
        <w:spacing w:after="40" w:before="40"/>
      </w:pPr>
      <w:r>
        <w:rPr>
          <w:rFonts w:ascii="Arial" w:cs="Arial" w:eastAsia="Arial" w:hAnsi="Arial"/>
          <w:color w:val="4A5568"/>
          <w:sz w:val="20"/>
          <w:szCs w:val="20"/>
        </w:rPr>
        <w:t xml:space="preserve">Belvo activation: enables full bank-link CF scoring (post-scale milestone)</w:t>
      </w:r>
    </w:p>
    <w:p>
      <w:pPr>
        <w:spacing w:after="40" w:before="40"/>
      </w:pPr>
      <w:r>
        <w:t xml:space="preserve"/>
      </w:r>
    </w:p>
    <w:p>
      <w:pPr>
        <w:pBdr>
          <w:bottom w:val="single" w:color="007B8A" w:sz="4" w:space="1"/>
        </w:pBdr>
        <w:spacing w:after="160" w:before="80"/>
      </w:pPr>
      <w:r>
        <w:t xml:space="preserve"/>
      </w:r>
    </w:p>
    <w:p>
      <w:pPr>
        <w:spacing w:after="0" w:before="120"/>
        <w:jc w:val="center"/>
      </w:pPr>
      <w:r>
        <w:rPr>
          <w:rFonts w:ascii="Arial" w:cs="Arial" w:eastAsia="Arial" w:hAnsi="Arial"/>
          <w:i/>
          <w:iCs/>
          <w:color w:val="4A5568"/>
          <w:sz w:val="16"/>
          <w:szCs w:val="16"/>
        </w:rPr>
        <w:t xml:space="preserve">PagoYa Technologies  |  pagoyamx.com  |  Confidential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74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07B8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2026-06-18T15:27:56.355Z</dcterms:created>
  <dcterms:modified xsi:type="dcterms:W3CDTF">2026-06-18T15:27:56.355Z</dcterms:modified>
</cp:coreProperties>
</file>

<file path=docProps/custom.xml><?xml version="1.0" encoding="utf-8"?>
<Properties xmlns="http://schemas.openxmlformats.org/officeDocument/2006/custom-properties" xmlns:vt="http://schemas.openxmlformats.org/officeDocument/2006/docPropsVTypes"/>
</file>