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4374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1D29">
        <w:rPr>
          <w:rFonts w:hint="cs"/>
          <w:rtl/>
        </w:rPr>
        <w:t>גן לאומי בית שערים, לפי תכנית מס' טב/254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672396C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B5D124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C925B6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3651" w:rsidRPr="008E3651" w14:paraId="6ED62412" w14:textId="77777777" w:rsidTr="008E36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C82CD8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6D326F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0734AF9C" w14:textId="77777777" w:rsidR="008E3651" w:rsidRPr="008E3651" w:rsidRDefault="008E3651" w:rsidP="008E36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8E36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419AA3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1" w:rsidRPr="008E3651" w14:paraId="77D881A4" w14:textId="77777777" w:rsidTr="008E36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32C3F9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94DDA1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0074FD6" w14:textId="77777777" w:rsidR="008E3651" w:rsidRPr="008E3651" w:rsidRDefault="008E3651" w:rsidP="008E36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E36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8EC997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1" w:rsidRPr="008E3651" w14:paraId="25EFB05D" w14:textId="77777777" w:rsidTr="008E36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F25DF9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80BFACA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EA0EF59" w14:textId="77777777" w:rsidR="008E3651" w:rsidRPr="008E3651" w:rsidRDefault="008E3651" w:rsidP="008E36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E36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0B0C9D" w14:textId="77777777" w:rsidR="008E3651" w:rsidRPr="008E3651" w:rsidRDefault="008E3651" w:rsidP="008E36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74DA4A4" w14:textId="77777777" w:rsidR="009C432F" w:rsidRDefault="009C432F">
      <w:pPr>
        <w:pStyle w:val="big-header"/>
        <w:ind w:left="0" w:right="1134"/>
        <w:rPr>
          <w:rtl/>
        </w:rPr>
      </w:pPr>
    </w:p>
    <w:p w14:paraId="78B22501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E1D29">
        <w:rPr>
          <w:rFonts w:hint="cs"/>
          <w:rtl/>
        </w:rPr>
        <w:t>גן לאומי בית שערים, לפי תכנית מס' טב/254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65429A43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95079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724E2C4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37789CC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387C380D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8641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08641A">
        <w:rPr>
          <w:rStyle w:val="default"/>
          <w:rFonts w:cs="FrankRuehl" w:hint="cs"/>
          <w:rtl/>
        </w:rPr>
        <w:t>בבית שערים בסמוך לקריית טבעון</w:t>
      </w:r>
      <w:r w:rsidR="00DC3BF2">
        <w:rPr>
          <w:rStyle w:val="default"/>
          <w:rFonts w:cs="FrankRuehl" w:hint="cs"/>
          <w:rtl/>
        </w:rPr>
        <w:t>, צבוע בירוק</w:t>
      </w:r>
      <w:r w:rsidR="0008641A">
        <w:rPr>
          <w:rStyle w:val="default"/>
          <w:rFonts w:cs="FrankRuehl" w:hint="cs"/>
          <w:rtl/>
        </w:rPr>
        <w:t>,</w:t>
      </w:r>
      <w:r w:rsidR="00E064DD">
        <w:rPr>
          <w:rStyle w:val="default"/>
          <w:rFonts w:cs="FrankRuehl" w:hint="cs"/>
          <w:rtl/>
        </w:rPr>
        <w:t xml:space="preserve"> </w:t>
      </w:r>
      <w:r w:rsidR="00F51C48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08641A">
        <w:rPr>
          <w:rStyle w:val="default"/>
          <w:rFonts w:cs="FrankRuehl" w:hint="cs"/>
          <w:rtl/>
        </w:rPr>
        <w:t>לבנים</w:t>
      </w:r>
      <w:r w:rsidR="00F51C48">
        <w:rPr>
          <w:rStyle w:val="default"/>
          <w:rFonts w:cs="FrankRuehl" w:hint="cs"/>
          <w:rtl/>
        </w:rPr>
        <w:t xml:space="preserve"> ומוקף בקו </w:t>
      </w:r>
      <w:r w:rsidR="0008641A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950797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08641A">
        <w:rPr>
          <w:rStyle w:val="default"/>
          <w:rFonts w:cs="FrankRuehl" w:hint="cs"/>
          <w:rtl/>
        </w:rPr>
        <w:t>ג/חפ/טב/254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8641A">
        <w:rPr>
          <w:rStyle w:val="default"/>
          <w:rFonts w:cs="FrankRuehl" w:hint="cs"/>
          <w:rtl/>
        </w:rPr>
        <w:t>5,00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</w:t>
      </w:r>
      <w:r w:rsidR="00950797">
        <w:rPr>
          <w:rStyle w:val="default"/>
          <w:rFonts w:cs="FrankRuehl" w:hint="cs"/>
          <w:rtl/>
        </w:rPr>
        <w:t xml:space="preserve">ביד שר האוצר </w:t>
      </w:r>
      <w:r w:rsidR="00527B5D">
        <w:rPr>
          <w:rStyle w:val="default"/>
          <w:rFonts w:cs="FrankRuehl" w:hint="cs"/>
          <w:rtl/>
        </w:rPr>
        <w:t xml:space="preserve">ביום </w:t>
      </w:r>
      <w:r w:rsidR="00950797">
        <w:rPr>
          <w:rStyle w:val="default"/>
          <w:rFonts w:cs="FrankRuehl" w:hint="cs"/>
          <w:rtl/>
        </w:rPr>
        <w:t>י"ט בחשוון התשע"ט (28 באוקטובר 2018</w:t>
      </w:r>
      <w:r w:rsidR="00527B5D">
        <w:rPr>
          <w:rStyle w:val="default"/>
          <w:rFonts w:cs="FrankRuehl" w:hint="cs"/>
          <w:rtl/>
        </w:rPr>
        <w:t>),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 xml:space="preserve">הוא </w:t>
      </w:r>
      <w:r w:rsidR="0008641A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6D1C5EA7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BEE1E3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4B6A78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במשרדי הוועדה המחוזית לתכנון ולבנייה מחוז </w:t>
      </w:r>
      <w:r w:rsidR="0008641A">
        <w:rPr>
          <w:rStyle w:val="default"/>
          <w:rFonts w:cs="FrankRuehl" w:hint="cs"/>
          <w:rtl/>
        </w:rPr>
        <w:t>חיפה בחיפה</w:t>
      </w:r>
      <w:r w:rsidR="00070541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08641A">
        <w:rPr>
          <w:rStyle w:val="default"/>
          <w:rFonts w:cs="FrankRuehl" w:hint="cs"/>
          <w:rtl/>
        </w:rPr>
        <w:t>קריית טבעון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4682A9F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37FCA3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DE3E231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A6937A1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8641A">
        <w:rPr>
          <w:rStyle w:val="default"/>
          <w:rFonts w:cs="FrankRuehl" w:hint="cs"/>
          <w:rtl/>
        </w:rPr>
        <w:t>קריית טבעון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08641A">
        <w:rPr>
          <w:rStyle w:val="default"/>
          <w:rFonts w:cs="FrankRuehl" w:hint="cs"/>
          <w:rtl/>
        </w:rPr>
        <w:t>טב/254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08641A">
        <w:rPr>
          <w:rStyle w:val="default"/>
          <w:rFonts w:cs="FrankRuehl" w:hint="cs"/>
          <w:rtl/>
        </w:rPr>
        <w:t>6542</w:t>
      </w:r>
      <w:r>
        <w:rPr>
          <w:rStyle w:val="default"/>
          <w:rFonts w:cs="FrankRuehl" w:hint="cs"/>
          <w:rtl/>
        </w:rPr>
        <w:t xml:space="preserve">, מיום </w:t>
      </w:r>
      <w:r w:rsidR="0008641A">
        <w:rPr>
          <w:rStyle w:val="default"/>
          <w:rFonts w:cs="FrankRuehl" w:hint="cs"/>
          <w:rtl/>
        </w:rPr>
        <w:t>כ' בשבט</w:t>
      </w:r>
      <w:r w:rsidR="00950797">
        <w:rPr>
          <w:rStyle w:val="default"/>
          <w:rFonts w:cs="FrankRuehl" w:hint="cs"/>
          <w:rtl/>
        </w:rPr>
        <w:t xml:space="preserve"> התשע"</w:t>
      </w:r>
      <w:r w:rsidR="0008641A">
        <w:rPr>
          <w:rStyle w:val="default"/>
          <w:rFonts w:cs="FrankRuehl" w:hint="cs"/>
          <w:rtl/>
        </w:rPr>
        <w:t>ג</w:t>
      </w:r>
      <w:r w:rsidR="00950797">
        <w:rPr>
          <w:rStyle w:val="default"/>
          <w:rFonts w:cs="FrankRuehl" w:hint="cs"/>
          <w:rtl/>
        </w:rPr>
        <w:t xml:space="preserve"> (</w:t>
      </w:r>
      <w:r w:rsidR="0008641A">
        <w:rPr>
          <w:rStyle w:val="default"/>
          <w:rFonts w:cs="FrankRuehl" w:hint="cs"/>
          <w:rtl/>
        </w:rPr>
        <w:t>31 בינואר 2013</w:t>
      </w:r>
      <w:r w:rsidR="00DC3BF2">
        <w:rPr>
          <w:rStyle w:val="default"/>
          <w:rFonts w:cs="FrankRuehl" w:hint="cs"/>
          <w:rtl/>
        </w:rPr>
        <w:t xml:space="preserve">), עמ' </w:t>
      </w:r>
      <w:r w:rsidR="0008641A">
        <w:rPr>
          <w:rStyle w:val="default"/>
          <w:rFonts w:cs="FrankRuehl" w:hint="cs"/>
          <w:rtl/>
        </w:rPr>
        <w:t>2563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08641A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318826C8" w14:textId="77777777" w:rsidR="00994926" w:rsidRDefault="0099492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8641A">
        <w:rPr>
          <w:rStyle w:val="default"/>
          <w:rFonts w:cs="FrankRuehl" w:hint="cs"/>
          <w:rtl/>
        </w:rPr>
        <w:t>10600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F51C48">
        <w:rPr>
          <w:rStyle w:val="default"/>
          <w:rFonts w:cs="FrankRuehl" w:hint="cs"/>
          <w:rtl/>
        </w:rPr>
        <w:t xml:space="preserve">חלקות </w:t>
      </w:r>
      <w:r w:rsidR="0008641A">
        <w:rPr>
          <w:rStyle w:val="default"/>
          <w:rFonts w:cs="FrankRuehl" w:hint="cs"/>
          <w:rtl/>
        </w:rPr>
        <w:t>5, 65, 71;</w:t>
      </w:r>
    </w:p>
    <w:p w14:paraId="4F4493E8" w14:textId="77777777" w:rsidR="0008641A" w:rsidRDefault="0008641A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11394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218, 394, 465, 471;</w:t>
      </w:r>
    </w:p>
    <w:p w14:paraId="14EB0F8A" w14:textId="77777777" w:rsidR="0008641A" w:rsidRDefault="0008641A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2;</w:t>
      </w:r>
    </w:p>
    <w:p w14:paraId="18BFD5F6" w14:textId="77777777" w:rsidR="0008641A" w:rsidRDefault="0008641A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11402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4, 13;</w:t>
      </w:r>
    </w:p>
    <w:p w14:paraId="127FF405" w14:textId="77777777" w:rsidR="0008641A" w:rsidRDefault="0008641A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11410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208.</w:t>
      </w:r>
    </w:p>
    <w:p w14:paraId="51C11964" w14:textId="77777777" w:rsidR="0008641A" w:rsidRDefault="000864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F7E64B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4ACAB2" w14:textId="77777777" w:rsidR="009C432F" w:rsidRDefault="00950797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 בחשוון</w:t>
      </w:r>
      <w:r w:rsidR="004C783C">
        <w:rPr>
          <w:rStyle w:val="default"/>
          <w:rFonts w:cs="FrankRuehl" w:hint="cs"/>
          <w:rtl/>
        </w:rPr>
        <w:t xml:space="preserve"> התשע"</w:t>
      </w:r>
      <w:r w:rsidR="00F51C48">
        <w:rPr>
          <w:rStyle w:val="default"/>
          <w:rFonts w:cs="FrankRuehl" w:hint="cs"/>
          <w:rtl/>
        </w:rPr>
        <w:t>ט</w:t>
      </w:r>
      <w:r w:rsidR="004C783C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</w:t>
      </w:r>
      <w:r w:rsidR="00F51C48">
        <w:rPr>
          <w:rStyle w:val="default"/>
          <w:rFonts w:cs="FrankRuehl" w:hint="cs"/>
          <w:rtl/>
        </w:rPr>
        <w:t xml:space="preserve"> באוקטובר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5C4F0DD1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5FD1EE34" w14:textId="77777777" w:rsidR="00950797" w:rsidRPr="006E39E0" w:rsidRDefault="0095079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AC349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69FCF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D1B4CFB" w14:textId="77777777" w:rsidR="008E3651" w:rsidRDefault="008E365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64EF34" w14:textId="77777777" w:rsidR="008E3651" w:rsidRDefault="008E365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399CAC" w14:textId="77777777" w:rsidR="008E3651" w:rsidRDefault="008E3651" w:rsidP="008E36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F3C32D9" w14:textId="77777777" w:rsidR="00DF35A4" w:rsidRPr="008E3651" w:rsidRDefault="00DF35A4" w:rsidP="008E36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35A4" w:rsidRPr="008E365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635D" w14:textId="77777777" w:rsidR="005453FB" w:rsidRDefault="005453FB">
      <w:r>
        <w:separator/>
      </w:r>
    </w:p>
  </w:endnote>
  <w:endnote w:type="continuationSeparator" w:id="0">
    <w:p w14:paraId="6CC64F90" w14:textId="77777777" w:rsidR="005453FB" w:rsidRDefault="0054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DFE0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67142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D7E070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780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36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BB3C8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50D98F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0C48" w14:textId="77777777" w:rsidR="005453FB" w:rsidRDefault="005453F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D4B5A8" w14:textId="77777777" w:rsidR="005453FB" w:rsidRDefault="005453FB">
      <w:r>
        <w:continuationSeparator/>
      </w:r>
    </w:p>
  </w:footnote>
  <w:footnote w:id="1">
    <w:p w14:paraId="1B3C6D5C" w14:textId="77777777" w:rsidR="001779EB" w:rsidRPr="00E31D0A" w:rsidRDefault="00E31D0A" w:rsidP="001779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779E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779EB">
          <w:rPr>
            <w:rStyle w:val="Hyperlink"/>
            <w:rFonts w:hint="cs"/>
            <w:sz w:val="20"/>
            <w:rtl/>
          </w:rPr>
          <w:t>תשע</w:t>
        </w:r>
        <w:r w:rsidR="00FF53C1" w:rsidRPr="001779EB">
          <w:rPr>
            <w:rStyle w:val="Hyperlink"/>
            <w:rFonts w:hint="cs"/>
            <w:sz w:val="20"/>
            <w:rtl/>
          </w:rPr>
          <w:t>"</w:t>
        </w:r>
        <w:r w:rsidR="003B3185" w:rsidRPr="001779EB">
          <w:rPr>
            <w:rStyle w:val="Hyperlink"/>
            <w:rFonts w:hint="cs"/>
            <w:sz w:val="20"/>
            <w:rtl/>
          </w:rPr>
          <w:t>ט</w:t>
        </w:r>
        <w:r w:rsidRPr="001779EB">
          <w:rPr>
            <w:rStyle w:val="Hyperlink"/>
            <w:rFonts w:hint="cs"/>
            <w:sz w:val="20"/>
            <w:rtl/>
          </w:rPr>
          <w:t xml:space="preserve"> מס' </w:t>
        </w:r>
        <w:r w:rsidR="0008641A" w:rsidRPr="001779EB">
          <w:rPr>
            <w:rStyle w:val="Hyperlink"/>
            <w:rFonts w:hint="cs"/>
            <w:sz w:val="20"/>
            <w:rtl/>
          </w:rPr>
          <w:t>8114</w:t>
        </w:r>
      </w:hyperlink>
      <w:r>
        <w:rPr>
          <w:rFonts w:hint="cs"/>
          <w:sz w:val="20"/>
          <w:rtl/>
        </w:rPr>
        <w:t xml:space="preserve"> מיום </w:t>
      </w:r>
      <w:r w:rsidR="0008641A">
        <w:rPr>
          <w:rFonts w:hint="cs"/>
          <w:sz w:val="20"/>
          <w:rtl/>
        </w:rPr>
        <w:t>27.11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08641A">
        <w:rPr>
          <w:rFonts w:hint="cs"/>
          <w:sz w:val="20"/>
          <w:rtl/>
        </w:rPr>
        <w:t>1418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D48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6F1FBD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57400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3E33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A01BD">
      <w:rPr>
        <w:rFonts w:hAnsi="FrankRuehl" w:cs="FrankRuehl" w:hint="cs"/>
        <w:color w:val="000000"/>
        <w:sz w:val="28"/>
        <w:szCs w:val="28"/>
        <w:rtl/>
      </w:rPr>
      <w:t>גן לאומי בית שערים, לפי תכנית מס' טב/254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4680CDE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6799D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779EB"/>
    <w:rsid w:val="00181A4E"/>
    <w:rsid w:val="00182455"/>
    <w:rsid w:val="00182C63"/>
    <w:rsid w:val="001839EA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6F7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53FB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3651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0797"/>
    <w:rsid w:val="00952D1C"/>
    <w:rsid w:val="00953040"/>
    <w:rsid w:val="00956534"/>
    <w:rsid w:val="00956FD7"/>
    <w:rsid w:val="00957229"/>
    <w:rsid w:val="00963144"/>
    <w:rsid w:val="00964913"/>
    <w:rsid w:val="009654E2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74F924"/>
  <w15:chartTrackingRefBased/>
  <w15:docId w15:val="{7E48D1E0-3B26-4F6D-814E-3A8B5EE0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1892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בית שערים, לפי תכנית מס' טב/254), תשע"ט-2018</vt:lpwstr>
  </property>
  <property fmtid="{D5CDD505-2E9C-101B-9397-08002B2CF9AE}" pid="5" name="LAWNUMBER">
    <vt:lpwstr>0457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http://www.nevo.co.il/Law_word/law06/TAK-8114.pdf;‎רשומות - תקנות כלליות#פורסמה ק"ת תשע"ט ‏מס' 8114 #מיום 27.11.2018 עמ' 1418‏</vt:lpwstr>
  </property>
</Properties>
</file>