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2932" w14:textId="77777777" w:rsidR="00DF76EB" w:rsidRDefault="00DF76EB" w:rsidP="00E5706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5706A">
        <w:rPr>
          <w:rFonts w:hint="cs"/>
          <w:rtl/>
        </w:rPr>
        <w:t xml:space="preserve">גן לאומי הרי יהודה הרחבה 2 </w:t>
      </w:r>
      <w:r w:rsidR="00E5706A">
        <w:rPr>
          <w:rtl/>
        </w:rPr>
        <w:t>–</w:t>
      </w:r>
      <w:r w:rsidR="00E5706A">
        <w:rPr>
          <w:rFonts w:hint="cs"/>
          <w:rtl/>
        </w:rPr>
        <w:t xml:space="preserve"> נחל רפאים</w:t>
      </w:r>
      <w:r w:rsidR="00B06562">
        <w:rPr>
          <w:rFonts w:hint="cs"/>
          <w:rtl/>
        </w:rPr>
        <w:t>, לפי תכנית מי/870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700D561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AAD15D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D2C80D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F6872" w:rsidRPr="00AF6872" w14:paraId="49052A59" w14:textId="77777777" w:rsidTr="00AF68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57DC32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A76293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587D7745" w14:textId="77777777" w:rsidR="00AF6872" w:rsidRPr="00AF6872" w:rsidRDefault="00AF6872" w:rsidP="00AF68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AF68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55720C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F6872" w:rsidRPr="00AF6872" w14:paraId="58049E91" w14:textId="77777777" w:rsidTr="00AF68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367910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CF47C2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500BB5C" w14:textId="77777777" w:rsidR="00AF6872" w:rsidRPr="00AF6872" w:rsidRDefault="00AF6872" w:rsidP="00AF68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F68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20A91D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F6872" w:rsidRPr="00AF6872" w14:paraId="225FBE49" w14:textId="77777777" w:rsidTr="00AF68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440322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038FCC2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54543F1" w14:textId="77777777" w:rsidR="00AF6872" w:rsidRPr="00AF6872" w:rsidRDefault="00AF6872" w:rsidP="00AF68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F68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4C477F" w14:textId="77777777" w:rsidR="00AF6872" w:rsidRPr="00AF6872" w:rsidRDefault="00AF6872" w:rsidP="00AF6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E13C6C4" w14:textId="77777777" w:rsidR="009C432F" w:rsidRDefault="009C432F">
      <w:pPr>
        <w:pStyle w:val="big-header"/>
        <w:ind w:left="0" w:right="1134"/>
        <w:rPr>
          <w:rtl/>
        </w:rPr>
      </w:pPr>
    </w:p>
    <w:p w14:paraId="67BD3BA5" w14:textId="77777777" w:rsidR="009C432F" w:rsidRPr="002E4507" w:rsidRDefault="009C432F" w:rsidP="00E5706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5706A">
        <w:rPr>
          <w:rFonts w:hint="cs"/>
          <w:rtl/>
        </w:rPr>
        <w:t xml:space="preserve">גן לאומי הרי יהודה הרחבה 2 </w:t>
      </w:r>
      <w:r w:rsidR="00E5706A">
        <w:rPr>
          <w:rtl/>
        </w:rPr>
        <w:t>–</w:t>
      </w:r>
      <w:r w:rsidR="00E5706A">
        <w:rPr>
          <w:rFonts w:hint="cs"/>
          <w:rtl/>
        </w:rPr>
        <w:t xml:space="preserve"> נחל רפאים, לפי תכנית מי/870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61A61F1A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D041372" w14:textId="77777777" w:rsidR="00227146" w:rsidRDefault="009C432F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FAC47E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53D1A2E" w14:textId="77777777" w:rsidR="009C432F" w:rsidRDefault="00DB2D99" w:rsidP="00E570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5706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B06562">
        <w:rPr>
          <w:rStyle w:val="default"/>
          <w:rFonts w:cs="FrankRuehl" w:hint="cs"/>
          <w:rtl/>
        </w:rPr>
        <w:t xml:space="preserve">בהרי יהודה, </w:t>
      </w:r>
      <w:r w:rsidR="00E5706A">
        <w:rPr>
          <w:rStyle w:val="default"/>
          <w:rFonts w:cs="FrankRuehl" w:hint="cs"/>
          <w:rtl/>
        </w:rPr>
        <w:t>באגן נחל רפאים</w:t>
      </w:r>
      <w:r w:rsidR="00514AE2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227146">
        <w:rPr>
          <w:rStyle w:val="default"/>
          <w:rFonts w:cs="FrankRuehl" w:hint="cs"/>
          <w:rtl/>
        </w:rPr>
        <w:t>ומוק</w:t>
      </w:r>
      <w:r w:rsidR="0036219F">
        <w:rPr>
          <w:rStyle w:val="default"/>
          <w:rFonts w:cs="FrankRuehl" w:hint="cs"/>
          <w:rtl/>
        </w:rPr>
        <w:t>ף</w:t>
      </w:r>
      <w:r w:rsidR="00A70F47">
        <w:rPr>
          <w:rStyle w:val="default"/>
          <w:rFonts w:cs="FrankRuehl" w:hint="cs"/>
          <w:rtl/>
        </w:rPr>
        <w:t xml:space="preserve"> בקו</w:t>
      </w:r>
      <w:r w:rsidR="0036219F">
        <w:rPr>
          <w:rStyle w:val="default"/>
          <w:rFonts w:cs="FrankRuehl" w:hint="cs"/>
          <w:rtl/>
        </w:rPr>
        <w:t xml:space="preserve"> </w:t>
      </w:r>
      <w:r w:rsidR="00B06562">
        <w:rPr>
          <w:rStyle w:val="default"/>
          <w:rFonts w:cs="FrankRuehl" w:hint="cs"/>
          <w:rtl/>
        </w:rPr>
        <w:t>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E5706A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294843">
        <w:rPr>
          <w:rStyle w:val="default"/>
          <w:rFonts w:cs="FrankRuehl" w:hint="cs"/>
          <w:rtl/>
        </w:rPr>
        <w:t>ג/</w:t>
      </w:r>
      <w:r w:rsidR="00B06562">
        <w:rPr>
          <w:rStyle w:val="default"/>
          <w:rFonts w:cs="FrankRuehl" w:hint="cs"/>
          <w:rtl/>
        </w:rPr>
        <w:t>ש/יר/מי/870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B06562">
        <w:rPr>
          <w:rStyle w:val="default"/>
          <w:rFonts w:cs="FrankRuehl" w:hint="cs"/>
          <w:rtl/>
        </w:rPr>
        <w:t>10</w:t>
      </w:r>
      <w:r w:rsidR="00514AE2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294843">
        <w:rPr>
          <w:rStyle w:val="default"/>
          <w:rFonts w:cs="FrankRuehl" w:hint="cs"/>
          <w:rtl/>
        </w:rPr>
        <w:t>כ"ד באדר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294843">
        <w:rPr>
          <w:rStyle w:val="default"/>
          <w:rFonts w:cs="FrankRuehl" w:hint="cs"/>
          <w:rtl/>
        </w:rPr>
        <w:t>22 במרס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E5706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606ABE93" w14:textId="77777777" w:rsidR="009C432F" w:rsidRDefault="009C432F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F4F667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B88871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B06562">
        <w:rPr>
          <w:rStyle w:val="default"/>
          <w:rFonts w:cs="FrankRuehl" w:hint="cs"/>
          <w:rtl/>
        </w:rPr>
        <w:t>ירושלים בירושלים</w:t>
      </w:r>
      <w:r w:rsidR="00333CF3">
        <w:rPr>
          <w:rStyle w:val="default"/>
          <w:rFonts w:cs="FrankRuehl" w:hint="cs"/>
          <w:rtl/>
        </w:rPr>
        <w:t xml:space="preserve"> </w:t>
      </w:r>
      <w:r w:rsidR="00B0656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B06562">
        <w:rPr>
          <w:rStyle w:val="default"/>
          <w:rFonts w:cs="FrankRuehl" w:hint="cs"/>
          <w:rtl/>
        </w:rPr>
        <w:t>מטה יהודה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A1DF626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790D75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10632D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5DA6809" w14:textId="77777777" w:rsidR="00527B5D" w:rsidRDefault="00527B5D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B06562">
        <w:rPr>
          <w:rStyle w:val="default"/>
          <w:rFonts w:cs="FrankRuehl" w:hint="cs"/>
          <w:rtl/>
        </w:rPr>
        <w:t>מטה יהודה,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B0656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B06562">
        <w:rPr>
          <w:rStyle w:val="default"/>
          <w:rFonts w:cs="FrankRuehl" w:hint="cs"/>
          <w:rtl/>
        </w:rPr>
        <w:t>מי/870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6219F">
        <w:rPr>
          <w:rStyle w:val="default"/>
          <w:rFonts w:cs="FrankRuehl" w:hint="cs"/>
          <w:rtl/>
        </w:rPr>
        <w:t xml:space="preserve">מס' </w:t>
      </w:r>
      <w:r w:rsidR="00B06562">
        <w:rPr>
          <w:rStyle w:val="default"/>
          <w:rFonts w:cs="FrankRuehl" w:hint="cs"/>
          <w:rtl/>
        </w:rPr>
        <w:t>5139</w:t>
      </w:r>
      <w:r>
        <w:rPr>
          <w:rStyle w:val="default"/>
          <w:rFonts w:cs="FrankRuehl" w:hint="cs"/>
          <w:rtl/>
        </w:rPr>
        <w:t xml:space="preserve">, מיום </w:t>
      </w:r>
      <w:r w:rsidR="00B06562">
        <w:rPr>
          <w:rStyle w:val="default"/>
          <w:rFonts w:cs="FrankRuehl" w:hint="cs"/>
          <w:rtl/>
        </w:rPr>
        <w:t>י"ד בטבת התשס"ג (19 בדצמבר 2002</w:t>
      </w:r>
      <w:r w:rsidR="00A70F47">
        <w:rPr>
          <w:rStyle w:val="default"/>
          <w:rFonts w:cs="FrankRuehl" w:hint="cs"/>
          <w:rtl/>
        </w:rPr>
        <w:t xml:space="preserve">), עמ' </w:t>
      </w:r>
      <w:r w:rsidR="00B06562">
        <w:rPr>
          <w:rStyle w:val="default"/>
          <w:rFonts w:cs="FrankRuehl" w:hint="cs"/>
          <w:rtl/>
        </w:rPr>
        <w:t>810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46D5DEA3" w14:textId="77777777" w:rsidR="00514AE2" w:rsidRDefault="00EF2AD9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5706A">
        <w:rPr>
          <w:rStyle w:val="default"/>
          <w:rFonts w:cs="FrankRuehl" w:hint="cs"/>
          <w:rtl/>
        </w:rPr>
        <w:t xml:space="preserve">29856 </w:t>
      </w:r>
      <w:r w:rsidR="00E5706A">
        <w:rPr>
          <w:rStyle w:val="default"/>
          <w:rFonts w:cs="FrankRuehl"/>
          <w:rtl/>
        </w:rPr>
        <w:t>–</w:t>
      </w:r>
      <w:r w:rsidR="00E5706A">
        <w:rPr>
          <w:rStyle w:val="default"/>
          <w:rFonts w:cs="FrankRuehl" w:hint="cs"/>
          <w:rtl/>
        </w:rPr>
        <w:t xml:space="preserve"> חלקי חלקות 4-1</w:t>
      </w:r>
      <w:r w:rsidR="00B06562">
        <w:rPr>
          <w:rStyle w:val="default"/>
          <w:rFonts w:cs="FrankRuehl" w:hint="cs"/>
          <w:rtl/>
        </w:rPr>
        <w:t>;</w:t>
      </w:r>
    </w:p>
    <w:p w14:paraId="15CAE3FE" w14:textId="77777777" w:rsidR="00B06562" w:rsidRDefault="00B06562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5706A">
        <w:rPr>
          <w:rStyle w:val="default"/>
          <w:rFonts w:cs="FrankRuehl" w:hint="cs"/>
          <w:rtl/>
        </w:rPr>
        <w:t xml:space="preserve">29858 </w:t>
      </w:r>
      <w:r w:rsidR="00E5706A">
        <w:rPr>
          <w:rStyle w:val="default"/>
          <w:rFonts w:cs="FrankRuehl"/>
          <w:rtl/>
        </w:rPr>
        <w:t>–</w:t>
      </w:r>
      <w:r w:rsidR="00E5706A">
        <w:rPr>
          <w:rStyle w:val="default"/>
          <w:rFonts w:cs="FrankRuehl" w:hint="cs"/>
          <w:rtl/>
        </w:rPr>
        <w:t xml:space="preserve"> חלקי חלקה 2</w:t>
      </w:r>
      <w:r>
        <w:rPr>
          <w:rStyle w:val="default"/>
          <w:rFonts w:cs="FrankRuehl" w:hint="cs"/>
          <w:rtl/>
        </w:rPr>
        <w:t>;</w:t>
      </w:r>
    </w:p>
    <w:p w14:paraId="23993369" w14:textId="77777777" w:rsidR="00B06562" w:rsidRDefault="00B06562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5706A">
        <w:rPr>
          <w:rStyle w:val="default"/>
          <w:rFonts w:cs="FrankRuehl" w:hint="cs"/>
          <w:rtl/>
        </w:rPr>
        <w:t xml:space="preserve">29925 </w:t>
      </w:r>
      <w:r w:rsidR="00E5706A">
        <w:rPr>
          <w:rStyle w:val="default"/>
          <w:rFonts w:cs="FrankRuehl"/>
          <w:rtl/>
        </w:rPr>
        <w:t>–</w:t>
      </w:r>
      <w:r w:rsidR="00E5706A">
        <w:rPr>
          <w:rStyle w:val="default"/>
          <w:rFonts w:cs="FrankRuehl" w:hint="cs"/>
          <w:rtl/>
        </w:rPr>
        <w:t xml:space="preserve"> חלקי חלקות 11-8, 21-19, 25;</w:t>
      </w:r>
    </w:p>
    <w:p w14:paraId="4755F618" w14:textId="77777777" w:rsidR="00E5706A" w:rsidRDefault="00E5706A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29966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6;</w:t>
      </w:r>
    </w:p>
    <w:p w14:paraId="47CEE457" w14:textId="77777777" w:rsidR="00E5706A" w:rsidRDefault="00E5706A" w:rsidP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50241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מוסדר.</w:t>
      </w:r>
    </w:p>
    <w:p w14:paraId="671AAD7A" w14:textId="77777777" w:rsidR="00E5706A" w:rsidRDefault="00E57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7E134A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B6BBEC" w14:textId="77777777" w:rsidR="009C432F" w:rsidRDefault="004E1256" w:rsidP="004E125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באדר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22 במרס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D5435DD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72A30CB0" w14:textId="77777777" w:rsidR="00294843" w:rsidRPr="006E39E0" w:rsidRDefault="0029484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2ABEF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EDBDE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99B70EF" w14:textId="77777777" w:rsidR="00AF6872" w:rsidRDefault="00AF687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4839C5" w14:textId="77777777" w:rsidR="00AF6872" w:rsidRDefault="00AF687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DD1635" w14:textId="77777777" w:rsidR="00AF6872" w:rsidRDefault="00AF6872" w:rsidP="00AF687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8A9A85A" w14:textId="77777777" w:rsidR="00642E79" w:rsidRPr="00AF6872" w:rsidRDefault="00642E79" w:rsidP="00AF687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2E79" w:rsidRPr="00AF687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E4FB" w14:textId="77777777" w:rsidR="00952D1C" w:rsidRDefault="00952D1C">
      <w:r>
        <w:separator/>
      </w:r>
    </w:p>
  </w:endnote>
  <w:endnote w:type="continuationSeparator" w:id="0">
    <w:p w14:paraId="203FB9A4" w14:textId="77777777" w:rsidR="00952D1C" w:rsidRDefault="0095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D75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204F5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991A1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9ED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687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9F7E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3BC7F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0076" w14:textId="77777777" w:rsidR="00952D1C" w:rsidRDefault="00952D1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F88A1D" w14:textId="77777777" w:rsidR="00952D1C" w:rsidRDefault="00952D1C">
      <w:r>
        <w:continuationSeparator/>
      </w:r>
    </w:p>
  </w:footnote>
  <w:footnote w:id="1">
    <w:p w14:paraId="12B1BFFB" w14:textId="77777777" w:rsidR="001F418A" w:rsidRPr="00E31D0A" w:rsidRDefault="00E31D0A" w:rsidP="001F41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F418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F418A">
          <w:rPr>
            <w:rStyle w:val="Hyperlink"/>
            <w:rFonts w:hint="cs"/>
            <w:sz w:val="20"/>
            <w:rtl/>
          </w:rPr>
          <w:t>תשע</w:t>
        </w:r>
        <w:r w:rsidR="00FF53C1" w:rsidRPr="001F418A">
          <w:rPr>
            <w:rStyle w:val="Hyperlink"/>
            <w:rFonts w:hint="cs"/>
            <w:sz w:val="20"/>
            <w:rtl/>
          </w:rPr>
          <w:t>"</w:t>
        </w:r>
        <w:r w:rsidR="00333CF3" w:rsidRPr="001F418A">
          <w:rPr>
            <w:rStyle w:val="Hyperlink"/>
            <w:rFonts w:hint="cs"/>
            <w:sz w:val="20"/>
            <w:rtl/>
          </w:rPr>
          <w:t>ז</w:t>
        </w:r>
        <w:r w:rsidRPr="001F418A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1F418A">
          <w:rPr>
            <w:rStyle w:val="Hyperlink"/>
            <w:rFonts w:hint="cs"/>
            <w:sz w:val="20"/>
            <w:rtl/>
          </w:rPr>
          <w:t>7827</w:t>
        </w:r>
      </w:hyperlink>
      <w:r>
        <w:rPr>
          <w:rFonts w:hint="cs"/>
          <w:sz w:val="20"/>
          <w:rtl/>
        </w:rPr>
        <w:t xml:space="preserve"> מיום </w:t>
      </w:r>
      <w:r w:rsidR="0036219F">
        <w:rPr>
          <w:rFonts w:hint="cs"/>
          <w:sz w:val="20"/>
          <w:rtl/>
        </w:rPr>
        <w:t>18.6.2017</w:t>
      </w:r>
      <w:r>
        <w:rPr>
          <w:rFonts w:hint="cs"/>
          <w:sz w:val="20"/>
          <w:rtl/>
        </w:rPr>
        <w:t xml:space="preserve"> עמ' </w:t>
      </w:r>
      <w:r w:rsidR="0036219F">
        <w:rPr>
          <w:rFonts w:hint="cs"/>
          <w:sz w:val="20"/>
          <w:rtl/>
        </w:rPr>
        <w:t>123</w:t>
      </w:r>
      <w:r w:rsidR="00E5706A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FC0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AA7143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BFD3E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BD7E" w14:textId="77777777" w:rsidR="009C432F" w:rsidRDefault="00DF76EB" w:rsidP="00D76CE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76CEC">
      <w:rPr>
        <w:rFonts w:hAnsi="FrankRuehl" w:cs="FrankRuehl" w:hint="cs"/>
        <w:color w:val="000000"/>
        <w:sz w:val="28"/>
        <w:szCs w:val="28"/>
        <w:rtl/>
      </w:rPr>
      <w:t xml:space="preserve">גן לאומי הרי יהודה הרחבה 2 </w:t>
    </w:r>
    <w:r w:rsidR="00D76CEC">
      <w:rPr>
        <w:rFonts w:hAnsi="FrankRuehl" w:cs="FrankRuehl"/>
        <w:color w:val="000000"/>
        <w:sz w:val="28"/>
        <w:szCs w:val="28"/>
        <w:rtl/>
      </w:rPr>
      <w:t>–</w:t>
    </w:r>
    <w:r w:rsidR="00D76CEC">
      <w:rPr>
        <w:rFonts w:hAnsi="FrankRuehl" w:cs="FrankRuehl" w:hint="cs"/>
        <w:color w:val="000000"/>
        <w:sz w:val="28"/>
        <w:szCs w:val="28"/>
        <w:rtl/>
      </w:rPr>
      <w:t xml:space="preserve"> נחל רפאים, לפי תכנית מי/870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44964BB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E457A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1749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EDAFA1"/>
  <w15:chartTrackingRefBased/>
  <w15:docId w15:val="{FEBD5488-2733-48A9-B630-3B130D7F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1850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הרי יהודה הרחבה 2 - נחל רפאים, לפי תכנית מי/870), תשע"ז-2017</vt:lpwstr>
  </property>
  <property fmtid="{D5CDD505-2E9C-101B-9397-08002B2CF9AE}" pid="5" name="LAWNUMBER">
    <vt:lpwstr>0439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http://www.nevo.co.il/Law_word/law06/tak-7827.pdf;‎רשומות - תקנות כלליות#פורסמה ק"ת תשע"ז ‏מס' 7827 #מיום 18.6.2017 עמ' 1236‏</vt:lpwstr>
  </property>
</Properties>
</file>