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9070A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3B3185">
        <w:rPr>
          <w:rFonts w:hint="cs"/>
          <w:rtl/>
        </w:rPr>
        <w:t>גן לאומי נחל שורק</w:t>
      </w:r>
      <w:r w:rsidR="006F3C6A">
        <w:rPr>
          <w:rFonts w:hint="cs"/>
          <w:rtl/>
        </w:rPr>
        <w:t xml:space="preserve">, לפי תכנית </w:t>
      </w:r>
      <w:r w:rsidR="003B3185">
        <w:rPr>
          <w:rFonts w:hint="cs"/>
          <w:rtl/>
        </w:rPr>
        <w:t>מס' בר/249</w:t>
      </w:r>
      <w:r w:rsidR="00A23593">
        <w:rPr>
          <w:rFonts w:hint="cs"/>
          <w:rtl/>
        </w:rPr>
        <w:t>), תשע"</w:t>
      </w:r>
      <w:r w:rsidR="003B3185">
        <w:rPr>
          <w:rFonts w:hint="cs"/>
          <w:rtl/>
        </w:rPr>
        <w:t>ט</w:t>
      </w:r>
      <w:r w:rsidR="009F4ED7">
        <w:rPr>
          <w:rFonts w:hint="cs"/>
          <w:rtl/>
        </w:rPr>
        <w:t>-201</w:t>
      </w:r>
      <w:r w:rsidR="003B3185">
        <w:rPr>
          <w:rFonts w:hint="cs"/>
          <w:rtl/>
        </w:rPr>
        <w:t>8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40D3E" w:rsidRPr="00E40D3E" w:rsidTr="00E40D3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0D3E" w:rsidRPr="00E40D3E" w:rsidRDefault="00E40D3E" w:rsidP="00E40D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40D3E" w:rsidRPr="00E40D3E" w:rsidRDefault="00E40D3E" w:rsidP="00E40D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:rsidR="00E40D3E" w:rsidRPr="00E40D3E" w:rsidRDefault="00E40D3E" w:rsidP="00E40D3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E40D3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0D3E" w:rsidRPr="00E40D3E" w:rsidRDefault="00E40D3E" w:rsidP="00E40D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0D3E" w:rsidRPr="00E40D3E" w:rsidTr="00E40D3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0D3E" w:rsidRPr="00E40D3E" w:rsidRDefault="00E40D3E" w:rsidP="00E40D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E40D3E" w:rsidRPr="00E40D3E" w:rsidRDefault="00E40D3E" w:rsidP="00E40D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E40D3E" w:rsidRPr="00E40D3E" w:rsidRDefault="00E40D3E" w:rsidP="00E40D3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E40D3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0D3E" w:rsidRPr="00E40D3E" w:rsidRDefault="00E40D3E" w:rsidP="00E40D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0D3E" w:rsidRPr="00E40D3E" w:rsidTr="00E40D3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0D3E" w:rsidRPr="00E40D3E" w:rsidRDefault="00E40D3E" w:rsidP="00E40D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E40D3E" w:rsidRPr="00E40D3E" w:rsidRDefault="00E40D3E" w:rsidP="00E40D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E40D3E" w:rsidRPr="00E40D3E" w:rsidRDefault="00E40D3E" w:rsidP="00E40D3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E40D3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0D3E" w:rsidRPr="00E40D3E" w:rsidRDefault="00E40D3E" w:rsidP="00E40D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3B3185">
        <w:rPr>
          <w:rFonts w:hint="cs"/>
          <w:rtl/>
        </w:rPr>
        <w:t>גן לאומי נחל שורק, לפי תכנית מס' בר/249), תשע"ט-2018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333C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</w:t>
      </w:r>
      <w:r w:rsidR="0037772B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27146">
        <w:rPr>
          <w:rStyle w:val="default"/>
          <w:rFonts w:cs="FrankRuehl" w:hint="cs"/>
          <w:rtl/>
        </w:rPr>
        <w:t>השר להגנת הסביבה ולאחר ש</w:t>
      </w:r>
      <w:r w:rsidR="00A9410B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כאמור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1.65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3B3185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</w:t>
      </w:r>
      <w:r w:rsidR="003B3185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המתואר</w:t>
      </w:r>
      <w:r w:rsidR="003B3185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בתוספת הנמצא</w:t>
      </w:r>
      <w:r w:rsidR="003B3185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</w:t>
      </w:r>
      <w:r w:rsidR="003B3185">
        <w:rPr>
          <w:rStyle w:val="default"/>
          <w:rFonts w:cs="FrankRuehl" w:hint="cs"/>
          <w:rtl/>
        </w:rPr>
        <w:t>מדרום מזרח ליישוב פלמחים, משני צדי כביש 4</w:t>
      </w:r>
      <w:r w:rsidR="00DC3BF2">
        <w:rPr>
          <w:rStyle w:val="default"/>
          <w:rFonts w:cs="FrankRuehl" w:hint="cs"/>
          <w:rtl/>
        </w:rPr>
        <w:t>, צבוע</w:t>
      </w:r>
      <w:r w:rsidR="003B3185">
        <w:rPr>
          <w:rStyle w:val="default"/>
          <w:rFonts w:cs="FrankRuehl" w:hint="cs"/>
          <w:rtl/>
        </w:rPr>
        <w:t>ים</w:t>
      </w:r>
      <w:r w:rsidR="00DC3BF2">
        <w:rPr>
          <w:rStyle w:val="default"/>
          <w:rFonts w:cs="FrankRuehl" w:hint="cs"/>
          <w:rtl/>
        </w:rPr>
        <w:t xml:space="preserve"> בירוק</w:t>
      </w:r>
      <w:r w:rsidR="003B3185">
        <w:rPr>
          <w:rStyle w:val="default"/>
          <w:rFonts w:cs="FrankRuehl" w:hint="cs"/>
          <w:rtl/>
        </w:rPr>
        <w:t>,</w:t>
      </w:r>
      <w:r w:rsidR="00DC3BF2">
        <w:rPr>
          <w:rStyle w:val="default"/>
          <w:rFonts w:cs="FrankRuehl" w:hint="cs"/>
          <w:rtl/>
        </w:rPr>
        <w:t xml:space="preserve"> מקווקו</w:t>
      </w:r>
      <w:r w:rsidR="003B3185">
        <w:rPr>
          <w:rStyle w:val="default"/>
          <w:rFonts w:cs="FrankRuehl" w:hint="cs"/>
          <w:rtl/>
        </w:rPr>
        <w:t>ים</w:t>
      </w:r>
      <w:r w:rsidR="00DC3BF2">
        <w:rPr>
          <w:rStyle w:val="default"/>
          <w:rFonts w:cs="FrankRuehl" w:hint="cs"/>
          <w:rtl/>
        </w:rPr>
        <w:t xml:space="preserve"> בקווים אלכסוניים </w:t>
      </w:r>
      <w:r w:rsidR="008F2663">
        <w:rPr>
          <w:rStyle w:val="default"/>
          <w:rFonts w:cs="FrankRuehl" w:hint="cs"/>
          <w:rtl/>
        </w:rPr>
        <w:t xml:space="preserve">ומצולבים </w:t>
      </w:r>
      <w:r w:rsidR="0037772B">
        <w:rPr>
          <w:rStyle w:val="default"/>
          <w:rFonts w:cs="FrankRuehl" w:hint="cs"/>
          <w:rtl/>
        </w:rPr>
        <w:t>ירוקים</w:t>
      </w:r>
      <w:r w:rsidR="00B7182C">
        <w:rPr>
          <w:rStyle w:val="default"/>
          <w:rFonts w:cs="FrankRuehl" w:hint="cs"/>
          <w:rtl/>
        </w:rPr>
        <w:t xml:space="preserve"> ומוק</w:t>
      </w:r>
      <w:r w:rsidR="003B3185">
        <w:rPr>
          <w:rStyle w:val="default"/>
          <w:rFonts w:cs="FrankRuehl" w:hint="cs"/>
          <w:rtl/>
        </w:rPr>
        <w:t>פים</w:t>
      </w:r>
      <w:r w:rsidR="00B7182C">
        <w:rPr>
          <w:rStyle w:val="default"/>
          <w:rFonts w:cs="FrankRuehl" w:hint="cs"/>
          <w:rtl/>
        </w:rPr>
        <w:t xml:space="preserve"> בקו </w:t>
      </w:r>
      <w:r w:rsidR="003B3185">
        <w:rPr>
          <w:rStyle w:val="default"/>
          <w:rFonts w:cs="FrankRuehl" w:hint="cs"/>
          <w:rtl/>
        </w:rPr>
        <w:t>חום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D31CF6">
        <w:rPr>
          <w:rStyle w:val="default"/>
          <w:rFonts w:cs="FrankRuehl" w:hint="cs"/>
          <w:rtl/>
        </w:rPr>
        <w:t>מס</w:t>
      </w:r>
      <w:r w:rsidR="003B3185">
        <w:rPr>
          <w:rStyle w:val="default"/>
          <w:rFonts w:cs="FrankRuehl" w:hint="cs"/>
          <w:rtl/>
        </w:rPr>
        <w:t>'</w:t>
      </w:r>
      <w:r w:rsidR="00527B5D">
        <w:rPr>
          <w:rStyle w:val="default"/>
          <w:rFonts w:cs="FrankRuehl" w:hint="cs"/>
          <w:rtl/>
        </w:rPr>
        <w:t xml:space="preserve"> </w:t>
      </w:r>
      <w:r w:rsidR="003B3185">
        <w:rPr>
          <w:rStyle w:val="default"/>
          <w:rFonts w:cs="FrankRuehl" w:hint="cs"/>
          <w:rtl/>
        </w:rPr>
        <w:t>ג/מר/בר/249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336A8F">
        <w:rPr>
          <w:rStyle w:val="default"/>
          <w:rFonts w:cs="FrankRuehl" w:hint="cs"/>
          <w:rtl/>
        </w:rPr>
        <w:t>5</w:t>
      </w:r>
      <w:r w:rsidR="00DB2F49">
        <w:rPr>
          <w:rStyle w:val="default"/>
          <w:rFonts w:cs="FrankRuehl" w:hint="cs"/>
          <w:rtl/>
        </w:rPr>
        <w:t>,00</w:t>
      </w:r>
      <w:r w:rsidR="00527B5D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3B3185">
        <w:rPr>
          <w:rStyle w:val="default"/>
          <w:rFonts w:cs="FrankRuehl" w:hint="cs"/>
          <w:rtl/>
        </w:rPr>
        <w:t>י"ז באב</w:t>
      </w:r>
      <w:r w:rsidR="00A70F47">
        <w:rPr>
          <w:rStyle w:val="default"/>
          <w:rFonts w:cs="FrankRuehl" w:hint="cs"/>
          <w:rtl/>
        </w:rPr>
        <w:t xml:space="preserve"> התשע"</w:t>
      </w:r>
      <w:r w:rsidR="0037772B">
        <w:rPr>
          <w:rStyle w:val="default"/>
          <w:rFonts w:cs="FrankRuehl" w:hint="cs"/>
          <w:rtl/>
        </w:rPr>
        <w:t>ח</w:t>
      </w:r>
      <w:r w:rsidR="00A70F47">
        <w:rPr>
          <w:rStyle w:val="default"/>
          <w:rFonts w:cs="FrankRuehl" w:hint="cs"/>
          <w:rtl/>
        </w:rPr>
        <w:t xml:space="preserve"> (</w:t>
      </w:r>
      <w:r w:rsidR="003B3185">
        <w:rPr>
          <w:rStyle w:val="default"/>
          <w:rFonts w:cs="FrankRuehl" w:hint="cs"/>
          <w:rtl/>
        </w:rPr>
        <w:t>29 ביולי 2018</w:t>
      </w:r>
      <w:r w:rsidR="00527B5D">
        <w:rPr>
          <w:rStyle w:val="default"/>
          <w:rFonts w:cs="FrankRuehl" w:hint="cs"/>
          <w:rtl/>
        </w:rPr>
        <w:t xml:space="preserve">) ביד שר </w:t>
      </w:r>
      <w:r w:rsidR="00A70F47">
        <w:rPr>
          <w:rStyle w:val="default"/>
          <w:rFonts w:cs="FrankRuehl" w:hint="cs"/>
          <w:rtl/>
        </w:rPr>
        <w:t>האוצר</w:t>
      </w:r>
      <w:r w:rsidR="00527B5D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</w:t>
      </w:r>
      <w:r w:rsidR="003B3185">
        <w:rPr>
          <w:rStyle w:val="default"/>
          <w:rFonts w:cs="FrankRuehl" w:hint="cs"/>
          <w:rtl/>
        </w:rPr>
        <w:t>הם גן לאומי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1C6B3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A70F47">
        <w:rPr>
          <w:rStyle w:val="default"/>
          <w:rFonts w:cs="FrankRuehl" w:hint="cs"/>
          <w:rtl/>
        </w:rPr>
        <w:t>ב</w:t>
      </w:r>
      <w:r w:rsidR="00DC3BF2">
        <w:rPr>
          <w:rStyle w:val="default"/>
          <w:rFonts w:cs="FrankRuehl" w:hint="cs"/>
          <w:rtl/>
        </w:rPr>
        <w:t xml:space="preserve">משרדי </w:t>
      </w:r>
      <w:r w:rsidR="00A70F47">
        <w:rPr>
          <w:rStyle w:val="default"/>
          <w:rFonts w:cs="FrankRuehl" w:hint="cs"/>
          <w:rtl/>
        </w:rPr>
        <w:t>מינהל התכנון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70541">
        <w:rPr>
          <w:rStyle w:val="default"/>
          <w:rFonts w:cs="FrankRuehl" w:hint="cs"/>
          <w:rtl/>
        </w:rPr>
        <w:t xml:space="preserve">במשרדי הוועדה המחוזית לתכנון ולבנייה מחוז המרכז ברמלה ובמשרדי הוועדה המקומית לתכנון ולבנייה שורקות, </w:t>
      </w:r>
      <w:r>
        <w:rPr>
          <w:rStyle w:val="default"/>
          <w:rFonts w:cs="FrankRuehl" w:hint="cs"/>
          <w:rtl/>
        </w:rPr>
        <w:t xml:space="preserve">וכל </w:t>
      </w:r>
      <w:r w:rsidR="006F3C6A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</w:t>
      </w:r>
      <w:r w:rsidR="00070541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האמור</w:t>
      </w:r>
      <w:r w:rsidR="00070541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בסעיף 1 נמצא</w:t>
      </w:r>
      <w:r w:rsidR="00070541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בתחום </w:t>
      </w:r>
      <w:r w:rsidR="00070541">
        <w:rPr>
          <w:rStyle w:val="default"/>
          <w:rFonts w:cs="FrankRuehl" w:hint="cs"/>
          <w:rtl/>
        </w:rPr>
        <w:t>שטח השיפוט של המועצה האזורית גן רווה</w:t>
      </w:r>
      <w:r w:rsidR="006F3C6A">
        <w:rPr>
          <w:rStyle w:val="default"/>
          <w:rFonts w:cs="FrankRuehl" w:hint="cs"/>
          <w:rtl/>
        </w:rPr>
        <w:t>, שבו</w:t>
      </w:r>
      <w:r w:rsidR="00333CF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070541">
        <w:rPr>
          <w:rStyle w:val="default"/>
          <w:rFonts w:cs="FrankRuehl" w:hint="cs"/>
          <w:rtl/>
        </w:rPr>
        <w:t>בר/249</w:t>
      </w:r>
      <w:r w:rsidR="00DB2F4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7E77B3">
        <w:rPr>
          <w:rStyle w:val="default"/>
          <w:rFonts w:cs="FrankRuehl" w:hint="cs"/>
          <w:rtl/>
        </w:rPr>
        <w:t xml:space="preserve"> </w:t>
      </w:r>
      <w:r w:rsidR="0037772B">
        <w:rPr>
          <w:rStyle w:val="default"/>
          <w:rFonts w:cs="FrankRuehl" w:hint="cs"/>
          <w:rtl/>
        </w:rPr>
        <w:t xml:space="preserve">מס' </w:t>
      </w:r>
      <w:r w:rsidR="00070541">
        <w:rPr>
          <w:rStyle w:val="default"/>
          <w:rFonts w:cs="FrankRuehl" w:hint="cs"/>
          <w:rtl/>
        </w:rPr>
        <w:t>6816</w:t>
      </w:r>
      <w:r>
        <w:rPr>
          <w:rStyle w:val="default"/>
          <w:rFonts w:cs="FrankRuehl" w:hint="cs"/>
          <w:rtl/>
        </w:rPr>
        <w:t xml:space="preserve">, מיום </w:t>
      </w:r>
      <w:r w:rsidR="00070541">
        <w:rPr>
          <w:rStyle w:val="default"/>
          <w:rFonts w:cs="FrankRuehl" w:hint="cs"/>
          <w:rtl/>
        </w:rPr>
        <w:t>י"א בסיוון התשע"ד (9 ביוני 2014</w:t>
      </w:r>
      <w:r w:rsidR="00DC3BF2">
        <w:rPr>
          <w:rStyle w:val="default"/>
          <w:rFonts w:cs="FrankRuehl" w:hint="cs"/>
          <w:rtl/>
        </w:rPr>
        <w:t xml:space="preserve">), עמ' </w:t>
      </w:r>
      <w:r w:rsidR="00070541">
        <w:rPr>
          <w:rStyle w:val="default"/>
          <w:rFonts w:cs="FrankRuehl" w:hint="cs"/>
          <w:rtl/>
        </w:rPr>
        <w:t>6043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070541">
        <w:rPr>
          <w:rStyle w:val="default"/>
          <w:rFonts w:cs="FrankRuehl" w:hint="cs"/>
          <w:rtl/>
        </w:rPr>
        <w:t>והם כוללים</w:t>
      </w:r>
      <w:r w:rsidR="00F11172">
        <w:rPr>
          <w:rStyle w:val="default"/>
          <w:rFonts w:cs="FrankRuehl" w:hint="cs"/>
          <w:rtl/>
        </w:rPr>
        <w:t xml:space="preserve"> גוש</w:t>
      </w:r>
      <w:r w:rsidR="00B06562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B06562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ת רישום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:rsidR="00E1548A" w:rsidRDefault="00EF2AD9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070541">
        <w:rPr>
          <w:rStyle w:val="default"/>
          <w:rFonts w:cs="FrankRuehl" w:hint="cs"/>
          <w:rtl/>
        </w:rPr>
        <w:t>3746</w:t>
      </w:r>
      <w:r w:rsidR="00656D0A">
        <w:rPr>
          <w:rStyle w:val="default"/>
          <w:rFonts w:cs="FrankRuehl" w:hint="cs"/>
          <w:rtl/>
        </w:rPr>
        <w:t xml:space="preserve"> </w:t>
      </w:r>
      <w:r w:rsidR="00656D0A">
        <w:rPr>
          <w:rStyle w:val="default"/>
          <w:rFonts w:cs="FrankRuehl"/>
          <w:rtl/>
        </w:rPr>
        <w:t>–</w:t>
      </w:r>
      <w:r w:rsidR="0037772B">
        <w:rPr>
          <w:rStyle w:val="default"/>
          <w:rFonts w:cs="FrankRuehl"/>
          <w:rtl/>
        </w:rPr>
        <w:tab/>
      </w:r>
      <w:r w:rsidR="00070541">
        <w:rPr>
          <w:rStyle w:val="default"/>
          <w:rFonts w:cs="FrankRuehl" w:hint="cs"/>
          <w:rtl/>
        </w:rPr>
        <w:t>חלקי חלקות 29-26, 32, 33</w:t>
      </w:r>
      <w:r w:rsidR="0037772B">
        <w:rPr>
          <w:rStyle w:val="default"/>
          <w:rFonts w:cs="FrankRuehl" w:hint="cs"/>
          <w:rtl/>
        </w:rPr>
        <w:t>;</w:t>
      </w:r>
    </w:p>
    <w:p w:rsidR="00070541" w:rsidRDefault="00070541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3757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3-1;</w:t>
      </w:r>
    </w:p>
    <w:p w:rsidR="00070541" w:rsidRDefault="00B50AF0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3758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2, 3, 5; חלקי חלקה 1;</w:t>
      </w:r>
    </w:p>
    <w:p w:rsidR="00B50AF0" w:rsidRDefault="00B50AF0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3760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1, 36, 37;</w:t>
      </w:r>
    </w:p>
    <w:p w:rsidR="00B50AF0" w:rsidRDefault="00B50AF0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4072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6, 8, 9;</w:t>
      </w:r>
    </w:p>
    <w:p w:rsidR="00B50AF0" w:rsidRDefault="00B50AF0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4073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17-10, 32-26, 39-36, 52;</w:t>
      </w:r>
    </w:p>
    <w:p w:rsidR="00B50AF0" w:rsidRDefault="00B50AF0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4074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28-26; חלקי חלקות 14-2, 25-18, 31-29;</w:t>
      </w:r>
    </w:p>
    <w:p w:rsidR="00B50AF0" w:rsidRDefault="00B50AF0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5272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14-11; חלקי חלקות 2, 9, 10, 15, 17;</w:t>
      </w:r>
    </w:p>
    <w:p w:rsidR="00B50AF0" w:rsidRDefault="00B50AF0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5281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14-12, 48;</w:t>
      </w:r>
    </w:p>
    <w:p w:rsidR="00B50AF0" w:rsidRDefault="00B50AF0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5282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4-2; חלקי חלקות 1, 5;</w:t>
      </w:r>
    </w:p>
    <w:p w:rsidR="00B50AF0" w:rsidRDefault="00B50AF0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5283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4;</w:t>
      </w:r>
    </w:p>
    <w:p w:rsidR="00B50AF0" w:rsidRDefault="00B50AF0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5285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5-3; חלקי חלקות 1, 2, 6;</w:t>
      </w:r>
    </w:p>
    <w:p w:rsidR="00B50AF0" w:rsidRDefault="00B50AF0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5286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במלואה 2; חלקי חלקות 1, 3;</w:t>
      </w:r>
    </w:p>
    <w:p w:rsidR="00B50AF0" w:rsidRDefault="00B50AF0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5287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6, 25.</w:t>
      </w:r>
    </w:p>
    <w:p w:rsidR="003B3185" w:rsidRDefault="003B318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00062" w:rsidRDefault="0020006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Default="00B50AF0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י"ז באב</w:t>
      </w:r>
      <w:r w:rsidR="004C783C">
        <w:rPr>
          <w:rStyle w:val="default"/>
          <w:rFonts w:cs="FrankRuehl" w:hint="cs"/>
          <w:rtl/>
        </w:rPr>
        <w:t xml:space="preserve"> התשע"ח (</w:t>
      </w:r>
      <w:r>
        <w:rPr>
          <w:rStyle w:val="default"/>
          <w:rFonts w:cs="FrankRuehl" w:hint="cs"/>
          <w:rtl/>
        </w:rPr>
        <w:t>29 ביולי 2018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70F47">
        <w:rPr>
          <w:rStyle w:val="default"/>
          <w:rFonts w:cs="FrankRuehl" w:hint="cs"/>
          <w:rtl/>
        </w:rPr>
        <w:t>משה כחלון</w:t>
      </w:r>
    </w:p>
    <w:p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A70F47">
        <w:rPr>
          <w:rFonts w:hint="cs"/>
          <w:rtl/>
        </w:rPr>
        <w:t>האוצר</w:t>
      </w:r>
    </w:p>
    <w:p w:rsidR="003B3185" w:rsidRPr="006E39E0" w:rsidRDefault="003B3185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E40D3E" w:rsidRDefault="00E40D3E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40D3E" w:rsidRDefault="00E40D3E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40D3E" w:rsidRDefault="00E40D3E" w:rsidP="00E40D3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1153B7" w:rsidRPr="00E40D3E" w:rsidRDefault="001153B7" w:rsidP="00E40D3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153B7" w:rsidRPr="00E40D3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36EF" w:rsidRDefault="00E636EF">
      <w:r>
        <w:separator/>
      </w:r>
    </w:p>
  </w:endnote>
  <w:endnote w:type="continuationSeparator" w:id="0">
    <w:p w:rsidR="00E636EF" w:rsidRDefault="00E63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40D3E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36EF" w:rsidRDefault="00E636EF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636EF" w:rsidRDefault="00E636EF">
      <w:r>
        <w:continuationSeparator/>
      </w:r>
    </w:p>
  </w:footnote>
  <w:footnote w:id="1">
    <w:p w:rsidR="00F00EEF" w:rsidRPr="00E31D0A" w:rsidRDefault="00E31D0A" w:rsidP="00F00EE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F00EEF">
          <w:rPr>
            <w:rStyle w:val="Hyperlink"/>
            <w:rFonts w:hint="cs"/>
            <w:sz w:val="20"/>
            <w:rtl/>
          </w:rPr>
          <w:t xml:space="preserve">ק"ת </w:t>
        </w:r>
        <w:r w:rsidR="008E74C9" w:rsidRPr="00F00EEF">
          <w:rPr>
            <w:rStyle w:val="Hyperlink"/>
            <w:rFonts w:hint="cs"/>
            <w:sz w:val="20"/>
            <w:rtl/>
          </w:rPr>
          <w:t>תשע</w:t>
        </w:r>
        <w:r w:rsidR="00FF53C1" w:rsidRPr="00F00EEF">
          <w:rPr>
            <w:rStyle w:val="Hyperlink"/>
            <w:rFonts w:hint="cs"/>
            <w:sz w:val="20"/>
            <w:rtl/>
          </w:rPr>
          <w:t>"</w:t>
        </w:r>
        <w:r w:rsidR="003B3185" w:rsidRPr="00F00EEF">
          <w:rPr>
            <w:rStyle w:val="Hyperlink"/>
            <w:rFonts w:hint="cs"/>
            <w:sz w:val="20"/>
            <w:rtl/>
          </w:rPr>
          <w:t>ט</w:t>
        </w:r>
        <w:r w:rsidRPr="00F00EEF">
          <w:rPr>
            <w:rStyle w:val="Hyperlink"/>
            <w:rFonts w:hint="cs"/>
            <w:sz w:val="20"/>
            <w:rtl/>
          </w:rPr>
          <w:t xml:space="preserve"> מס' </w:t>
        </w:r>
        <w:r w:rsidR="003B3185" w:rsidRPr="00F00EEF">
          <w:rPr>
            <w:rStyle w:val="Hyperlink"/>
            <w:rFonts w:hint="cs"/>
            <w:sz w:val="20"/>
            <w:rtl/>
          </w:rPr>
          <w:t>8073</w:t>
        </w:r>
      </w:hyperlink>
      <w:r>
        <w:rPr>
          <w:rFonts w:hint="cs"/>
          <w:sz w:val="20"/>
          <w:rtl/>
        </w:rPr>
        <w:t xml:space="preserve"> מיום </w:t>
      </w:r>
      <w:r w:rsidR="003B3185">
        <w:rPr>
          <w:rFonts w:hint="cs"/>
          <w:sz w:val="20"/>
          <w:rtl/>
        </w:rPr>
        <w:t>17.9.2018</w:t>
      </w:r>
      <w:r>
        <w:rPr>
          <w:rFonts w:hint="cs"/>
          <w:sz w:val="20"/>
          <w:rtl/>
        </w:rPr>
        <w:t xml:space="preserve"> עמ' </w:t>
      </w:r>
      <w:r w:rsidR="003B3185">
        <w:rPr>
          <w:rFonts w:hint="cs"/>
          <w:sz w:val="20"/>
          <w:rtl/>
        </w:rPr>
        <w:t>47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9070A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3B3185">
      <w:rPr>
        <w:rFonts w:hAnsi="FrankRuehl" w:cs="FrankRuehl" w:hint="cs"/>
        <w:color w:val="000000"/>
        <w:sz w:val="28"/>
        <w:szCs w:val="28"/>
        <w:rtl/>
      </w:rPr>
      <w:t>גן לאומי נחל שורק</w:t>
    </w:r>
    <w:r w:rsidR="006F3C6A">
      <w:rPr>
        <w:rFonts w:hAnsi="FrankRuehl" w:cs="FrankRuehl" w:hint="cs"/>
        <w:color w:val="000000"/>
        <w:sz w:val="28"/>
        <w:szCs w:val="28"/>
        <w:rtl/>
      </w:rPr>
      <w:t xml:space="preserve">, לפי תכנית </w:t>
    </w:r>
    <w:r w:rsidR="003B3185">
      <w:rPr>
        <w:rFonts w:hAnsi="FrankRuehl" w:cs="FrankRuehl" w:hint="cs"/>
        <w:color w:val="000000"/>
        <w:sz w:val="28"/>
        <w:szCs w:val="28"/>
        <w:rtl/>
      </w:rPr>
      <w:t>מס' בר/249</w:t>
    </w:r>
    <w:r w:rsidR="00333CF3">
      <w:rPr>
        <w:rFonts w:hAnsi="FrankRuehl" w:cs="FrankRuehl" w:hint="cs"/>
        <w:color w:val="000000"/>
        <w:sz w:val="28"/>
        <w:szCs w:val="28"/>
        <w:rtl/>
      </w:rPr>
      <w:t>), תשע"</w:t>
    </w:r>
    <w:r w:rsidR="003B3185">
      <w:rPr>
        <w:rFonts w:hAnsi="FrankRuehl" w:cs="FrankRuehl" w:hint="cs"/>
        <w:color w:val="000000"/>
        <w:sz w:val="28"/>
        <w:szCs w:val="28"/>
        <w:rtl/>
      </w:rPr>
      <w:t>ט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3B3185">
      <w:rPr>
        <w:rFonts w:hAnsi="FrankRuehl" w:cs="FrankRuehl" w:hint="cs"/>
        <w:color w:val="000000"/>
        <w:sz w:val="28"/>
        <w:szCs w:val="28"/>
        <w:rtl/>
      </w:rPr>
      <w:t>8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70541"/>
    <w:rsid w:val="00073DD9"/>
    <w:rsid w:val="00080EAF"/>
    <w:rsid w:val="00083412"/>
    <w:rsid w:val="000860C0"/>
    <w:rsid w:val="000871B7"/>
    <w:rsid w:val="00091A16"/>
    <w:rsid w:val="0009209F"/>
    <w:rsid w:val="00093B34"/>
    <w:rsid w:val="000A17D5"/>
    <w:rsid w:val="000A2ED3"/>
    <w:rsid w:val="000A60A9"/>
    <w:rsid w:val="000A6C83"/>
    <w:rsid w:val="000B2B31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39C5"/>
    <w:rsid w:val="000E58EB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33A9"/>
    <w:rsid w:val="001A3C73"/>
    <w:rsid w:val="001A57CC"/>
    <w:rsid w:val="001A6362"/>
    <w:rsid w:val="001A6B64"/>
    <w:rsid w:val="001A715D"/>
    <w:rsid w:val="001B0FCF"/>
    <w:rsid w:val="001B20AB"/>
    <w:rsid w:val="001B57FE"/>
    <w:rsid w:val="001B6DE1"/>
    <w:rsid w:val="001C03E9"/>
    <w:rsid w:val="001C2C30"/>
    <w:rsid w:val="001C2DA2"/>
    <w:rsid w:val="001C3E2A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E06A9"/>
    <w:rsid w:val="001E25B4"/>
    <w:rsid w:val="001E477F"/>
    <w:rsid w:val="001E7754"/>
    <w:rsid w:val="001F2007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6349E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5040"/>
    <w:rsid w:val="00286C27"/>
    <w:rsid w:val="00290306"/>
    <w:rsid w:val="00290E28"/>
    <w:rsid w:val="00294843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2FC6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3185"/>
    <w:rsid w:val="003B4F0B"/>
    <w:rsid w:val="003C2119"/>
    <w:rsid w:val="003C4340"/>
    <w:rsid w:val="003C4922"/>
    <w:rsid w:val="003C5DE6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4AE2"/>
    <w:rsid w:val="005171B6"/>
    <w:rsid w:val="00517E93"/>
    <w:rsid w:val="005202A7"/>
    <w:rsid w:val="00527B5D"/>
    <w:rsid w:val="00531839"/>
    <w:rsid w:val="00533885"/>
    <w:rsid w:val="00533E46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75A8"/>
    <w:rsid w:val="00667938"/>
    <w:rsid w:val="006708A5"/>
    <w:rsid w:val="00683523"/>
    <w:rsid w:val="006835AD"/>
    <w:rsid w:val="006911C2"/>
    <w:rsid w:val="0069304A"/>
    <w:rsid w:val="006950DD"/>
    <w:rsid w:val="006952FF"/>
    <w:rsid w:val="006A0734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3C6A"/>
    <w:rsid w:val="006F655D"/>
    <w:rsid w:val="00710265"/>
    <w:rsid w:val="007109CE"/>
    <w:rsid w:val="007111D7"/>
    <w:rsid w:val="0071620A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528"/>
    <w:rsid w:val="007A44F6"/>
    <w:rsid w:val="007A4679"/>
    <w:rsid w:val="007A6136"/>
    <w:rsid w:val="007A7BF1"/>
    <w:rsid w:val="007B2FDC"/>
    <w:rsid w:val="007B7F12"/>
    <w:rsid w:val="007D10FF"/>
    <w:rsid w:val="007D3236"/>
    <w:rsid w:val="007D3E34"/>
    <w:rsid w:val="007D6885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ADE"/>
    <w:rsid w:val="00812E4D"/>
    <w:rsid w:val="00815D0E"/>
    <w:rsid w:val="00817B40"/>
    <w:rsid w:val="00820256"/>
    <w:rsid w:val="00820797"/>
    <w:rsid w:val="008269EA"/>
    <w:rsid w:val="00840282"/>
    <w:rsid w:val="0084597B"/>
    <w:rsid w:val="0085187D"/>
    <w:rsid w:val="00862571"/>
    <w:rsid w:val="00864A9A"/>
    <w:rsid w:val="00866ED5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781"/>
    <w:rsid w:val="009308A3"/>
    <w:rsid w:val="0093504E"/>
    <w:rsid w:val="00940229"/>
    <w:rsid w:val="009417FD"/>
    <w:rsid w:val="00943952"/>
    <w:rsid w:val="00944207"/>
    <w:rsid w:val="00947E44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7687"/>
    <w:rsid w:val="00A93627"/>
    <w:rsid w:val="00A9410B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2903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0AF0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C109C"/>
    <w:rsid w:val="00CD5BE9"/>
    <w:rsid w:val="00CE5844"/>
    <w:rsid w:val="00CF0413"/>
    <w:rsid w:val="00CF4E6A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76CEC"/>
    <w:rsid w:val="00D82B09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6207"/>
    <w:rsid w:val="00DF6658"/>
    <w:rsid w:val="00DF76EB"/>
    <w:rsid w:val="00DF7D9F"/>
    <w:rsid w:val="00E00CAC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D0A"/>
    <w:rsid w:val="00E33553"/>
    <w:rsid w:val="00E33B00"/>
    <w:rsid w:val="00E375A3"/>
    <w:rsid w:val="00E37AE7"/>
    <w:rsid w:val="00E40371"/>
    <w:rsid w:val="00E40D3E"/>
    <w:rsid w:val="00E421DD"/>
    <w:rsid w:val="00E446CB"/>
    <w:rsid w:val="00E52AD8"/>
    <w:rsid w:val="00E531AA"/>
    <w:rsid w:val="00E54519"/>
    <w:rsid w:val="00E55C7E"/>
    <w:rsid w:val="00E5706A"/>
    <w:rsid w:val="00E6156B"/>
    <w:rsid w:val="00E62DB5"/>
    <w:rsid w:val="00E636EF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1A34"/>
    <w:rsid w:val="00EB28B8"/>
    <w:rsid w:val="00EB325E"/>
    <w:rsid w:val="00EB435F"/>
    <w:rsid w:val="00EB6A2A"/>
    <w:rsid w:val="00EC38B8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5000"/>
    <w:rsid w:val="00F00EEF"/>
    <w:rsid w:val="00F0418B"/>
    <w:rsid w:val="00F04B55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20DB"/>
    <w:rsid w:val="00F522C1"/>
    <w:rsid w:val="00F53160"/>
    <w:rsid w:val="00F5326F"/>
    <w:rsid w:val="00F537C2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13DC"/>
    <w:rsid w:val="00FB3E99"/>
    <w:rsid w:val="00FC0E90"/>
    <w:rsid w:val="00FD21C7"/>
    <w:rsid w:val="00FD3761"/>
    <w:rsid w:val="00FD4C10"/>
    <w:rsid w:val="00FE3AD9"/>
    <w:rsid w:val="00FE7CAC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2B0390F-8DE5-4037-B5CD-CDCF62CE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07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2324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http://www.nevo.co.il/Law_word/law06/TAK-8073.pdf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run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נחל שורק, לפי תכנית מס' בר/249), תשע"ט-2018</vt:lpwstr>
  </property>
  <property fmtid="{D5CDD505-2E9C-101B-9397-08002B2CF9AE}" pid="5" name="LAWNUMBER">
    <vt:lpwstr>0451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http://www.nevo.co.il/Law_word/law06/TAK-8073.pdf;‎רשומות - תקנות כלליות#פורסמה ק"ת תשע"ט ‏מס' 8073 #מיום 17.9.2018 עמ' 47‏</vt:lpwstr>
  </property>
</Properties>
</file>