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23F8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B2F49">
        <w:rPr>
          <w:rFonts w:hint="cs"/>
          <w:rtl/>
        </w:rPr>
        <w:t>גן לאומי תל לכיש ותל מארשה הרחבה, לפי תכנית 301/02/6</w:t>
      </w:r>
      <w:r w:rsidR="00A23593">
        <w:rPr>
          <w:rFonts w:hint="cs"/>
          <w:rtl/>
        </w:rPr>
        <w:t>), תשע"</w:t>
      </w:r>
      <w:r w:rsidR="00DB2F49">
        <w:rPr>
          <w:rFonts w:hint="cs"/>
          <w:rtl/>
        </w:rPr>
        <w:t>ח</w:t>
      </w:r>
      <w:r w:rsidR="009F4ED7">
        <w:rPr>
          <w:rFonts w:hint="cs"/>
          <w:rtl/>
        </w:rPr>
        <w:t>-201</w:t>
      </w:r>
      <w:r w:rsidR="0036219F">
        <w:rPr>
          <w:rFonts w:hint="cs"/>
          <w:rtl/>
        </w:rPr>
        <w:t>7</w:t>
      </w:r>
    </w:p>
    <w:p w14:paraId="35CBE3C5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69EDCE03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630533F0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01C48" w:rsidRPr="00601C48" w14:paraId="2D35671B" w14:textId="77777777" w:rsidTr="00601C4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A658C6" w14:textId="77777777" w:rsidR="00601C48" w:rsidRPr="00601C48" w:rsidRDefault="00601C48" w:rsidP="00601C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DA894EC" w14:textId="77777777" w:rsidR="00601C48" w:rsidRPr="00601C48" w:rsidRDefault="00601C48" w:rsidP="00601C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2765F847" w14:textId="77777777" w:rsidR="00601C48" w:rsidRPr="00601C48" w:rsidRDefault="00601C48" w:rsidP="00601C4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601C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F28DC5" w14:textId="77777777" w:rsidR="00601C48" w:rsidRPr="00601C48" w:rsidRDefault="00601C48" w:rsidP="00601C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1C48" w:rsidRPr="00601C48" w14:paraId="6A04DEBC" w14:textId="77777777" w:rsidTr="00601C4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C1348C" w14:textId="77777777" w:rsidR="00601C48" w:rsidRPr="00601C48" w:rsidRDefault="00601C48" w:rsidP="00601C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309D27A" w14:textId="77777777" w:rsidR="00601C48" w:rsidRPr="00601C48" w:rsidRDefault="00601C48" w:rsidP="00601C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ADC504A" w14:textId="77777777" w:rsidR="00601C48" w:rsidRPr="00601C48" w:rsidRDefault="00601C48" w:rsidP="00601C4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601C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00E2AE" w14:textId="77777777" w:rsidR="00601C48" w:rsidRPr="00601C48" w:rsidRDefault="00601C48" w:rsidP="00601C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1C48" w:rsidRPr="00601C48" w14:paraId="261E6C60" w14:textId="77777777" w:rsidTr="00601C4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E1D4F8" w14:textId="77777777" w:rsidR="00601C48" w:rsidRPr="00601C48" w:rsidRDefault="00601C48" w:rsidP="00601C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DB425E8" w14:textId="77777777" w:rsidR="00601C48" w:rsidRPr="00601C48" w:rsidRDefault="00601C48" w:rsidP="00601C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31EF9C4" w14:textId="77777777" w:rsidR="00601C48" w:rsidRPr="00601C48" w:rsidRDefault="00601C48" w:rsidP="00601C4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601C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60AECA" w14:textId="77777777" w:rsidR="00601C48" w:rsidRPr="00601C48" w:rsidRDefault="00601C48" w:rsidP="00601C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830756A" w14:textId="77777777" w:rsidR="009C432F" w:rsidRDefault="009C432F">
      <w:pPr>
        <w:pStyle w:val="big-header"/>
        <w:ind w:left="0" w:right="1134"/>
        <w:rPr>
          <w:rtl/>
        </w:rPr>
      </w:pPr>
    </w:p>
    <w:p w14:paraId="76155BD7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DB2F49">
        <w:rPr>
          <w:rFonts w:hint="cs"/>
          <w:rtl/>
        </w:rPr>
        <w:lastRenderedPageBreak/>
        <w:t>אכרזת גנים לאומיים, שמורות טבע, אתרים לאומיים ואתרי הנצחה (גן לאומי תל לכיש ותל מארשה הרחבה, לפי תכנית 301/02/6), תשע"ח-2017</w:t>
      </w:r>
      <w:r w:rsidR="00E31D0A">
        <w:rPr>
          <w:rStyle w:val="a6"/>
          <w:rtl/>
        </w:rPr>
        <w:footnoteReference w:customMarkFollows="1" w:id="1"/>
        <w:t>*</w:t>
      </w:r>
    </w:p>
    <w:p w14:paraId="2C713C85" w14:textId="77777777"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תקיימו כל התנאים כאמור בסעיף 22(ב)(1), (2), (4)</w:t>
      </w:r>
      <w:r w:rsidR="00DB2F49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F2B8612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8255B2B">
          <v:rect id="_x0000_s1028" style="position:absolute;left:0;text-align:left;margin-left:464.5pt;margin-top:8.05pt;width:75.05pt;height:11.3pt;z-index:251657216" o:allowincell="f" filled="f" stroked="f" strokecolor="lime" strokeweight=".25pt">
            <v:textbox style="mso-next-textbox:#_x0000_s1028" inset="0,0,0,0">
              <w:txbxContent>
                <w:p w14:paraId="1590216E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B2F49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DB2F49">
        <w:rPr>
          <w:rStyle w:val="default"/>
          <w:rFonts w:cs="FrankRuehl" w:hint="cs"/>
          <w:rtl/>
        </w:rPr>
        <w:t>מצפון למושב לכיש</w:t>
      </w:r>
      <w:r w:rsidR="00DC3BF2">
        <w:rPr>
          <w:rStyle w:val="default"/>
          <w:rFonts w:cs="FrankRuehl" w:hint="cs"/>
          <w:rtl/>
        </w:rPr>
        <w:t xml:space="preserve">, צבוע בירוק ומקווקו בקווים אלכסוניים </w:t>
      </w:r>
      <w:r w:rsidR="008F2663">
        <w:rPr>
          <w:rStyle w:val="default"/>
          <w:rFonts w:cs="FrankRuehl" w:hint="cs"/>
          <w:rtl/>
        </w:rPr>
        <w:t xml:space="preserve">ומצולבים </w:t>
      </w:r>
      <w:r w:rsidR="00DB2F49">
        <w:rPr>
          <w:rStyle w:val="default"/>
          <w:rFonts w:cs="FrankRuehl" w:hint="cs"/>
          <w:rtl/>
        </w:rPr>
        <w:t>לבנים</w:t>
      </w:r>
      <w:r w:rsidR="00B7182C">
        <w:rPr>
          <w:rStyle w:val="default"/>
          <w:rFonts w:cs="FrankRuehl" w:hint="cs"/>
          <w:rtl/>
        </w:rPr>
        <w:t xml:space="preserve"> ומוקף בקו </w:t>
      </w:r>
      <w:r w:rsidR="00200062">
        <w:rPr>
          <w:rStyle w:val="default"/>
          <w:rFonts w:cs="FrankRuehl" w:hint="cs"/>
          <w:rtl/>
        </w:rPr>
        <w:t>כחול</w:t>
      </w:r>
      <w:r w:rsidR="00DB2F49">
        <w:rPr>
          <w:rStyle w:val="default"/>
          <w:rFonts w:cs="FrankRuehl" w:hint="cs"/>
          <w:rtl/>
        </w:rPr>
        <w:t xml:space="preserve"> עבה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DB2F49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DB2F49">
        <w:rPr>
          <w:rStyle w:val="default"/>
          <w:rFonts w:cs="FrankRuehl" w:hint="cs"/>
          <w:rtl/>
        </w:rPr>
        <w:t>ג/דר/301/02/6,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DB2F49">
        <w:rPr>
          <w:rStyle w:val="default"/>
          <w:rFonts w:cs="FrankRuehl" w:hint="cs"/>
          <w:rtl/>
        </w:rPr>
        <w:t>10,00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B7182C">
        <w:rPr>
          <w:rStyle w:val="default"/>
          <w:rFonts w:cs="FrankRuehl" w:hint="cs"/>
          <w:rtl/>
        </w:rPr>
        <w:t>כ"</w:t>
      </w:r>
      <w:r w:rsidR="00DB2F49">
        <w:rPr>
          <w:rStyle w:val="default"/>
          <w:rFonts w:cs="FrankRuehl" w:hint="cs"/>
          <w:rtl/>
        </w:rPr>
        <w:t>ז באלול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A70F47">
        <w:rPr>
          <w:rStyle w:val="default"/>
          <w:rFonts w:cs="FrankRuehl" w:hint="cs"/>
          <w:rtl/>
        </w:rPr>
        <w:t xml:space="preserve"> (</w:t>
      </w:r>
      <w:r w:rsidR="00DB2F49">
        <w:rPr>
          <w:rStyle w:val="default"/>
          <w:rFonts w:cs="FrankRuehl" w:hint="cs"/>
          <w:rtl/>
        </w:rPr>
        <w:t>18 בספטמבר</w:t>
      </w:r>
      <w:r w:rsidR="0036219F">
        <w:rPr>
          <w:rStyle w:val="default"/>
          <w:rFonts w:cs="FrankRuehl" w:hint="cs"/>
          <w:rtl/>
        </w:rPr>
        <w:t xml:space="preserve"> 2017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DB2F49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13C32C85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1C273021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F8BF29C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</w:t>
      </w:r>
      <w:r w:rsidR="00E40371">
        <w:rPr>
          <w:rStyle w:val="default"/>
          <w:rFonts w:cs="FrankRuehl" w:hint="cs"/>
          <w:rtl/>
        </w:rPr>
        <w:t xml:space="preserve">בלשכת התכנון המחוזית </w:t>
      </w:r>
      <w:r w:rsidR="00656D0A">
        <w:rPr>
          <w:rStyle w:val="default"/>
          <w:rFonts w:cs="FrankRuehl" w:hint="cs"/>
          <w:rtl/>
        </w:rPr>
        <w:t xml:space="preserve">מחוז </w:t>
      </w:r>
      <w:r w:rsidR="00DB2F49">
        <w:rPr>
          <w:rStyle w:val="default"/>
          <w:rFonts w:cs="FrankRuehl" w:hint="cs"/>
          <w:rtl/>
        </w:rPr>
        <w:t>הדרום בבאר שבע</w:t>
      </w:r>
      <w:r w:rsidR="00DC3BF2">
        <w:rPr>
          <w:rStyle w:val="default"/>
          <w:rFonts w:cs="FrankRuehl" w:hint="cs"/>
          <w:rtl/>
        </w:rPr>
        <w:t>,</w:t>
      </w:r>
      <w:r w:rsidR="00333CF3">
        <w:rPr>
          <w:rStyle w:val="default"/>
          <w:rFonts w:cs="FrankRuehl" w:hint="cs"/>
          <w:rtl/>
        </w:rPr>
        <w:t xml:space="preserve"> </w:t>
      </w:r>
      <w:r w:rsidR="0088523B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DB2F49">
        <w:rPr>
          <w:rStyle w:val="default"/>
          <w:rFonts w:cs="FrankRuehl" w:hint="cs"/>
          <w:rtl/>
        </w:rPr>
        <w:t>לכיש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18FA4D6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B37A43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066631FD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9985BA1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333CF3">
        <w:rPr>
          <w:rStyle w:val="default"/>
          <w:rFonts w:cs="FrankRuehl" w:hint="cs"/>
          <w:rtl/>
        </w:rPr>
        <w:t xml:space="preserve">שטח השיפוט של </w:t>
      </w:r>
      <w:r w:rsidR="00656D0A">
        <w:rPr>
          <w:rStyle w:val="default"/>
          <w:rFonts w:cs="FrankRuehl" w:hint="cs"/>
          <w:rtl/>
        </w:rPr>
        <w:t xml:space="preserve">המועצה האזורית </w:t>
      </w:r>
      <w:r w:rsidR="00DB2F49">
        <w:rPr>
          <w:rStyle w:val="default"/>
          <w:rFonts w:cs="FrankRuehl" w:hint="cs"/>
          <w:rtl/>
        </w:rPr>
        <w:t>לכיש</w:t>
      </w:r>
      <w:r w:rsidR="00B0656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שב</w:t>
      </w:r>
      <w:r w:rsidR="0088523B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DB2F49">
        <w:rPr>
          <w:rStyle w:val="default"/>
          <w:rFonts w:cs="FrankRuehl" w:hint="cs"/>
          <w:rtl/>
        </w:rPr>
        <w:t>301/02/6,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DB2F49">
        <w:rPr>
          <w:rStyle w:val="default"/>
          <w:rFonts w:cs="FrankRuehl" w:hint="cs"/>
          <w:rtl/>
        </w:rPr>
        <w:t>6715</w:t>
      </w:r>
      <w:r>
        <w:rPr>
          <w:rStyle w:val="default"/>
          <w:rFonts w:cs="FrankRuehl" w:hint="cs"/>
          <w:rtl/>
        </w:rPr>
        <w:t xml:space="preserve">, מיום </w:t>
      </w:r>
      <w:r w:rsidR="00DB2F49">
        <w:rPr>
          <w:rStyle w:val="default"/>
          <w:rFonts w:cs="FrankRuehl" w:hint="cs"/>
          <w:rtl/>
        </w:rPr>
        <w:t>ט"ז בטבת</w:t>
      </w:r>
      <w:r w:rsidR="00656D0A">
        <w:rPr>
          <w:rStyle w:val="default"/>
          <w:rFonts w:cs="FrankRuehl" w:hint="cs"/>
          <w:rtl/>
        </w:rPr>
        <w:t xml:space="preserve"> התשע"</w:t>
      </w:r>
      <w:r w:rsidR="00DB2F49">
        <w:rPr>
          <w:rStyle w:val="default"/>
          <w:rFonts w:cs="FrankRuehl" w:hint="cs"/>
          <w:rtl/>
        </w:rPr>
        <w:t>ד</w:t>
      </w:r>
      <w:r w:rsidR="00656D0A">
        <w:rPr>
          <w:rStyle w:val="default"/>
          <w:rFonts w:cs="FrankRuehl" w:hint="cs"/>
          <w:rtl/>
        </w:rPr>
        <w:t xml:space="preserve"> (</w:t>
      </w:r>
      <w:r w:rsidR="00DB2F49">
        <w:rPr>
          <w:rStyle w:val="default"/>
          <w:rFonts w:cs="FrankRuehl" w:hint="cs"/>
          <w:rtl/>
        </w:rPr>
        <w:t>19 בדצמבר 2013</w:t>
      </w:r>
      <w:r w:rsidR="00DC3BF2">
        <w:rPr>
          <w:rStyle w:val="default"/>
          <w:rFonts w:cs="FrankRuehl" w:hint="cs"/>
          <w:rtl/>
        </w:rPr>
        <w:t xml:space="preserve">), עמ' </w:t>
      </w:r>
      <w:r w:rsidR="00DB2F49">
        <w:rPr>
          <w:rStyle w:val="default"/>
          <w:rFonts w:cs="FrankRuehl" w:hint="cs"/>
          <w:rtl/>
        </w:rPr>
        <w:t>2107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04FFE31E" w14:textId="77777777" w:rsidR="00E1548A" w:rsidRDefault="00EF2AD9" w:rsidP="00656D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DB2F49">
        <w:rPr>
          <w:rStyle w:val="default"/>
          <w:rFonts w:cs="FrankRuehl" w:hint="cs"/>
          <w:rtl/>
        </w:rPr>
        <w:t>3144</w:t>
      </w:r>
      <w:r w:rsidR="00656D0A">
        <w:rPr>
          <w:rStyle w:val="default"/>
          <w:rFonts w:cs="FrankRuehl" w:hint="cs"/>
          <w:rtl/>
        </w:rPr>
        <w:t xml:space="preserve"> </w:t>
      </w:r>
      <w:r w:rsidR="00656D0A">
        <w:rPr>
          <w:rStyle w:val="default"/>
          <w:rFonts w:cs="FrankRuehl"/>
          <w:rtl/>
        </w:rPr>
        <w:t>–</w:t>
      </w:r>
      <w:r w:rsidR="00656D0A">
        <w:rPr>
          <w:rStyle w:val="default"/>
          <w:rFonts w:cs="FrankRuehl" w:hint="cs"/>
          <w:rtl/>
        </w:rPr>
        <w:t xml:space="preserve"> חלקי ח</w:t>
      </w:r>
      <w:r w:rsidR="00DB2F49">
        <w:rPr>
          <w:rStyle w:val="default"/>
          <w:rFonts w:cs="FrankRuehl" w:hint="cs"/>
          <w:rtl/>
        </w:rPr>
        <w:t>לקות 11, 13, 14, 28, 29</w:t>
      </w:r>
      <w:r w:rsidR="00E1548A">
        <w:rPr>
          <w:rStyle w:val="default"/>
          <w:rFonts w:cs="FrankRuehl" w:hint="cs"/>
          <w:rtl/>
        </w:rPr>
        <w:t>;</w:t>
      </w:r>
    </w:p>
    <w:p w14:paraId="67B8AF24" w14:textId="77777777" w:rsidR="00E1548A" w:rsidRDefault="00E1548A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DB2F49">
        <w:rPr>
          <w:rStyle w:val="default"/>
          <w:rFonts w:cs="FrankRuehl" w:hint="cs"/>
          <w:rtl/>
        </w:rPr>
        <w:t>3115</w:t>
      </w:r>
      <w:r w:rsidR="00656D0A">
        <w:rPr>
          <w:rStyle w:val="default"/>
          <w:rFonts w:cs="FrankRuehl" w:hint="cs"/>
          <w:rtl/>
        </w:rPr>
        <w:t xml:space="preserve"> </w:t>
      </w:r>
      <w:r w:rsidR="00656D0A">
        <w:rPr>
          <w:rStyle w:val="default"/>
          <w:rFonts w:cs="FrankRuehl"/>
          <w:rtl/>
        </w:rPr>
        <w:t>–</w:t>
      </w:r>
      <w:r w:rsidR="00656D0A">
        <w:rPr>
          <w:rStyle w:val="default"/>
          <w:rFonts w:cs="FrankRuehl" w:hint="cs"/>
          <w:rtl/>
        </w:rPr>
        <w:t xml:space="preserve"> חלקי ח</w:t>
      </w:r>
      <w:r w:rsidR="00DB2F49">
        <w:rPr>
          <w:rStyle w:val="default"/>
          <w:rFonts w:cs="FrankRuehl" w:hint="cs"/>
          <w:rtl/>
        </w:rPr>
        <w:t>לקות 5-1;</w:t>
      </w:r>
    </w:p>
    <w:p w14:paraId="3323EF97" w14:textId="77777777" w:rsidR="00DB2F49" w:rsidRDefault="00DB2F49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34184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9, 16;</w:t>
      </w:r>
    </w:p>
    <w:p w14:paraId="04AB42D5" w14:textId="77777777" w:rsidR="00DB2F49" w:rsidRDefault="00DB2F49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34185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5, 9;</w:t>
      </w:r>
    </w:p>
    <w:p w14:paraId="392FAA17" w14:textId="77777777" w:rsidR="00DB2F49" w:rsidRDefault="00DB2F49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34186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3, 11-8;</w:t>
      </w:r>
    </w:p>
    <w:p w14:paraId="749CFD7C" w14:textId="77777777" w:rsidR="00DB2F49" w:rsidRDefault="00DB2F49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34187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4-1;</w:t>
      </w:r>
    </w:p>
    <w:p w14:paraId="45B562AD" w14:textId="77777777" w:rsidR="00DB2F49" w:rsidRDefault="00DB2F49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34191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5-3;</w:t>
      </w:r>
    </w:p>
    <w:p w14:paraId="5A975E96" w14:textId="77777777" w:rsidR="00DB2F49" w:rsidRDefault="00DB2F49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34193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5, 7;</w:t>
      </w:r>
    </w:p>
    <w:p w14:paraId="7C14953A" w14:textId="77777777" w:rsidR="00DB2F49" w:rsidRDefault="00DB2F49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34194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3-1;</w:t>
      </w:r>
    </w:p>
    <w:p w14:paraId="3CADD220" w14:textId="77777777" w:rsidR="00DB2F49" w:rsidRDefault="00DB2F49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34195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2.</w:t>
      </w:r>
    </w:p>
    <w:p w14:paraId="7362D96F" w14:textId="77777777" w:rsidR="00DB2F49" w:rsidRDefault="00DB2F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3C5FED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38D074" w14:textId="77777777" w:rsidR="009C432F" w:rsidRDefault="008A430F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DB2F49">
        <w:rPr>
          <w:rStyle w:val="default"/>
          <w:rFonts w:cs="FrankRuehl" w:hint="cs"/>
          <w:rtl/>
        </w:rPr>
        <w:t>ז באלול</w:t>
      </w:r>
      <w:r w:rsidR="00E80A64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E80A64">
        <w:rPr>
          <w:rStyle w:val="default"/>
          <w:rFonts w:cs="FrankRuehl" w:hint="cs"/>
          <w:rtl/>
        </w:rPr>
        <w:t xml:space="preserve"> (</w:t>
      </w:r>
      <w:r w:rsidR="00DB2F49">
        <w:rPr>
          <w:rStyle w:val="default"/>
          <w:rFonts w:cs="FrankRuehl" w:hint="cs"/>
          <w:rtl/>
        </w:rPr>
        <w:t>18 בספטמבר</w:t>
      </w:r>
      <w:r w:rsidR="0036219F">
        <w:rPr>
          <w:rStyle w:val="default"/>
          <w:rFonts w:cs="FrankRuehl" w:hint="cs"/>
          <w:rtl/>
        </w:rPr>
        <w:t xml:space="preserve"> 2017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0BA1C551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581B595D" w14:textId="77777777" w:rsidR="00DB2F49" w:rsidRPr="006E39E0" w:rsidRDefault="00DB2F4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4033A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0B6D7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F72F3C6" w14:textId="77777777" w:rsidR="00601C48" w:rsidRDefault="00601C4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FEDDB4" w14:textId="77777777" w:rsidR="00601C48" w:rsidRDefault="00601C4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8C1615" w14:textId="77777777" w:rsidR="00601C48" w:rsidRDefault="00601C48" w:rsidP="00601C4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4381FB6" w14:textId="77777777" w:rsidR="00820256" w:rsidRPr="00601C48" w:rsidRDefault="00820256" w:rsidP="00601C4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20256" w:rsidRPr="00601C4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BB241" w14:textId="77777777" w:rsidR="00F04B55" w:rsidRDefault="00F04B55">
      <w:r>
        <w:separator/>
      </w:r>
    </w:p>
  </w:endnote>
  <w:endnote w:type="continuationSeparator" w:id="0">
    <w:p w14:paraId="22093177" w14:textId="77777777" w:rsidR="00F04B55" w:rsidRDefault="00F0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5906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12883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0000E3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C58C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01C4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2A7D3B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B72F1F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E1B9C" w14:textId="77777777" w:rsidR="00F04B55" w:rsidRDefault="00F04B5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1732D57" w14:textId="77777777" w:rsidR="00F04B55" w:rsidRDefault="00F04B55">
      <w:r>
        <w:continuationSeparator/>
      </w:r>
    </w:p>
  </w:footnote>
  <w:footnote w:id="1">
    <w:p w14:paraId="457ADFA0" w14:textId="77777777" w:rsidR="00FF42F6" w:rsidRPr="00E31D0A" w:rsidRDefault="00E31D0A" w:rsidP="00FF42F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FF42F6">
          <w:rPr>
            <w:rStyle w:val="Hyperlink"/>
            <w:rFonts w:hint="cs"/>
            <w:sz w:val="20"/>
            <w:rtl/>
          </w:rPr>
          <w:t xml:space="preserve">ק"ת </w:t>
        </w:r>
        <w:r w:rsidR="008E74C9" w:rsidRPr="00FF42F6">
          <w:rPr>
            <w:rStyle w:val="Hyperlink"/>
            <w:rFonts w:hint="cs"/>
            <w:sz w:val="20"/>
            <w:rtl/>
          </w:rPr>
          <w:t>תשע</w:t>
        </w:r>
        <w:r w:rsidR="00FF53C1" w:rsidRPr="00FF42F6">
          <w:rPr>
            <w:rStyle w:val="Hyperlink"/>
            <w:rFonts w:hint="cs"/>
            <w:sz w:val="20"/>
            <w:rtl/>
          </w:rPr>
          <w:t>"</w:t>
        </w:r>
        <w:r w:rsidR="00DB2F49" w:rsidRPr="00FF42F6">
          <w:rPr>
            <w:rStyle w:val="Hyperlink"/>
            <w:rFonts w:hint="cs"/>
            <w:sz w:val="20"/>
            <w:rtl/>
          </w:rPr>
          <w:t>ח</w:t>
        </w:r>
        <w:r w:rsidRPr="00FF42F6">
          <w:rPr>
            <w:rStyle w:val="Hyperlink"/>
            <w:rFonts w:hint="cs"/>
            <w:sz w:val="20"/>
            <w:rtl/>
          </w:rPr>
          <w:t xml:space="preserve"> מס' </w:t>
        </w:r>
        <w:r w:rsidR="00DB2F49" w:rsidRPr="00FF42F6">
          <w:rPr>
            <w:rStyle w:val="Hyperlink"/>
            <w:rFonts w:hint="cs"/>
            <w:sz w:val="20"/>
            <w:rtl/>
          </w:rPr>
          <w:t>7882</w:t>
        </w:r>
      </w:hyperlink>
      <w:r>
        <w:rPr>
          <w:rFonts w:hint="cs"/>
          <w:sz w:val="20"/>
          <w:rtl/>
        </w:rPr>
        <w:t xml:space="preserve"> מיום </w:t>
      </w:r>
      <w:r w:rsidR="00DB2F49">
        <w:rPr>
          <w:rFonts w:hint="cs"/>
          <w:sz w:val="20"/>
          <w:rtl/>
        </w:rPr>
        <w:t>9.11</w:t>
      </w:r>
      <w:r w:rsidR="0036219F">
        <w:rPr>
          <w:rFonts w:hint="cs"/>
          <w:sz w:val="20"/>
          <w:rtl/>
        </w:rPr>
        <w:t>.2017</w:t>
      </w:r>
      <w:r>
        <w:rPr>
          <w:rFonts w:hint="cs"/>
          <w:sz w:val="20"/>
          <w:rtl/>
        </w:rPr>
        <w:t xml:space="preserve"> עמ' </w:t>
      </w:r>
      <w:r w:rsidR="00DB2F49">
        <w:rPr>
          <w:rFonts w:hint="cs"/>
          <w:sz w:val="20"/>
          <w:rtl/>
        </w:rPr>
        <w:t>192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CA3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6C71CF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AFBF3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C819F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B2F49">
      <w:rPr>
        <w:rFonts w:hAnsi="FrankRuehl" w:cs="FrankRuehl" w:hint="cs"/>
        <w:color w:val="000000"/>
        <w:sz w:val="28"/>
        <w:szCs w:val="28"/>
        <w:rtl/>
      </w:rPr>
      <w:t>גן לאומי תל לכיש ותל מארשה הרחבה, לפי תכנית 301/02/6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DB2F49">
      <w:rPr>
        <w:rFonts w:hAnsi="FrankRuehl" w:cs="FrankRuehl" w:hint="cs"/>
        <w:color w:val="000000"/>
        <w:sz w:val="28"/>
        <w:szCs w:val="28"/>
        <w:rtl/>
      </w:rPr>
      <w:t>ח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6219F">
      <w:rPr>
        <w:rFonts w:hAnsi="FrankRuehl" w:cs="FrankRuehl" w:hint="cs"/>
        <w:color w:val="000000"/>
        <w:sz w:val="28"/>
        <w:szCs w:val="28"/>
        <w:rtl/>
      </w:rPr>
      <w:t>7</w:t>
    </w:r>
  </w:p>
  <w:p w14:paraId="0A05A6B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D8F74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58EB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E06A9"/>
    <w:rsid w:val="001E25B4"/>
    <w:rsid w:val="001E477F"/>
    <w:rsid w:val="001E7754"/>
    <w:rsid w:val="001F2007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3108"/>
    <w:rsid w:val="002747F5"/>
    <w:rsid w:val="0027510E"/>
    <w:rsid w:val="002767FF"/>
    <w:rsid w:val="00277EB3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3F4EFD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5259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E4D"/>
    <w:rsid w:val="00815D0E"/>
    <w:rsid w:val="00817B40"/>
    <w:rsid w:val="00820256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308A3"/>
    <w:rsid w:val="0093504E"/>
    <w:rsid w:val="00940229"/>
    <w:rsid w:val="009417FD"/>
    <w:rsid w:val="00943952"/>
    <w:rsid w:val="00944207"/>
    <w:rsid w:val="00947E44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2B09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E38"/>
    <w:rsid w:val="00DF6207"/>
    <w:rsid w:val="00DF6658"/>
    <w:rsid w:val="00DF76EB"/>
    <w:rsid w:val="00DF7D9F"/>
    <w:rsid w:val="00E00CAC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0DB"/>
    <w:rsid w:val="00F522C1"/>
    <w:rsid w:val="00F53160"/>
    <w:rsid w:val="00F5326F"/>
    <w:rsid w:val="00F537C2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D2CCDA"/>
  <w15:chartTrackingRefBased/>
  <w15:docId w15:val="{D510071E-2ADB-4261-8A66-3FCD4416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2033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תל לכיש ותל מארשה הרחבה, לפי תכנית 301/02/6), תשע"ח-2017</vt:lpwstr>
  </property>
  <property fmtid="{D5CDD505-2E9C-101B-9397-08002B2CF9AE}" pid="5" name="LAWNUMBER">
    <vt:lpwstr>0447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22X</vt:lpwstr>
  </property>
  <property fmtid="{D5CDD505-2E9C-101B-9397-08002B2CF9AE}" pid="63" name="LINKK1">
    <vt:lpwstr>http://www.nevo.co.il/Law_word/law06/tak-7882.pdf;‎רשומות - תקנות כלליות#פורסמה ק"ת תשע"ח ‏מס' 7882 #מיום 9.11.2017 עמ' 192‏</vt:lpwstr>
  </property>
  <property fmtid="{D5CDD505-2E9C-101B-9397-08002B2CF9AE}" pid="64" name="LINKK2">
    <vt:lpwstr/>
  </property>
</Properties>
</file>