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27196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271969">
        <w:rPr>
          <w:rFonts w:hint="cs"/>
          <w:rtl/>
        </w:rPr>
        <w:t>שמורת טבע גברעם הרחבה, לפי תכנית מס' 41/234/02/6</w:t>
      </w:r>
      <w:r w:rsidR="00A23593">
        <w:rPr>
          <w:rFonts w:hint="cs"/>
          <w:rtl/>
        </w:rPr>
        <w:t>), תשע"ג-2013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F0436" w:rsidRPr="008F0436" w:rsidTr="008F04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F0436" w:rsidRPr="008F0436" w:rsidRDefault="008F0436" w:rsidP="008F0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F0436" w:rsidRPr="008F0436" w:rsidRDefault="008F0436" w:rsidP="008F0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8F0436" w:rsidRPr="008F0436" w:rsidRDefault="008F0436" w:rsidP="008F04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F04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F0436" w:rsidRPr="008F0436" w:rsidRDefault="008F0436" w:rsidP="008F0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F0436" w:rsidRPr="008F0436" w:rsidTr="008F04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F0436" w:rsidRPr="008F0436" w:rsidRDefault="008F0436" w:rsidP="008F0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F0436" w:rsidRPr="008F0436" w:rsidRDefault="008F0436" w:rsidP="008F0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8F0436" w:rsidRPr="008F0436" w:rsidRDefault="008F0436" w:rsidP="008F04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F04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F0436" w:rsidRPr="008F0436" w:rsidRDefault="008F0436" w:rsidP="008F0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F0436" w:rsidRPr="008F0436" w:rsidTr="008F04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F0436" w:rsidRPr="008F0436" w:rsidRDefault="008F0436" w:rsidP="008F0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F0436" w:rsidRPr="008F0436" w:rsidRDefault="008F0436" w:rsidP="008F0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F0436" w:rsidRPr="008F0436" w:rsidRDefault="008F0436" w:rsidP="008F04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F04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F0436" w:rsidRPr="008F0436" w:rsidRDefault="008F0436" w:rsidP="008F04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27196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271969">
        <w:rPr>
          <w:rFonts w:hint="cs"/>
          <w:rtl/>
        </w:rPr>
        <w:t>שמורת טבע גברעם הרחבה, לפי תכנית מס' 41/234/02/6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>השר להגנת הסביבה ולאחר שהתקיימו כל התנאים כאמור בסעיף 22(ב)(1), (2), (4),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527B5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ממערב ומדרום לקיבוץ גברעם, צבוע בירוק ומקווקו בקווים אלכסוניים ומצולבים ירוקים, ומוקף בקו ירוק,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מס'</w:t>
      </w:r>
      <w:r w:rsidR="00527B5D">
        <w:rPr>
          <w:rStyle w:val="default"/>
          <w:rFonts w:cs="FrankRuehl" w:hint="cs"/>
          <w:rtl/>
        </w:rPr>
        <w:t xml:space="preserve"> ש/דר/41/234/02/6,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527B5D">
        <w:rPr>
          <w:rStyle w:val="default"/>
          <w:rFonts w:cs="FrankRuehl" w:hint="cs"/>
          <w:rtl/>
        </w:rPr>
        <w:t>10,000 והחתום ביום י"ח בתמוז התשע"ג (26 ביוני 2013), ביד שר הפנים,</w:t>
      </w:r>
      <w:r w:rsidR="00B64FE5">
        <w:rPr>
          <w:rStyle w:val="default"/>
          <w:rFonts w:cs="FrankRuehl" w:hint="cs"/>
          <w:rtl/>
        </w:rPr>
        <w:t xml:space="preserve"> הוא </w:t>
      </w:r>
      <w:r w:rsidR="00527B5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527B5D">
        <w:rPr>
          <w:rStyle w:val="default"/>
          <w:rFonts w:cs="FrankRuehl" w:hint="cs"/>
          <w:rtl/>
        </w:rPr>
        <w:t>, במשרדי הממונה על מחוז הדרום בבאר שבע, במשרדי הוועדה המקומית לתכנון ולבנייה שקמים ובמשרדי הוועד המקומית לתכנון ולבנייה שמעונים,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השטח האמור בסעיף 1 נמצא בתחום שטח השיפוט של המועצה האזורית חוף אשקלון ובתחום שטח השיפוט של המועצה האזורית שער הנגב, שבהם חלה תכנית מס' 41/234/02/6, שניתן לה תוקף בהודעה שפורסמה בילקוט הפרסומים 6203, מיום י"ט באדר א' התשע"א (23 בפברואר 2011), עמ' 2714, והוא כולל גושים וחלקות רישום קרקע אלה:</w:t>
      </w: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1289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20-13, 82, 83; חלקי חלקות 3, 11, 12, 21, 22, 25, 26, 33, 81, 84, 85, 105;</w:t>
      </w: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1674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5-1, 25, 36, 57-52;</w:t>
      </w: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2819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3, 4, 12, 13, 15, 17, 19;</w:t>
      </w: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2823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5, 10, 14, 21, 25;</w:t>
      </w: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2824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6, 7; חלקי חלקות 5-3, 9, 12;</w:t>
      </w: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2826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6; חלקי חלקות 5-2, 7, 8, 12, 24.</w:t>
      </w: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8C782A" w:rsidP="008C782A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י"ח בתמוז התשע"ג (26 ביוני </w:t>
      </w:r>
      <w:r w:rsidR="00EE70F0">
        <w:rPr>
          <w:rStyle w:val="default"/>
          <w:rFonts w:cs="FrankRuehl" w:hint="cs"/>
          <w:rtl/>
        </w:rPr>
        <w:t>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גדעון סער</w:t>
      </w:r>
    </w:p>
    <w:p w:rsidR="009C432F" w:rsidRDefault="009C432F" w:rsidP="008C782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8C782A">
        <w:rPr>
          <w:rFonts w:hint="cs"/>
          <w:rtl/>
        </w:rPr>
        <w:t>הפנים</w:t>
      </w:r>
    </w:p>
    <w:p w:rsidR="00271969" w:rsidRPr="006E39E0" w:rsidRDefault="0027196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F0436" w:rsidRDefault="008F043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F0436" w:rsidRDefault="008F043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F0436" w:rsidRDefault="008F0436" w:rsidP="008F04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63144" w:rsidRPr="008F0436" w:rsidRDefault="00963144" w:rsidP="008F04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63144" w:rsidRPr="008F043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57CC" w:rsidRDefault="001A57CC">
      <w:r>
        <w:separator/>
      </w:r>
    </w:p>
  </w:endnote>
  <w:endnote w:type="continuationSeparator" w:id="0">
    <w:p w:rsidR="001A57CC" w:rsidRDefault="001A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3144">
      <w:rPr>
        <w:rFonts w:cs="TopType Jerushalmi"/>
        <w:noProof/>
        <w:color w:val="000000"/>
        <w:sz w:val="14"/>
        <w:szCs w:val="14"/>
      </w:rPr>
      <w:t>Z:\000-law\yael\2013\2013-07-01\tav\065_410.doc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F043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3144">
      <w:rPr>
        <w:rFonts w:cs="TopType Jerushalmi"/>
        <w:noProof/>
        <w:color w:val="000000"/>
        <w:sz w:val="14"/>
        <w:szCs w:val="14"/>
      </w:rPr>
      <w:t>Z:\000-law\yael\2013\2013-07-01\tav\065_410.doc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57CC" w:rsidRDefault="001A57C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A57CC" w:rsidRDefault="001A57CC">
      <w:r>
        <w:continuationSeparator/>
      </w:r>
    </w:p>
  </w:footnote>
  <w:footnote w:id="1">
    <w:p w:rsidR="00122277" w:rsidRPr="00E31D0A" w:rsidRDefault="00E31D0A" w:rsidP="001222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22277">
          <w:rPr>
            <w:rStyle w:val="Hyperlink"/>
            <w:rFonts w:hint="cs"/>
            <w:sz w:val="20"/>
            <w:rtl/>
          </w:rPr>
          <w:t xml:space="preserve">ק"ת </w:t>
        </w:r>
        <w:r w:rsidR="008E74C9" w:rsidRPr="00122277">
          <w:rPr>
            <w:rStyle w:val="Hyperlink"/>
            <w:rFonts w:hint="cs"/>
            <w:sz w:val="20"/>
            <w:rtl/>
          </w:rPr>
          <w:t>תשע</w:t>
        </w:r>
        <w:r w:rsidR="00FF53C1" w:rsidRPr="00122277">
          <w:rPr>
            <w:rStyle w:val="Hyperlink"/>
            <w:rFonts w:hint="cs"/>
            <w:sz w:val="20"/>
            <w:rtl/>
          </w:rPr>
          <w:t>"</w:t>
        </w:r>
        <w:r w:rsidR="000B68DD" w:rsidRPr="00122277">
          <w:rPr>
            <w:rStyle w:val="Hyperlink"/>
            <w:rFonts w:hint="cs"/>
            <w:sz w:val="20"/>
            <w:rtl/>
          </w:rPr>
          <w:t>ג</w:t>
        </w:r>
        <w:r w:rsidRPr="00122277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122277">
          <w:rPr>
            <w:rStyle w:val="Hyperlink"/>
            <w:rFonts w:hint="cs"/>
            <w:sz w:val="20"/>
            <w:rtl/>
          </w:rPr>
          <w:t>72</w:t>
        </w:r>
        <w:r w:rsidR="00271969" w:rsidRPr="00122277">
          <w:rPr>
            <w:rStyle w:val="Hyperlink"/>
            <w:rFonts w:hint="cs"/>
            <w:sz w:val="20"/>
            <w:rtl/>
          </w:rPr>
          <w:t>86</w:t>
        </w:r>
      </w:hyperlink>
      <w:r>
        <w:rPr>
          <w:rFonts w:hint="cs"/>
          <w:sz w:val="20"/>
          <w:rtl/>
        </w:rPr>
        <w:t xml:space="preserve"> מיום </w:t>
      </w:r>
      <w:r w:rsidR="00271969">
        <w:rPr>
          <w:rFonts w:hint="cs"/>
          <w:sz w:val="20"/>
          <w:rtl/>
        </w:rPr>
        <w:t>1.9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271969">
        <w:rPr>
          <w:rFonts w:hint="cs"/>
          <w:sz w:val="20"/>
          <w:rtl/>
        </w:rPr>
        <w:t>1647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27196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271969">
      <w:rPr>
        <w:rFonts w:hAnsi="FrankRuehl" w:cs="FrankRuehl" w:hint="cs"/>
        <w:color w:val="000000"/>
        <w:sz w:val="28"/>
        <w:szCs w:val="28"/>
        <w:rtl/>
      </w:rPr>
      <w:t>שמורת טבע גברעם הרחבה, לפי תכנית מס' 41/234/02/6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23226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04E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27B5D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544A"/>
    <w:rsid w:val="008F6C34"/>
    <w:rsid w:val="008F6CB1"/>
    <w:rsid w:val="009058BA"/>
    <w:rsid w:val="009130D2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AF0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F0191B0-3426-483B-A24D-28E3F262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8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2136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גברעם הרחבה, לפי תכנית מס' 41/234/02/6), תשע"ג-2013</vt:lpwstr>
  </property>
  <property fmtid="{D5CDD505-2E9C-101B-9397-08002B2CF9AE}" pid="5" name="LAWNUMBER">
    <vt:lpwstr>0411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http://www.nevo.co.il/Law_word/law06/TAK-7286.pdf;‎רשומות - תקנות כלליות#פורסמה ק"ת תשע"ג ‏מס' 7286 #מיום 1.9.2013 עמ' 1647‏</vt:lpwstr>
  </property>
</Properties>
</file>