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D7D35">
        <w:rPr>
          <w:rFonts w:hint="cs"/>
          <w:rtl/>
        </w:rPr>
        <w:t xml:space="preserve">שמורת טבע </w:t>
      </w:r>
      <w:r w:rsidR="0084476D">
        <w:rPr>
          <w:rFonts w:hint="cs"/>
          <w:rtl/>
        </w:rPr>
        <w:t>הדום השומרון, לפי תכנית מס' 424-0100032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84476D">
        <w:rPr>
          <w:rFonts w:hint="cs"/>
          <w:rtl/>
        </w:rPr>
        <w:t>9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A3FA4" w:rsidRPr="005A3FA4" w:rsidTr="005A3F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A3FA4" w:rsidRPr="005A3FA4" w:rsidRDefault="005A3FA4" w:rsidP="005A3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A3FA4" w:rsidRPr="005A3FA4" w:rsidRDefault="005A3FA4" w:rsidP="005A3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5A3FA4" w:rsidRPr="005A3FA4" w:rsidRDefault="005A3FA4" w:rsidP="005A3F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5A3F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A3FA4" w:rsidRPr="005A3FA4" w:rsidRDefault="005A3FA4" w:rsidP="005A3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A3FA4" w:rsidRPr="005A3FA4" w:rsidTr="005A3F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A3FA4" w:rsidRPr="005A3FA4" w:rsidRDefault="005A3FA4" w:rsidP="005A3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A3FA4" w:rsidRPr="005A3FA4" w:rsidRDefault="005A3FA4" w:rsidP="005A3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5A3FA4" w:rsidRPr="005A3FA4" w:rsidRDefault="005A3FA4" w:rsidP="005A3F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5A3F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A3FA4" w:rsidRPr="005A3FA4" w:rsidRDefault="005A3FA4" w:rsidP="005A3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A3FA4" w:rsidRPr="005A3FA4" w:rsidTr="005A3F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A3FA4" w:rsidRPr="005A3FA4" w:rsidRDefault="005A3FA4" w:rsidP="005A3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A3FA4" w:rsidRPr="005A3FA4" w:rsidRDefault="005A3FA4" w:rsidP="005A3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5A3FA4" w:rsidRPr="005A3FA4" w:rsidRDefault="005A3FA4" w:rsidP="005A3F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A3F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A3FA4" w:rsidRPr="005A3FA4" w:rsidRDefault="005A3FA4" w:rsidP="005A3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84476D">
        <w:rPr>
          <w:rFonts w:hint="cs"/>
          <w:rtl/>
        </w:rPr>
        <w:t>שמורת טבע הדום השומרון, לפי תכנית מס' 424-0100032), תשע"ט-2019</w:t>
      </w:r>
      <w:r w:rsidR="00E31D0A">
        <w:rPr>
          <w:rStyle w:val="a6"/>
          <w:rtl/>
        </w:rPr>
        <w:footnoteReference w:customMarkFollows="1" w:id="1"/>
        <w:t>*</w:t>
      </w:r>
    </w:p>
    <w:p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21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D7D3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84476D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נמצא </w:t>
      </w:r>
      <w:r w:rsidR="0084476D">
        <w:rPr>
          <w:rStyle w:val="default"/>
          <w:rFonts w:cs="FrankRuehl" w:hint="cs"/>
          <w:rtl/>
        </w:rPr>
        <w:t>בין הקו הירוק במזרח לבין כביש מס' 6 במערב, ובין כביש חוצה בנימין בצפון (מדרום לאלעד), לבין נחל נטוף בדרום</w:t>
      </w:r>
      <w:r w:rsidR="001D7D35">
        <w:rPr>
          <w:rStyle w:val="default"/>
          <w:rFonts w:cs="FrankRuehl" w:hint="cs"/>
          <w:rtl/>
        </w:rPr>
        <w:t>, 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ומקווקו בקווים אלכסוניים ומצולבים ירוקים</w:t>
      </w:r>
      <w:r w:rsidR="001C0463">
        <w:rPr>
          <w:rStyle w:val="default"/>
          <w:rFonts w:cs="FrankRuehl" w:hint="cs"/>
          <w:rtl/>
        </w:rPr>
        <w:t>,</w:t>
      </w:r>
      <w:r w:rsidR="002B02A2">
        <w:rPr>
          <w:rStyle w:val="default"/>
          <w:rFonts w:cs="FrankRuehl" w:hint="cs"/>
          <w:rtl/>
        </w:rPr>
        <w:t xml:space="preserve"> מוקף בקו </w:t>
      </w:r>
      <w:r w:rsidR="001C0463">
        <w:rPr>
          <w:rStyle w:val="default"/>
          <w:rFonts w:cs="FrankRuehl" w:hint="cs"/>
          <w:rtl/>
        </w:rPr>
        <w:t>כחול ומסומן כתא שטח 1,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1C0463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1E06F2">
        <w:rPr>
          <w:rStyle w:val="default"/>
          <w:rFonts w:cs="FrankRuehl"/>
          <w:rtl/>
        </w:rPr>
        <w:br/>
      </w:r>
      <w:r w:rsidR="001D7D35">
        <w:rPr>
          <w:rStyle w:val="default"/>
          <w:rFonts w:cs="FrankRuehl" w:hint="cs"/>
          <w:rtl/>
        </w:rPr>
        <w:t>ש/</w:t>
      </w:r>
      <w:r w:rsidR="001C0463">
        <w:rPr>
          <w:rStyle w:val="default"/>
          <w:rFonts w:cs="FrankRuehl" w:hint="cs"/>
          <w:rtl/>
        </w:rPr>
        <w:t>מר/424-0100032</w:t>
      </w:r>
      <w:r w:rsidR="002B02A2">
        <w:rPr>
          <w:rStyle w:val="default"/>
          <w:rFonts w:cs="FrankRuehl" w:hint="cs"/>
          <w:rtl/>
        </w:rPr>
        <w:t>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1C0463">
        <w:rPr>
          <w:rStyle w:val="default"/>
          <w:rFonts w:cs="FrankRuehl" w:hint="cs"/>
          <w:rtl/>
        </w:rPr>
        <w:t>1</w:t>
      </w:r>
      <w:r w:rsidR="002B02A2">
        <w:rPr>
          <w:rStyle w:val="default"/>
          <w:rFonts w:cs="FrankRuehl" w:hint="cs"/>
          <w:rtl/>
        </w:rPr>
        <w:t>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1C0463">
        <w:rPr>
          <w:rStyle w:val="default"/>
          <w:rFonts w:cs="FrankRuehl" w:hint="cs"/>
          <w:rtl/>
        </w:rPr>
        <w:t>כ"ה באדר ב'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1C0463">
        <w:rPr>
          <w:rStyle w:val="default"/>
          <w:rFonts w:cs="FrankRuehl" w:hint="cs"/>
          <w:rtl/>
        </w:rPr>
        <w:t>1 באפריל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EC44D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1E06F2">
        <w:rPr>
          <w:rStyle w:val="default"/>
          <w:rFonts w:cs="FrankRuehl" w:hint="cs"/>
          <w:rtl/>
        </w:rPr>
        <w:t>מרכז ברמלה</w:t>
      </w:r>
      <w:r w:rsidR="00EC44DD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EC44DD">
        <w:rPr>
          <w:rStyle w:val="default"/>
          <w:rFonts w:cs="FrankRuehl" w:hint="cs"/>
          <w:rtl/>
        </w:rPr>
        <w:t xml:space="preserve">חבל </w:t>
      </w:r>
      <w:r w:rsidR="001E06F2">
        <w:rPr>
          <w:rStyle w:val="default"/>
          <w:rFonts w:cs="FrankRuehl" w:hint="cs"/>
          <w:rtl/>
        </w:rPr>
        <w:t>מודיעין</w:t>
      </w:r>
      <w:r w:rsidR="0007054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0E7C76">
        <w:rPr>
          <w:rStyle w:val="default"/>
          <w:rFonts w:cs="FrankRuehl" w:hint="cs"/>
          <w:rtl/>
        </w:rPr>
        <w:t xml:space="preserve">המועצה האזורית </w:t>
      </w:r>
      <w:r w:rsidR="00EC44DD">
        <w:rPr>
          <w:rStyle w:val="default"/>
          <w:rFonts w:cs="FrankRuehl" w:hint="cs"/>
          <w:rtl/>
        </w:rPr>
        <w:t xml:space="preserve">חבל </w:t>
      </w:r>
      <w:r w:rsidR="001E06F2">
        <w:rPr>
          <w:rStyle w:val="default"/>
          <w:rFonts w:cs="FrankRuehl" w:hint="cs"/>
          <w:rtl/>
        </w:rPr>
        <w:t>מודיעין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1E06F2">
        <w:rPr>
          <w:rStyle w:val="default"/>
          <w:rFonts w:cs="FrankRuehl" w:hint="cs"/>
          <w:rtl/>
        </w:rPr>
        <w:t>424-0100032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1E06F2">
        <w:rPr>
          <w:rStyle w:val="default"/>
          <w:rFonts w:cs="FrankRuehl" w:hint="cs"/>
          <w:rtl/>
        </w:rPr>
        <w:t>7513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1E06F2">
        <w:rPr>
          <w:rStyle w:val="default"/>
          <w:rFonts w:cs="FrankRuehl" w:hint="cs"/>
          <w:rtl/>
        </w:rPr>
        <w:t>ד' בסיון התשע"ז (29 במאי 2017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1E06F2">
        <w:rPr>
          <w:rStyle w:val="default"/>
          <w:rFonts w:cs="FrankRuehl" w:hint="cs"/>
          <w:rtl/>
        </w:rPr>
        <w:t>6211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1E06F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2B02A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1F3B36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גושים במלואם: 4807, 4809, 5531-5527, 5534, 5543-5541</w:t>
      </w:r>
      <w:r w:rsidR="00EC44DD">
        <w:rPr>
          <w:rStyle w:val="default"/>
          <w:rFonts w:cs="FrankRuehl" w:hint="cs"/>
          <w:rtl/>
        </w:rPr>
        <w:t>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4785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51-25, 79-75, 83, 115, 119;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15, 19, 23, 24, 54-52, 73, 74, 82-80, 84, 88, 113, 116, 122;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4788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29, 42-34, 51-44; חלקי חלקות 16, 27, 28, 33-30;</w:t>
      </w:r>
    </w:p>
    <w:p w:rsidR="001E06F2" w:rsidRDefault="001E06F2" w:rsidP="001E06F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1134" w:right="1134" w:hanging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4795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44, 45, 55-47, 76-57; חלקי חלקות 13, 37, 41, 43, 46, 56, 77, 79;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4796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19-15, 38-23, 72-40; חלקי חלקות 11, 14, 20, 22, 39;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4801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106, 107;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4803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119;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4804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20-16, 39-22, 43, 64-49, 71, 72;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3, 9-5, 15-12, 21, 42-40, 44, 45, 48, 70-65, 73;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4806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101-42; חלקי חלקות 6-4, 11-9, 16, 17, 41-38, 106;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4808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4, 8-6, 16-10, 49-18; חלקי חלקות 2, 3, 5, 9, 17;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4810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5-3, 35-7, 42; חלקי חלקות 6, 37;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4814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30, 35-33, 57, 67; חלקי חלקות 14, 21, 22, 29, 65;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4819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1, 2, 4, 116; חלקי חלקות 121, 127;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5525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2, 4, 5;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5526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1;</w:t>
      </w:r>
    </w:p>
    <w:p w:rsidR="001E06F2" w:rsidRDefault="001E06F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5532 –</w:t>
      </w:r>
      <w:r>
        <w:rPr>
          <w:rStyle w:val="default"/>
          <w:rFonts w:cs="FrankRuehl"/>
          <w:rtl/>
        </w:rPr>
        <w:tab/>
      </w:r>
      <w:r w:rsidR="005F23B8">
        <w:rPr>
          <w:rStyle w:val="default"/>
          <w:rFonts w:cs="FrankRuehl" w:hint="cs"/>
          <w:rtl/>
        </w:rPr>
        <w:t>חלקות במלואן 3-1; חלקי חלקות 4, 10-7;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גוש 5533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חלקה במלואה 4; חלקי חלקות 3-1, 5;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5535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5-1, 12-8; חלקי חלקה 6;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5582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1, 2; חלקי חלקות 6-3;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5583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1, 7; חלקי חלקות 6-2;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5671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1;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5672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4-2; חלקי חלקה 1;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5673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חלקה במלואה 2; חלקי חלקות 1, 3, 4;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5674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1;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5675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חלקה במלואה 1; חלקי חלקות 2, 5, 6;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5676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חלקה במלואה 1; חלקי חלקות 2, 3;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5677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6-3;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5678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5-3;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5679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1, 2, 7-4;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5680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1, 3; חלקי חלקה 2;</w:t>
      </w:r>
    </w:p>
    <w:p w:rsidR="005F23B8" w:rsidRDefault="005F23B8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5681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חלקות במלואן 2, 3, 7-5; חלקי חלקות 1, 4, 8.</w:t>
      </w:r>
    </w:p>
    <w:p w:rsidR="0084476D" w:rsidRDefault="0084476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5F23B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כ"ה באדר ב'</w:t>
      </w:r>
      <w:r w:rsidR="000E7C76">
        <w:rPr>
          <w:rStyle w:val="default"/>
          <w:rFonts w:cs="FrankRuehl" w:hint="cs"/>
          <w:rtl/>
        </w:rPr>
        <w:t xml:space="preserve"> התשע"ט (</w:t>
      </w:r>
      <w:r>
        <w:rPr>
          <w:rStyle w:val="default"/>
          <w:rFonts w:cs="FrankRuehl" w:hint="cs"/>
          <w:rtl/>
        </w:rPr>
        <w:t>1 באפריל</w:t>
      </w:r>
      <w:r w:rsidR="00B50AF0">
        <w:rPr>
          <w:rStyle w:val="default"/>
          <w:rFonts w:cs="FrankRuehl" w:hint="cs"/>
          <w:rtl/>
        </w:rPr>
        <w:t xml:space="preserve"> 201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:rsidR="0084476D" w:rsidRPr="006E39E0" w:rsidRDefault="0084476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5A3FA4" w:rsidRDefault="005A3FA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A3FA4" w:rsidRDefault="005A3FA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A3FA4" w:rsidRDefault="005A3FA4" w:rsidP="005A3F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943AF" w:rsidRPr="005A3FA4" w:rsidRDefault="007943AF" w:rsidP="005A3F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943AF" w:rsidRPr="005A3FA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1CC5" w:rsidRDefault="002D1CC5">
      <w:r>
        <w:separator/>
      </w:r>
    </w:p>
  </w:endnote>
  <w:endnote w:type="continuationSeparator" w:id="0">
    <w:p w:rsidR="002D1CC5" w:rsidRDefault="002D1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A3FA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1CC5" w:rsidRDefault="002D1CC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D1CC5" w:rsidRDefault="002D1CC5">
      <w:r>
        <w:continuationSeparator/>
      </w:r>
    </w:p>
  </w:footnote>
  <w:footnote w:id="1">
    <w:p w:rsidR="00311FFA" w:rsidRPr="00E31D0A" w:rsidRDefault="00E31D0A" w:rsidP="00311F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11FFA">
          <w:rPr>
            <w:rStyle w:val="Hyperlink"/>
            <w:rFonts w:hint="cs"/>
            <w:sz w:val="20"/>
            <w:rtl/>
          </w:rPr>
          <w:t xml:space="preserve">ק"ת </w:t>
        </w:r>
        <w:r w:rsidR="008E74C9" w:rsidRPr="00311FFA">
          <w:rPr>
            <w:rStyle w:val="Hyperlink"/>
            <w:rFonts w:hint="cs"/>
            <w:sz w:val="20"/>
            <w:rtl/>
          </w:rPr>
          <w:t>תשע</w:t>
        </w:r>
        <w:r w:rsidR="00FF53C1" w:rsidRPr="00311FFA">
          <w:rPr>
            <w:rStyle w:val="Hyperlink"/>
            <w:rFonts w:hint="cs"/>
            <w:sz w:val="20"/>
            <w:rtl/>
          </w:rPr>
          <w:t>"</w:t>
        </w:r>
        <w:r w:rsidR="003B3185" w:rsidRPr="00311FFA">
          <w:rPr>
            <w:rStyle w:val="Hyperlink"/>
            <w:rFonts w:hint="cs"/>
            <w:sz w:val="20"/>
            <w:rtl/>
          </w:rPr>
          <w:t>ט</w:t>
        </w:r>
        <w:r w:rsidRPr="00311FFA">
          <w:rPr>
            <w:rStyle w:val="Hyperlink"/>
            <w:rFonts w:hint="cs"/>
            <w:sz w:val="20"/>
            <w:rtl/>
          </w:rPr>
          <w:t xml:space="preserve"> מס' </w:t>
        </w:r>
        <w:r w:rsidR="0084476D" w:rsidRPr="00311FFA">
          <w:rPr>
            <w:rStyle w:val="Hyperlink"/>
            <w:rFonts w:hint="cs"/>
            <w:sz w:val="20"/>
            <w:rtl/>
          </w:rPr>
          <w:t>8215</w:t>
        </w:r>
      </w:hyperlink>
      <w:r>
        <w:rPr>
          <w:rFonts w:hint="cs"/>
          <w:sz w:val="20"/>
          <w:rtl/>
        </w:rPr>
        <w:t xml:space="preserve"> מיום </w:t>
      </w:r>
      <w:r w:rsidR="0084476D">
        <w:rPr>
          <w:rFonts w:hint="cs"/>
          <w:sz w:val="20"/>
          <w:rtl/>
        </w:rPr>
        <w:t>2.5.2019</w:t>
      </w:r>
      <w:r>
        <w:rPr>
          <w:rFonts w:hint="cs"/>
          <w:sz w:val="20"/>
          <w:rtl/>
        </w:rPr>
        <w:t xml:space="preserve"> עמ' </w:t>
      </w:r>
      <w:r w:rsidR="0084476D">
        <w:rPr>
          <w:rFonts w:hint="cs"/>
          <w:sz w:val="20"/>
          <w:rtl/>
        </w:rPr>
        <w:t>3203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D7D35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84476D">
      <w:rPr>
        <w:rFonts w:hAnsi="FrankRuehl" w:cs="FrankRuehl" w:hint="cs"/>
        <w:color w:val="000000"/>
        <w:sz w:val="28"/>
        <w:szCs w:val="28"/>
        <w:rtl/>
      </w:rPr>
      <w:t>הדום השומרון, לפי תכנית מס' 424-0100032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84476D">
      <w:rPr>
        <w:rFonts w:hAnsi="FrankRuehl" w:cs="FrankRuehl" w:hint="cs"/>
        <w:color w:val="000000"/>
        <w:sz w:val="28"/>
        <w:szCs w:val="28"/>
        <w:rtl/>
      </w:rPr>
      <w:t>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143B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C1E66"/>
    <w:rsid w:val="002C2D94"/>
    <w:rsid w:val="002C54EA"/>
    <w:rsid w:val="002C5592"/>
    <w:rsid w:val="002C7751"/>
    <w:rsid w:val="002C77E4"/>
    <w:rsid w:val="002D0572"/>
    <w:rsid w:val="002D10C2"/>
    <w:rsid w:val="002D1CC5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1FFA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3FA4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E3D93"/>
    <w:rsid w:val="006F367E"/>
    <w:rsid w:val="006F3C6A"/>
    <w:rsid w:val="006F655D"/>
    <w:rsid w:val="006F6D36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943AF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476D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0C14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8B8"/>
    <w:rsid w:val="00EC44DD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F3F114F-4D09-4E35-A521-45809ECC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3495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הדום השומרון, לפי תכנית מס' 424-0100032), תשע"ט-2019</vt:lpwstr>
  </property>
  <property fmtid="{D5CDD505-2E9C-101B-9397-08002B2CF9AE}" pid="5" name="LAWNUMBER">
    <vt:lpwstr>0463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http://www.nevo.co.il/Law_word/law06/tak-8215.pdf;‎רשומות - תקנות כלליות#פורסמה ק"ת תשע"ט ‏מס' 8215 #מיום 2.5.2019 עמ' 3203‏</vt:lpwstr>
  </property>
</Properties>
</file>