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B60E" w14:textId="77777777" w:rsidR="00DF76EB" w:rsidRDefault="00DF76EB" w:rsidP="0010164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86210">
        <w:rPr>
          <w:rFonts w:hint="cs"/>
          <w:rtl/>
        </w:rPr>
        <w:t xml:space="preserve">שמורת טבע </w:t>
      </w:r>
      <w:r w:rsidR="00101640">
        <w:rPr>
          <w:rFonts w:hint="cs"/>
          <w:rtl/>
        </w:rPr>
        <w:t>חולות נחל סכר</w:t>
      </w:r>
      <w:r w:rsidR="00A23593">
        <w:rPr>
          <w:rFonts w:hint="cs"/>
          <w:rtl/>
        </w:rPr>
        <w:t xml:space="preserve">, לפי תכנית מס' </w:t>
      </w:r>
      <w:r w:rsidR="00101640">
        <w:rPr>
          <w:rFonts w:hint="cs"/>
          <w:rtl/>
        </w:rPr>
        <w:t>311/02/20</w:t>
      </w:r>
      <w:r w:rsidR="00A23593">
        <w:rPr>
          <w:rFonts w:hint="cs"/>
          <w:rtl/>
        </w:rPr>
        <w:t>), תשע"ג-2013</w:t>
      </w:r>
    </w:p>
    <w:p w14:paraId="693BE89D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A57AB59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05546C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2007" w:rsidRPr="00102007" w14:paraId="1FEBB5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892B23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48DEAB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D9310D2" w14:textId="77777777" w:rsidR="00102007" w:rsidRPr="00102007" w:rsidRDefault="00102007" w:rsidP="001020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020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F94C2A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2007" w:rsidRPr="00102007" w14:paraId="6480441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8FC273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6237000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88C68A5" w14:textId="77777777" w:rsidR="00102007" w:rsidRPr="00102007" w:rsidRDefault="00102007" w:rsidP="001020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020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976811" w14:textId="77777777" w:rsidR="00102007" w:rsidRPr="00102007" w:rsidRDefault="00102007" w:rsidP="001020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7C21B20" w14:textId="77777777" w:rsidR="009C432F" w:rsidRDefault="009C432F">
      <w:pPr>
        <w:pStyle w:val="big-header"/>
        <w:ind w:left="0" w:right="1134"/>
        <w:rPr>
          <w:rtl/>
        </w:rPr>
      </w:pPr>
    </w:p>
    <w:p w14:paraId="5C976780" w14:textId="77777777" w:rsidR="009C432F" w:rsidRPr="002E4507" w:rsidRDefault="009C432F" w:rsidP="001016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01640">
        <w:rPr>
          <w:rFonts w:hint="cs"/>
          <w:rtl/>
        </w:rPr>
        <w:lastRenderedPageBreak/>
        <w:t>אכרזת גנים לאומיים, שמורות טבע, אתרים לאומיים ואתרי הנצחה (שמורת טבע חולות נחל סכר, לפי תכנית מס' 311/02/20),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376A8147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EE4A3A" w14:textId="77777777" w:rsidR="009C432F" w:rsidRDefault="009C432F" w:rsidP="001016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EC8BDA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FBA1980" w14:textId="77777777" w:rsidR="009C432F" w:rsidRDefault="00DB2D99" w:rsidP="00B862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8621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101640">
        <w:rPr>
          <w:rStyle w:val="default"/>
          <w:rFonts w:cs="FrankRuehl" w:hint="cs"/>
          <w:rtl/>
        </w:rPr>
        <w:t xml:space="preserve">ברמת הנגב מדרום לרמת חובב,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</w:t>
      </w:r>
      <w:r w:rsidR="00B86210">
        <w:rPr>
          <w:rStyle w:val="default"/>
          <w:rFonts w:cs="FrankRuehl" w:hint="cs"/>
          <w:rtl/>
        </w:rPr>
        <w:t>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ש/</w:t>
      </w:r>
      <w:r w:rsidR="00101640">
        <w:rPr>
          <w:rStyle w:val="default"/>
          <w:rFonts w:cs="FrankRuehl" w:hint="cs"/>
          <w:rtl/>
        </w:rPr>
        <w:t>דר/311/02/20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101640">
        <w:rPr>
          <w:rStyle w:val="default"/>
          <w:rFonts w:cs="FrankRuehl" w:hint="cs"/>
          <w:rtl/>
        </w:rPr>
        <w:t>20</w:t>
      </w:r>
      <w:r w:rsidR="0020282F">
        <w:rPr>
          <w:rStyle w:val="default"/>
          <w:rFonts w:cs="FrankRuehl" w:hint="cs"/>
          <w:rtl/>
        </w:rPr>
        <w:t>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9188D"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D9188D">
        <w:rPr>
          <w:rStyle w:val="default"/>
          <w:rFonts w:cs="FrankRuehl" w:hint="cs"/>
          <w:rtl/>
        </w:rPr>
        <w:t>28 בפברואר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</w:t>
      </w:r>
      <w:r w:rsidR="0020282F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FA246D8" w14:textId="77777777" w:rsidR="009C432F" w:rsidRDefault="009C432F" w:rsidP="001016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62162C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25315BA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01640">
        <w:rPr>
          <w:rStyle w:val="default"/>
          <w:rFonts w:cs="FrankRuehl" w:hint="cs"/>
          <w:rtl/>
        </w:rPr>
        <w:t>הדרום בבאר שבע</w:t>
      </w:r>
      <w:r w:rsidR="001725D6">
        <w:rPr>
          <w:rStyle w:val="default"/>
          <w:rFonts w:cs="FrankRuehl" w:hint="cs"/>
          <w:rtl/>
        </w:rPr>
        <w:t xml:space="preserve">, </w:t>
      </w:r>
      <w:r w:rsidR="00423423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101640">
        <w:rPr>
          <w:rStyle w:val="default"/>
          <w:rFonts w:cs="FrankRuehl" w:hint="cs"/>
          <w:rtl/>
        </w:rPr>
        <w:t>רמת הנגב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1F84BA0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E0F45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E0B3D25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0359879" w14:textId="77777777" w:rsidR="00D9188D" w:rsidRDefault="00101640" w:rsidP="001016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 w:rsidR="00F643F1"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</w:t>
      </w:r>
      <w:r w:rsidR="00423423">
        <w:rPr>
          <w:rStyle w:val="default"/>
          <w:rFonts w:cs="FrankRuehl" w:hint="cs"/>
          <w:rtl/>
        </w:rPr>
        <w:t xml:space="preserve">האזורית </w:t>
      </w:r>
      <w:r>
        <w:rPr>
          <w:rStyle w:val="default"/>
          <w:rFonts w:cs="FrankRuehl" w:hint="cs"/>
          <w:rtl/>
        </w:rPr>
        <w:t>רמת הנגב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F28E6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>
        <w:rPr>
          <w:rStyle w:val="default"/>
          <w:rFonts w:cs="FrankRuehl" w:hint="cs"/>
          <w:rtl/>
        </w:rPr>
        <w:t>311/02/20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>
        <w:rPr>
          <w:rStyle w:val="default"/>
          <w:rFonts w:cs="FrankRuehl" w:hint="cs"/>
          <w:rtl/>
        </w:rPr>
        <w:t>6250</w:t>
      </w:r>
      <w:r w:rsidR="00D56B88">
        <w:rPr>
          <w:rStyle w:val="default"/>
          <w:rFonts w:cs="FrankRuehl" w:hint="cs"/>
          <w:rtl/>
        </w:rPr>
        <w:t xml:space="preserve">, מיום </w:t>
      </w:r>
      <w:r>
        <w:rPr>
          <w:rStyle w:val="default"/>
          <w:rFonts w:cs="FrankRuehl" w:hint="cs"/>
          <w:rtl/>
        </w:rPr>
        <w:t>י"ב בסיוון התשע"א (14 ביוני 2011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>
        <w:rPr>
          <w:rStyle w:val="default"/>
          <w:rFonts w:cs="FrankRuehl" w:hint="cs"/>
          <w:rtl/>
        </w:rPr>
        <w:t>4808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63272050" w14:textId="77777777" w:rsidR="00D9188D" w:rsidRDefault="00D9188D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100170</w:t>
      </w:r>
      <w:r>
        <w:rPr>
          <w:rStyle w:val="default"/>
          <w:rFonts w:cs="FrankRuehl" w:hint="cs"/>
          <w:rtl/>
        </w:rPr>
        <w:tab/>
      </w:r>
      <w:r w:rsidR="00101640">
        <w:rPr>
          <w:rStyle w:val="default"/>
          <w:rFonts w:cs="FrankRuehl" w:hint="cs"/>
          <w:rtl/>
        </w:rPr>
        <w:t>חלקי חלקה 1</w:t>
      </w:r>
    </w:p>
    <w:p w14:paraId="6F0F8C67" w14:textId="77777777" w:rsidR="00B86210" w:rsidRDefault="00B8621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100172</w:t>
      </w:r>
      <w:r>
        <w:rPr>
          <w:rStyle w:val="default"/>
          <w:rFonts w:cs="FrankRuehl" w:hint="cs"/>
          <w:rtl/>
        </w:rPr>
        <w:tab/>
        <w:t xml:space="preserve">חלקי </w:t>
      </w:r>
      <w:r w:rsidR="00423423">
        <w:rPr>
          <w:rStyle w:val="default"/>
          <w:rFonts w:cs="FrankRuehl" w:hint="cs"/>
          <w:rtl/>
        </w:rPr>
        <w:t xml:space="preserve">חלקות </w:t>
      </w:r>
      <w:r w:rsidR="00101640">
        <w:rPr>
          <w:rStyle w:val="default"/>
          <w:rFonts w:cs="FrankRuehl" w:hint="cs"/>
          <w:rtl/>
        </w:rPr>
        <w:t>2, 3</w:t>
      </w:r>
    </w:p>
    <w:p w14:paraId="428A4879" w14:textId="77777777" w:rsidR="00B86210" w:rsidRDefault="00B8621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100173/1</w:t>
      </w:r>
      <w:r>
        <w:rPr>
          <w:rStyle w:val="default"/>
          <w:rFonts w:cs="FrankRuehl" w:hint="cs"/>
          <w:rtl/>
        </w:rPr>
        <w:tab/>
        <w:t xml:space="preserve">חלקי </w:t>
      </w:r>
      <w:r w:rsidR="00101640">
        <w:rPr>
          <w:rStyle w:val="default"/>
          <w:rFonts w:cs="FrankRuehl" w:hint="cs"/>
          <w:rtl/>
        </w:rPr>
        <w:t>חלקה 1</w:t>
      </w:r>
    </w:p>
    <w:p w14:paraId="4E0B29F1" w14:textId="77777777" w:rsidR="00423423" w:rsidRDefault="00423423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100173/2</w:t>
      </w:r>
      <w:r>
        <w:rPr>
          <w:rStyle w:val="default"/>
          <w:rFonts w:cs="FrankRuehl" w:hint="cs"/>
          <w:rtl/>
        </w:rPr>
        <w:tab/>
      </w:r>
      <w:r w:rsidR="00101640">
        <w:rPr>
          <w:rStyle w:val="default"/>
          <w:rFonts w:cs="FrankRuehl" w:hint="cs"/>
          <w:rtl/>
        </w:rPr>
        <w:t>חלקות 1, 2</w:t>
      </w:r>
    </w:p>
    <w:p w14:paraId="1D54D02E" w14:textId="77777777" w:rsidR="00423423" w:rsidRDefault="00423423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100174</w:t>
      </w:r>
      <w:r>
        <w:rPr>
          <w:rStyle w:val="default"/>
          <w:rFonts w:cs="FrankRuehl" w:hint="cs"/>
          <w:rtl/>
        </w:rPr>
        <w:tab/>
      </w:r>
      <w:r w:rsidR="00101640">
        <w:rPr>
          <w:rStyle w:val="default"/>
          <w:rFonts w:cs="FrankRuehl" w:hint="cs"/>
          <w:rtl/>
        </w:rPr>
        <w:t>חלקי חלקה 1</w:t>
      </w:r>
    </w:p>
    <w:p w14:paraId="59C32F14" w14:textId="77777777" w:rsidR="00423423" w:rsidRDefault="00423423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01640">
        <w:rPr>
          <w:rStyle w:val="default"/>
          <w:rFonts w:cs="FrankRuehl" w:hint="cs"/>
          <w:rtl/>
        </w:rPr>
        <w:t>100175</w:t>
      </w:r>
      <w:r>
        <w:rPr>
          <w:rStyle w:val="default"/>
          <w:rFonts w:cs="FrankRuehl" w:hint="cs"/>
          <w:rtl/>
        </w:rPr>
        <w:tab/>
      </w:r>
      <w:r w:rsidR="00101640">
        <w:rPr>
          <w:rStyle w:val="default"/>
          <w:rFonts w:cs="FrankRuehl" w:hint="cs"/>
          <w:rtl/>
        </w:rPr>
        <w:t>לא מוסדר</w:t>
      </w:r>
    </w:p>
    <w:p w14:paraId="2FF1FF36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100175/1</w:t>
      </w:r>
      <w:r>
        <w:rPr>
          <w:rStyle w:val="default"/>
          <w:rFonts w:cs="FrankRuehl" w:hint="cs"/>
          <w:rtl/>
        </w:rPr>
        <w:tab/>
        <w:t>חלקי חלקה 1</w:t>
      </w:r>
    </w:p>
    <w:p w14:paraId="71D89880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100175/2</w:t>
      </w:r>
      <w:r>
        <w:rPr>
          <w:rStyle w:val="default"/>
          <w:rFonts w:cs="FrankRuehl" w:hint="cs"/>
          <w:rtl/>
        </w:rPr>
        <w:tab/>
        <w:t>חלקי חלקה 1</w:t>
      </w:r>
    </w:p>
    <w:p w14:paraId="1D5F5732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100176</w:t>
      </w:r>
      <w:r>
        <w:rPr>
          <w:rStyle w:val="default"/>
          <w:rFonts w:cs="FrankRuehl" w:hint="cs"/>
          <w:rtl/>
        </w:rPr>
        <w:tab/>
        <w:t>לא מוסדר</w:t>
      </w:r>
    </w:p>
    <w:p w14:paraId="6DA0D3D5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100176/1</w:t>
      </w:r>
      <w:r>
        <w:rPr>
          <w:rStyle w:val="default"/>
          <w:rFonts w:cs="FrankRuehl" w:hint="cs"/>
          <w:rtl/>
        </w:rPr>
        <w:tab/>
        <w:t>חלקות 1, 2</w:t>
      </w:r>
    </w:p>
    <w:p w14:paraId="4DEB74D6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100176/2</w:t>
      </w:r>
      <w:r>
        <w:rPr>
          <w:rStyle w:val="default"/>
          <w:rFonts w:cs="FrankRuehl" w:hint="cs"/>
          <w:rtl/>
        </w:rPr>
        <w:tab/>
        <w:t>חלקות 12-1</w:t>
      </w:r>
    </w:p>
    <w:p w14:paraId="5CEE034B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100183/1</w:t>
      </w:r>
      <w:r>
        <w:rPr>
          <w:rStyle w:val="default"/>
          <w:rFonts w:cs="FrankRuehl" w:hint="cs"/>
          <w:rtl/>
        </w:rPr>
        <w:tab/>
        <w:t>חלקי חלקה 2</w:t>
      </w:r>
    </w:p>
    <w:p w14:paraId="32012E03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100328</w:t>
      </w:r>
      <w:r>
        <w:rPr>
          <w:rStyle w:val="default"/>
          <w:rFonts w:cs="FrankRuehl" w:hint="cs"/>
          <w:rtl/>
        </w:rPr>
        <w:tab/>
        <w:t>חלקי חלקה 1</w:t>
      </w:r>
    </w:p>
    <w:p w14:paraId="724EF3CA" w14:textId="77777777" w:rsidR="00101640" w:rsidRDefault="00101640" w:rsidP="0010164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38592</w:t>
      </w:r>
      <w:r>
        <w:rPr>
          <w:rStyle w:val="default"/>
          <w:rFonts w:cs="FrankRuehl" w:hint="cs"/>
          <w:rtl/>
        </w:rPr>
        <w:tab/>
        <w:t>חלקי חלקה 2</w:t>
      </w:r>
    </w:p>
    <w:p w14:paraId="59EB9041" w14:textId="77777777" w:rsidR="00101640" w:rsidRDefault="001016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0A01D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F4F14A" w14:textId="77777777" w:rsidR="009C432F" w:rsidRDefault="00D9188D" w:rsidP="00D9188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28 בפברואר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26D98478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1BBA83E" w14:textId="77777777" w:rsidR="00AD778E" w:rsidRPr="006E39E0" w:rsidRDefault="00AD778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32124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F46A7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9A52FF3" w14:textId="77777777" w:rsidR="00102007" w:rsidRDefault="0010200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2D3326" w14:textId="77777777" w:rsidR="00102007" w:rsidRDefault="0010200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1029A5" w14:textId="77777777" w:rsidR="00102007" w:rsidRDefault="00102007" w:rsidP="0010200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1A8E0F" w14:textId="77777777" w:rsidR="00496935" w:rsidRPr="00102007" w:rsidRDefault="00496935" w:rsidP="0010200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10200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185E" w14:textId="77777777" w:rsidR="00D709EB" w:rsidRDefault="00D709EB">
      <w:r>
        <w:separator/>
      </w:r>
    </w:p>
  </w:endnote>
  <w:endnote w:type="continuationSeparator" w:id="0">
    <w:p w14:paraId="4305A2B4" w14:textId="77777777" w:rsidR="00D709EB" w:rsidRDefault="00D7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198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2980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526D9D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007">
      <w:rPr>
        <w:rFonts w:cs="TopType Jerushalmi"/>
        <w:noProof/>
        <w:color w:val="000000"/>
        <w:sz w:val="14"/>
        <w:szCs w:val="14"/>
      </w:rPr>
      <w:t>Z:\000-law\yael\2013\2013-05-05\TAV\065_389.doc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D58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200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2618BD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33E6AE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007">
      <w:rPr>
        <w:rFonts w:cs="TopType Jerushalmi"/>
        <w:noProof/>
        <w:color w:val="000000"/>
        <w:sz w:val="14"/>
        <w:szCs w:val="14"/>
      </w:rPr>
      <w:t>Z:\000-law\yael\2013\2013-05-05\TAV\065_389.doc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1AED" w14:textId="77777777" w:rsidR="00D709EB" w:rsidRDefault="00D709E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2950FF" w14:textId="77777777" w:rsidR="00D709EB" w:rsidRDefault="00D709EB">
      <w:r>
        <w:continuationSeparator/>
      </w:r>
    </w:p>
  </w:footnote>
  <w:footnote w:id="1">
    <w:p w14:paraId="3F1F517D" w14:textId="77777777" w:rsidR="00CB1C66" w:rsidRPr="00E31D0A" w:rsidRDefault="00E31D0A" w:rsidP="00CB1C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B1C6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CB1C66">
          <w:rPr>
            <w:rStyle w:val="Hyperlink"/>
            <w:rFonts w:hint="cs"/>
            <w:sz w:val="20"/>
            <w:rtl/>
          </w:rPr>
          <w:t>תשע</w:t>
        </w:r>
        <w:r w:rsidR="00FF53C1" w:rsidRPr="00CB1C66">
          <w:rPr>
            <w:rStyle w:val="Hyperlink"/>
            <w:rFonts w:hint="cs"/>
            <w:sz w:val="20"/>
            <w:rtl/>
          </w:rPr>
          <w:t>"</w:t>
        </w:r>
        <w:r w:rsidR="000B68DD" w:rsidRPr="00CB1C66">
          <w:rPr>
            <w:rStyle w:val="Hyperlink"/>
            <w:rFonts w:hint="cs"/>
            <w:sz w:val="20"/>
            <w:rtl/>
          </w:rPr>
          <w:t>ג</w:t>
        </w:r>
        <w:r w:rsidRPr="00CB1C66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CB1C66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</w:t>
      </w:r>
      <w:r w:rsidR="00101640">
        <w:rPr>
          <w:rFonts w:hint="cs"/>
          <w:sz w:val="20"/>
          <w:rtl/>
        </w:rPr>
        <w:t>40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91A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9BB7C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9D1D6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4BDB" w14:textId="77777777" w:rsidR="009C432F" w:rsidRDefault="00DF76EB" w:rsidP="00327D5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838B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27D57">
      <w:rPr>
        <w:rFonts w:hAnsi="FrankRuehl" w:cs="FrankRuehl" w:hint="cs"/>
        <w:color w:val="000000"/>
        <w:sz w:val="28"/>
        <w:szCs w:val="28"/>
        <w:rtl/>
      </w:rPr>
      <w:t>חולות נחל סכר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327D57">
      <w:rPr>
        <w:rFonts w:hAnsi="FrankRuehl" w:cs="FrankRuehl" w:hint="cs"/>
        <w:color w:val="000000"/>
        <w:sz w:val="28"/>
        <w:szCs w:val="28"/>
        <w:rtl/>
      </w:rPr>
      <w:t>311/02/20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7AB7D07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C5897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1640"/>
    <w:rsid w:val="00102007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5A85"/>
    <w:rsid w:val="001A6362"/>
    <w:rsid w:val="001A715D"/>
    <w:rsid w:val="001B20AB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8768F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1C66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09EB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41C108"/>
  <w15:chartTrackingRefBased/>
  <w15:docId w15:val="{8027E2E0-A5B9-4CEA-9555-A14F1D3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1978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חולות נחל סכר, לפי תכנית מס' 311/02/20), תשע"ג-2013</vt:lpwstr>
  </property>
  <property fmtid="{D5CDD505-2E9C-101B-9397-08002B2CF9AE}" pid="5" name="LAWNUMBER">
    <vt:lpwstr>0389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1040‏</vt:lpwstr>
  </property>
</Properties>
</file>